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莱芜工厂车身外饰件底涂清洗系统改造</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tabs>
          <w:tab w:val="left" w:pos="6073"/>
        </w:tabs>
        <w:rPr>
          <w:rFonts w:hint="eastAsia"/>
          <w:lang w:eastAsia="zh-CN"/>
        </w:rPr>
      </w:pPr>
      <w:r>
        <w:rPr>
          <w:rFonts w:hint="eastAsia"/>
          <w:lang w:eastAsia="zh-CN"/>
        </w:rPr>
        <w:tab/>
      </w:r>
      <w:bookmarkStart w:id="133" w:name="_GoBack"/>
      <w:bookmarkEnd w:id="133"/>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莱芜工厂车身外饰件底涂清洗系统改造项目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CGZX2024070068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莱芜工厂车身外饰件底涂清洗系统改造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u w:val="singl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李月兵</w:t>
            </w:r>
          </w:p>
          <w:p>
            <w:pPr>
              <w:pStyle w:val="17"/>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17860602093</w:t>
            </w:r>
          </w:p>
          <w:p>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liyuebing@sinotruk.com</w:t>
            </w:r>
          </w:p>
          <w:p>
            <w:pPr>
              <w:ind w:firstLine="482" w:firstLineChars="200"/>
              <w:rPr>
                <w:rStyle w:val="44"/>
                <w:rFonts w:hint="eastAsia" w:ascii="宋体" w:hAnsi="宋体" w:eastAsia="宋体" w:cs="宋体"/>
                <w:bCs/>
                <w:snapToGrid w:val="0"/>
                <w:color w:val="auto"/>
                <w:kern w:val="0"/>
                <w:sz w:val="24"/>
                <w:szCs w:val="24"/>
                <w:lang w:val="en-US" w:eastAsia="zh-CN"/>
              </w:rPr>
            </w:pPr>
            <w:r>
              <w:rPr>
                <w:rFonts w:hint="eastAsia" w:ascii="宋体" w:hAnsi="宋体" w:eastAsia="宋体" w:cs="宋体"/>
                <w:b/>
                <w:snapToGrid w:val="0"/>
                <w:kern w:val="0"/>
                <w:sz w:val="24"/>
                <w:szCs w:val="24"/>
              </w:rPr>
              <w:t>技术联系人：</w:t>
            </w:r>
            <w:r>
              <w:rPr>
                <w:rStyle w:val="44"/>
                <w:rFonts w:hint="eastAsia" w:ascii="宋体" w:hAnsi="宋体" w:eastAsia="宋体" w:cs="宋体"/>
                <w:bCs/>
                <w:snapToGrid w:val="0"/>
                <w:color w:val="auto"/>
                <w:kern w:val="0"/>
                <w:sz w:val="24"/>
                <w:szCs w:val="24"/>
                <w:lang w:val="en-US" w:eastAsia="zh-CN"/>
              </w:rPr>
              <w:t>祁伟昭</w:t>
            </w:r>
          </w:p>
          <w:p>
            <w:pPr>
              <w:pStyle w:val="17"/>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Ansi="宋体" w:eastAsia="宋体" w:cs="宋体"/>
                <w:bCs/>
                <w:snapToGrid w:val="0"/>
                <w:kern w:val="0"/>
                <w:sz w:val="24"/>
                <w:szCs w:val="24"/>
              </w:rPr>
              <w:t>1</w:t>
            </w:r>
            <w:r>
              <w:rPr>
                <w:rFonts w:hint="eastAsia" w:hAnsi="宋体" w:eastAsia="宋体" w:cs="宋体"/>
                <w:bCs/>
                <w:snapToGrid w:val="0"/>
                <w:kern w:val="0"/>
                <w:sz w:val="24"/>
                <w:szCs w:val="24"/>
                <w:lang w:val="en-US" w:eastAsia="zh-CN"/>
              </w:rPr>
              <w:t>9861850316</w:t>
            </w:r>
          </w:p>
          <w:p>
            <w:pPr>
              <w:pStyle w:val="17"/>
              <w:ind w:firstLine="482" w:firstLineChars="200"/>
              <w:rPr>
                <w:rFonts w:hint="default" w:ascii="宋体" w:hAnsi="宋体" w:eastAsia="宋体" w:cs="宋体"/>
                <w:bCs/>
                <w:snapToGrid w:val="0"/>
                <w:kern w:val="0"/>
                <w:sz w:val="24"/>
                <w:szCs w:val="24"/>
                <w:highlight w:val="yellow"/>
                <w:lang w:val="en-US" w:eastAsia="zh-CN"/>
              </w:rPr>
            </w:pPr>
            <w:r>
              <w:rPr>
                <w:rFonts w:hint="eastAsia" w:hAnsi="宋体" w:eastAsia="宋体" w:cs="宋体"/>
                <w:b/>
                <w:snapToGrid w:val="0"/>
                <w:kern w:val="0"/>
                <w:sz w:val="24"/>
                <w:szCs w:val="24"/>
              </w:rPr>
              <w:t>邮箱：</w:t>
            </w:r>
            <w:r>
              <w:rPr>
                <w:rFonts w:hint="eastAsia" w:hAnsi="宋体" w:eastAsia="宋体" w:cs="宋体"/>
                <w:bCs/>
                <w:snapToGrid w:val="0"/>
                <w:kern w:val="0"/>
                <w:sz w:val="24"/>
                <w:szCs w:val="24"/>
                <w:lang w:val="en-US" w:eastAsia="zh-CN"/>
              </w:rPr>
              <w:t>qiweizhao</w:t>
            </w:r>
            <w:r>
              <w:rPr>
                <w:rFonts w:hAnsi="宋体" w:eastAsia="宋体" w:cs="宋体"/>
                <w:bCs/>
                <w:snapToGrid w:val="0"/>
                <w:kern w:val="0"/>
                <w:sz w:val="24"/>
                <w:szCs w:val="24"/>
              </w:rPr>
              <w:t>@sinotruk.com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256</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300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26</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8</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6</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8</w:t>
            </w:r>
            <w:r>
              <w:rPr>
                <w:rFonts w:hint="eastAsia" w:eastAsia="宋体" w:cs="宋体"/>
                <w:highlight w:val="yellow"/>
              </w:rPr>
              <w:t>月</w:t>
            </w:r>
            <w:r>
              <w:rPr>
                <w:rFonts w:hint="eastAsia" w:eastAsia="宋体" w:cs="宋体"/>
                <w:highlight w:val="yellow"/>
                <w:lang w:val="en-US" w:eastAsia="zh-CN"/>
              </w:rPr>
              <w:t>6</w:t>
            </w:r>
            <w:r>
              <w:rPr>
                <w:rFonts w:hint="eastAsia" w:eastAsia="宋体" w:cs="宋体"/>
                <w:highlight w:val="yellow"/>
              </w:rPr>
              <w:t>日</w:t>
            </w:r>
            <w:r>
              <w:rPr>
                <w:rFonts w:hint="eastAsia" w:eastAsia="宋体" w:cs="宋体"/>
                <w:highlight w:val="yellow"/>
                <w:lang w:val="en-US" w:eastAsia="zh-CN"/>
              </w:rPr>
              <w:t>17时00分00秒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李月兵/17860602093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8</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sz w:val="24"/>
                <w:szCs w:val="24"/>
                <w:highlight w:val="yellow"/>
              </w:rPr>
              <w:t>自中标通知书下发之日起，60个日历日之内交货至供货地点。</w:t>
            </w:r>
          </w:p>
          <w:p>
            <w:pPr>
              <w:pStyle w:val="17"/>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sz w:val="24"/>
                <w:szCs w:val="24"/>
                <w:highlight w:val="yellow"/>
              </w:rPr>
              <w:t>自中标通知书下发之日起，90个日历日之内安装调试完毕，并投入使用。</w:t>
            </w:r>
          </w:p>
          <w:p>
            <w:pPr>
              <w:pStyle w:val="11"/>
              <w:rPr>
                <w:rFonts w:hint="eastAsia" w:ascii="宋体" w:hAnsi="宋体" w:eastAsia="宋体" w:cs="宋体"/>
                <w:sz w:val="24"/>
                <w:szCs w:val="24"/>
                <w:highlight w:val="yellow"/>
              </w:rPr>
            </w:pPr>
            <w:r>
              <w:rPr>
                <w:rFonts w:hint="eastAsia" w:ascii="宋体" w:hAnsi="宋体" w:eastAsia="宋体" w:cs="宋体"/>
                <w:color w:val="000000"/>
                <w:sz w:val="24"/>
                <w:szCs w:val="24"/>
                <w:highlight w:val="yellow"/>
              </w:rPr>
              <w:t>安装调试工期超过</w:t>
            </w:r>
            <w:r>
              <w:rPr>
                <w:rFonts w:hint="eastAsia" w:ascii="宋体" w:hAnsi="宋体" w:eastAsia="宋体" w:cs="宋体"/>
                <w:color w:val="000000"/>
                <w:sz w:val="24"/>
                <w:szCs w:val="24"/>
                <w:highlight w:val="yellow"/>
                <w:u w:val="single"/>
              </w:rPr>
              <w:t>5个日历日</w:t>
            </w:r>
            <w:r>
              <w:rPr>
                <w:rFonts w:hint="eastAsia" w:ascii="宋体" w:hAnsi="宋体" w:eastAsia="宋体" w:cs="宋体"/>
                <w:color w:val="000000"/>
                <w:sz w:val="24"/>
                <w:szCs w:val="24"/>
                <w:highlight w:val="yellow"/>
              </w:rPr>
              <w:t>的，投标人应当随标书提供详细的工期计划。</w:t>
            </w:r>
          </w:p>
          <w:p>
            <w:pPr>
              <w:pStyle w:val="17"/>
              <w:ind w:firstLine="480" w:firstLineChars="200"/>
              <w:rPr>
                <w:rFonts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济南市高新区华奥路777号重汽科技中心园区</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货物全部到货后，卖方开具金额为该合同设备价格60%的增值税专用发票带60%的收据（含复印件二份），经买方依照财务制度审核无误后30个工作日支付合同价款的60%。</w:t>
            </w:r>
          </w:p>
          <w:p>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设备全部到齐，经现场安装、调试、验收合格交付使用后，卖方提交金额为合同价款30%的收据并附带下列单据，经买方依照财务制度审核无误后30个工作日支付合同价款的30%。</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a.金额为该合同设备价格40%的增值税专用发票（含复印件二份），具体开票信息详见发票信息表，根据表中所列分别开具增值税发票。</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5"/>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hint="default"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pPr>
              <w:pStyle w:val="10"/>
              <w:ind w:firstLine="480" w:firstLineChars="200"/>
              <w:rPr>
                <w:rFonts w:hint="default"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pPr>
              <w:pStyle w:val="10"/>
              <w:ind w:firstLine="480" w:firstLineChars="200"/>
              <w:rPr>
                <w:rFonts w:hint="default"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pPr>
              <w:pStyle w:val="10"/>
              <w:ind w:firstLine="480" w:firstLineChars="200"/>
              <w:rPr>
                <w:rFonts w:hint="default"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p>
            <w:pPr>
              <w:pStyle w:val="10"/>
              <w:ind w:firstLine="480" w:firstLineChars="200"/>
              <w:rPr>
                <w:rFonts w:hint="eastAsia" w:ascii="宋体" w:hAnsi="宋体" w:eastAsia="宋体" w:cs="宋体"/>
                <w:sz w:val="24"/>
                <w:szCs w:val="24"/>
              </w:rPr>
            </w:pP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752"/>
      <w:bookmarkStart w:id="7" w:name="_Toc33266950"/>
      <w:bookmarkStart w:id="8" w:name="_Toc33266914"/>
      <w:bookmarkStart w:id="9" w:name="_Toc33285487"/>
      <w:bookmarkStart w:id="10" w:name="_Toc33265653"/>
      <w:bookmarkStart w:id="11" w:name="_Toc33266627"/>
      <w:bookmarkStart w:id="12" w:name="_Toc33267001"/>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85489"/>
      <w:bookmarkStart w:id="15" w:name="_Toc33265654"/>
      <w:bookmarkStart w:id="16" w:name="_Toc33267002"/>
      <w:bookmarkStart w:id="17" w:name="_Toc33266628"/>
      <w:bookmarkStart w:id="18" w:name="_Toc33266915"/>
      <w:bookmarkStart w:id="19" w:name="_Toc395116634"/>
      <w:bookmarkStart w:id="20" w:name="_Toc33266951"/>
      <w:bookmarkStart w:id="21" w:name="_Toc33265753"/>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7"/>
      <w:bookmarkStart w:id="24" w:name="OLE_LINK25"/>
      <w:bookmarkStart w:id="25" w:name="OLE_LINK28"/>
      <w:bookmarkStart w:id="26" w:name="OLE_LINK26"/>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11980"/>
      <w:r>
        <w:rPr>
          <w:rFonts w:hint="eastAsia" w:ascii="Calibri" w:hAnsi="Calibri" w:eastAsia="宋体" w:cs="Times New Roman"/>
          <w:b/>
          <w:bCs/>
          <w:kern w:val="44"/>
          <w:sz w:val="36"/>
          <w:szCs w:val="44"/>
        </w:rPr>
        <w:t>第四部分 技术标书</w:t>
      </w:r>
      <w:bookmarkEnd w:id="32"/>
    </w:p>
    <w:p>
      <w:pPr>
        <w:pStyle w:val="17"/>
      </w:pP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莱芜工厂车身外饰件底涂清洗系统改造</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人：中国重汽集团济南卡车制造有限公司</w:t>
      </w: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 xml:space="preserve">2024年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headerReference r:id="rId12" w:type="default"/>
          <w:footerReference r:id="rId13"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pPr>
        <w:spacing w:line="360" w:lineRule="auto"/>
        <w:ind w:firstLine="120" w:firstLineChars="50"/>
        <w:rPr>
          <w:rFonts w:hint="eastAsia" w:ascii="宋体" w:hAnsi="宋体" w:eastAsia="宋体" w:cs="宋体"/>
          <w:sz w:val="24"/>
          <w:szCs w:val="24"/>
          <w:u w:val="single"/>
        </w:rPr>
      </w:pPr>
      <w:r>
        <w:rPr>
          <w:rFonts w:hint="eastAsia" w:ascii="宋体" w:hAnsi="宋体" w:eastAsia="宋体" w:cs="宋体"/>
          <w:sz w:val="24"/>
          <w:szCs w:val="24"/>
        </w:rPr>
        <w:t>（一）、项目名称：</w:t>
      </w:r>
      <w:r>
        <w:rPr>
          <w:rFonts w:hint="eastAsia" w:ascii="宋体" w:hAnsi="宋体" w:eastAsia="宋体" w:cs="宋体"/>
          <w:sz w:val="24"/>
          <w:szCs w:val="24"/>
          <w:u w:val="single"/>
        </w:rPr>
        <w:t>莱芜工厂车身外饰件底涂清洗系统改造项目</w:t>
      </w:r>
    </w:p>
    <w:p>
      <w:pPr>
        <w:spacing w:line="360" w:lineRule="auto"/>
        <w:ind w:firstLine="120" w:firstLineChars="50"/>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莱芜工厂车身外饰件现场分部</w:t>
      </w:r>
    </w:p>
    <w:p>
      <w:pPr>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（三）、生产纲领及节拍：</w:t>
      </w:r>
    </w:p>
    <w:p>
      <w:pPr>
        <w:pStyle w:val="11"/>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生产纲领：净节拍90JPH；</w:t>
      </w:r>
    </w:p>
    <w:p>
      <w:pPr>
        <w:pStyle w:val="11"/>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工作制度：250 工作日/年，两班 16 小时（2x8h）/工作日；</w:t>
      </w:r>
    </w:p>
    <w:p>
      <w:pPr>
        <w:spacing w:line="360" w:lineRule="auto"/>
        <w:ind w:firstLine="120" w:firstLineChars="50"/>
        <w:rPr>
          <w:rFonts w:hint="eastAsia" w:ascii="宋体" w:hAnsi="宋体" w:eastAsia="宋体" w:cs="宋体"/>
          <w:sz w:val="24"/>
          <w:szCs w:val="24"/>
        </w:rPr>
      </w:pPr>
      <w:r>
        <w:rPr>
          <w:rFonts w:hint="eastAsia" w:ascii="宋体" w:hAnsi="宋体" w:eastAsia="宋体" w:cs="宋体"/>
          <w:sz w:val="24"/>
          <w:szCs w:val="24"/>
        </w:rPr>
        <w:t>二、承揽项目名称和数量</w:t>
      </w:r>
    </w:p>
    <w:p>
      <w:pPr>
        <w:spacing w:line="360" w:lineRule="auto"/>
        <w:ind w:firstLine="120" w:firstLineChars="50"/>
        <w:rPr>
          <w:rFonts w:hint="eastAsia" w:ascii="宋体" w:hAnsi="宋体" w:eastAsia="宋体" w:cs="宋体"/>
          <w:sz w:val="24"/>
          <w:szCs w:val="24"/>
          <w:u w:val="single"/>
        </w:rPr>
      </w:pPr>
      <w:r>
        <w:rPr>
          <w:rFonts w:hint="eastAsia" w:ascii="宋体" w:hAnsi="宋体" w:eastAsia="宋体" w:cs="宋体"/>
          <w:sz w:val="24"/>
          <w:szCs w:val="24"/>
        </w:rPr>
        <w:t>（一）、名称：</w:t>
      </w:r>
      <w:r>
        <w:rPr>
          <w:rFonts w:hint="eastAsia" w:ascii="宋体" w:hAnsi="宋体" w:eastAsia="宋体" w:cs="宋体"/>
          <w:sz w:val="24"/>
          <w:szCs w:val="24"/>
          <w:u w:val="single"/>
        </w:rPr>
        <w:t>莱芜工厂车身外饰件底涂清洗系统改造</w:t>
      </w:r>
    </w:p>
    <w:p>
      <w:pPr>
        <w:spacing w:line="360" w:lineRule="auto"/>
        <w:ind w:firstLine="120" w:firstLineChars="50"/>
        <w:rPr>
          <w:rFonts w:hint="eastAsia" w:ascii="宋体" w:hAnsi="宋体" w:eastAsia="宋体" w:cs="宋体"/>
          <w:sz w:val="24"/>
          <w:szCs w:val="24"/>
          <w:u w:val="single"/>
          <w:shd w:val="clear" w:color="auto" w:fill="7F7F7F"/>
        </w:rPr>
      </w:pPr>
      <w:r>
        <w:rPr>
          <w:rFonts w:hint="eastAsia" w:ascii="宋体" w:hAnsi="宋体" w:eastAsia="宋体" w:cs="宋体"/>
          <w:sz w:val="24"/>
          <w:szCs w:val="24"/>
        </w:rPr>
        <w:t>（二）、数量：</w:t>
      </w:r>
      <w:r>
        <w:rPr>
          <w:rFonts w:hint="eastAsia" w:ascii="宋体" w:hAnsi="宋体" w:eastAsia="宋体" w:cs="宋体"/>
          <w:sz w:val="24"/>
          <w:szCs w:val="24"/>
          <w:u w:val="single"/>
        </w:rPr>
        <w:t>项目改造名称、数目见下表。</w:t>
      </w:r>
    </w:p>
    <w:tbl>
      <w:tblPr>
        <w:tblStyle w:val="36"/>
        <w:tblW w:w="8919" w:type="dxa"/>
        <w:jc w:val="center"/>
        <w:tblLayout w:type="autofit"/>
        <w:tblCellMar>
          <w:top w:w="0" w:type="dxa"/>
          <w:left w:w="0" w:type="dxa"/>
          <w:bottom w:w="0" w:type="dxa"/>
          <w:right w:w="0" w:type="dxa"/>
        </w:tblCellMar>
      </w:tblPr>
      <w:tblGrid>
        <w:gridCol w:w="645"/>
        <w:gridCol w:w="4757"/>
        <w:gridCol w:w="2226"/>
        <w:gridCol w:w="646"/>
        <w:gridCol w:w="645"/>
      </w:tblGrid>
      <w:tr>
        <w:tblPrEx>
          <w:tblCellMar>
            <w:top w:w="0" w:type="dxa"/>
            <w:left w:w="0" w:type="dxa"/>
            <w:bottom w:w="0" w:type="dxa"/>
            <w:right w:w="0" w:type="dxa"/>
          </w:tblCellMar>
        </w:tblPrEx>
        <w:trPr>
          <w:trHeight w:val="472" w:hRule="atLeast"/>
          <w:jc w:val="center"/>
        </w:trPr>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757" w:type="dxa"/>
            <w:tcBorders>
              <w:top w:val="single" w:color="auto" w:sz="4" w:space="0"/>
              <w:left w:val="nil"/>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改造项目</w:t>
            </w:r>
          </w:p>
        </w:tc>
        <w:tc>
          <w:tcPr>
            <w:tcW w:w="0" w:type="auto"/>
            <w:tcBorders>
              <w:top w:val="single" w:color="auto" w:sz="4" w:space="0"/>
              <w:left w:val="nil"/>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施工地点</w:t>
            </w:r>
          </w:p>
        </w:tc>
        <w:tc>
          <w:tcPr>
            <w:tcW w:w="0" w:type="auto"/>
            <w:tcBorders>
              <w:top w:val="single" w:color="auto" w:sz="4" w:space="0"/>
              <w:left w:val="nil"/>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CellMar>
            <w:top w:w="0" w:type="dxa"/>
            <w:left w:w="0" w:type="dxa"/>
            <w:bottom w:w="0" w:type="dxa"/>
            <w:right w:w="0" w:type="dxa"/>
          </w:tblCellMar>
        </w:tblPrEx>
        <w:trPr>
          <w:trHeight w:val="514" w:hRule="atLeast"/>
          <w:jc w:val="center"/>
        </w:trPr>
        <w:tc>
          <w:tcPr>
            <w:tcW w:w="645" w:type="dxa"/>
            <w:tcBorders>
              <w:top w:val="nil"/>
              <w:left w:val="single" w:color="auto" w:sz="4" w:space="0"/>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757"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车身外饰件底涂清洗系统改造项目</w:t>
            </w:r>
          </w:p>
        </w:tc>
        <w:tc>
          <w:tcPr>
            <w:tcW w:w="0" w:type="auto"/>
            <w:tcBorders>
              <w:top w:val="single" w:color="auto" w:sz="4" w:space="0"/>
              <w:left w:val="nil"/>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外饰件现场分部</w:t>
            </w:r>
          </w:p>
        </w:tc>
        <w:tc>
          <w:tcPr>
            <w:tcW w:w="0" w:type="auto"/>
            <w:tcBorders>
              <w:top w:val="nil"/>
              <w:left w:val="nil"/>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645" w:type="dxa"/>
            <w:tcBorders>
              <w:top w:val="nil"/>
              <w:left w:val="single" w:color="auto" w:sz="4" w:space="0"/>
              <w:bottom w:val="single" w:color="auto" w:sz="4" w:space="0"/>
              <w:right w:val="single" w:color="auto" w:sz="4" w:space="0"/>
              <w:tl2br w:val="nil"/>
              <w:tr2bl w:val="nil"/>
            </w:tcBorders>
            <w:vAlign w:val="center"/>
          </w:tcPr>
          <w:p>
            <w:pPr>
              <w:widowControl/>
              <w:spacing w:line="360" w:lineRule="auto"/>
              <w:jc w:val="center"/>
              <w:rPr>
                <w:rFonts w:hint="eastAsia" w:ascii="宋体" w:hAnsi="宋体" w:eastAsia="宋体" w:cs="宋体"/>
                <w:sz w:val="24"/>
                <w:szCs w:val="24"/>
              </w:rPr>
            </w:pPr>
          </w:p>
        </w:tc>
      </w:tr>
    </w:tbl>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采购货物主要构成一览</w:t>
      </w:r>
      <w:r>
        <w:rPr>
          <w:rFonts w:hint="eastAsia" w:ascii="宋体" w:hAnsi="宋体" w:eastAsia="宋体" w:cs="宋体"/>
          <w:sz w:val="24"/>
          <w:szCs w:val="24"/>
          <w:lang w:val="en-US" w:eastAsia="zh-CN"/>
        </w:rPr>
        <w:t>表</w:t>
      </w:r>
    </w:p>
    <w:tbl>
      <w:tblPr>
        <w:tblStyle w:val="36"/>
        <w:tblW w:w="4997"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2"/>
        <w:gridCol w:w="4218"/>
        <w:gridCol w:w="1506"/>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序号</w:t>
            </w:r>
          </w:p>
        </w:tc>
        <w:tc>
          <w:tcPr>
            <w:tcW w:w="2311"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改造内容</w:t>
            </w:r>
          </w:p>
        </w:tc>
        <w:tc>
          <w:tcPr>
            <w:tcW w:w="825"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数量</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1</w:t>
            </w:r>
          </w:p>
        </w:tc>
        <w:tc>
          <w:tcPr>
            <w:tcW w:w="2311" w:type="pct"/>
            <w:shd w:val="clear" w:color="auto" w:fill="auto"/>
            <w:tcMar>
              <w:top w:w="20" w:type="dxa"/>
              <w:left w:w="20" w:type="dxa"/>
              <w:bottom w:w="72" w:type="dxa"/>
              <w:right w:w="20" w:type="dxa"/>
            </w:tcMar>
            <w:vAlign w:val="center"/>
          </w:tcPr>
          <w:p>
            <w:pPr>
              <w:widowControl/>
              <w:jc w:val="center"/>
              <w:textAlignment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溶剂供给系统</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双线均连接至机器人、新增2KS、现有2KE</w:t>
            </w:r>
            <w:r>
              <w:rPr>
                <w:rFonts w:hint="eastAsia" w:ascii="宋体" w:hAnsi="宋体" w:eastAsia="宋体" w:cs="宋体"/>
                <w:b w:val="0"/>
                <w:bCs w:val="0"/>
                <w:color w:val="000000" w:themeColor="text1"/>
                <w:sz w:val="24"/>
                <w:szCs w:val="24"/>
                <w:lang w:eastAsia="zh-CN"/>
                <w14:textFill>
                  <w14:solidFill>
                    <w14:schemeClr w14:val="tx1"/>
                  </w14:solidFill>
                </w14:textFill>
              </w:rPr>
              <w:t>）</w:t>
            </w:r>
          </w:p>
        </w:tc>
        <w:tc>
          <w:tcPr>
            <w:tcW w:w="825"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建议GRACO与现场品牌一致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2</w:t>
            </w:r>
          </w:p>
        </w:tc>
        <w:tc>
          <w:tcPr>
            <w:tcW w:w="2311"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废溶剂回收系统</w:t>
            </w:r>
          </w:p>
        </w:tc>
        <w:tc>
          <w:tcPr>
            <w:tcW w:w="825"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建议GRACO与现场品牌一致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3</w:t>
            </w:r>
          </w:p>
        </w:tc>
        <w:tc>
          <w:tcPr>
            <w:tcW w:w="2311"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2ks</w:t>
            </w:r>
            <w:r>
              <w:rPr>
                <w:rFonts w:hint="eastAsia" w:ascii="宋体" w:hAnsi="宋体" w:eastAsia="宋体" w:cs="宋体"/>
                <w:b w:val="0"/>
                <w:bCs w:val="0"/>
                <w:color w:val="000000" w:themeColor="text1"/>
                <w:sz w:val="24"/>
                <w:szCs w:val="24"/>
                <w:lang w:val="en-US" w:eastAsia="zh-CN"/>
                <w14:textFill>
                  <w14:solidFill>
                    <w14:schemeClr w14:val="tx1"/>
                  </w14:solidFill>
                </w14:textFill>
              </w:rPr>
              <w:t>供漆系统</w:t>
            </w:r>
          </w:p>
        </w:tc>
        <w:tc>
          <w:tcPr>
            <w:tcW w:w="825"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highlight w:val="yellow"/>
                <w14:textFill>
                  <w14:solidFill>
                    <w14:schemeClr w14:val="tx1"/>
                  </w14:solidFill>
                </w14:textFill>
              </w:rPr>
              <w:t>2</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建议GRACO与现场品牌一致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4</w:t>
            </w:r>
          </w:p>
        </w:tc>
        <w:tc>
          <w:tcPr>
            <w:tcW w:w="2311" w:type="pct"/>
            <w:shd w:val="clear" w:color="auto" w:fill="auto"/>
            <w:tcMar>
              <w:top w:w="20" w:type="dxa"/>
              <w:left w:w="20" w:type="dxa"/>
              <w:bottom w:w="72" w:type="dxa"/>
              <w:right w:w="20" w:type="dxa"/>
            </w:tcMar>
            <w:vAlign w:val="center"/>
          </w:tcPr>
          <w:p>
            <w:pPr>
              <w:widowControl/>
              <w:jc w:val="center"/>
              <w:textAlignment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yellow"/>
                <w14:textFill>
                  <w14:solidFill>
                    <w14:schemeClr w14:val="tx1"/>
                  </w14:solidFill>
                </w14:textFill>
              </w:rPr>
              <w:t>机器人废溶剂回收</w:t>
            </w:r>
            <w:r>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t>设备</w:t>
            </w:r>
          </w:p>
        </w:tc>
        <w:tc>
          <w:tcPr>
            <w:tcW w:w="825"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4</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建议DURR配套机器人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5</w:t>
            </w:r>
          </w:p>
        </w:tc>
        <w:tc>
          <w:tcPr>
            <w:tcW w:w="2311" w:type="pct"/>
            <w:shd w:val="clear" w:color="auto" w:fill="auto"/>
            <w:tcMar>
              <w:top w:w="20" w:type="dxa"/>
              <w:left w:w="20" w:type="dxa"/>
              <w:bottom w:w="72" w:type="dxa"/>
              <w:right w:w="20" w:type="dxa"/>
            </w:tcMar>
            <w:vAlign w:val="center"/>
          </w:tcPr>
          <w:p>
            <w:pPr>
              <w:widowControl/>
              <w:jc w:val="center"/>
              <w:textAlignment w:val="center"/>
              <w:rPr>
                <w:rFonts w:hint="default" w:ascii="宋体" w:hAnsi="宋体" w:eastAsia="宋体" w:cs="宋体"/>
                <w:b w:val="0"/>
                <w:bCs w:val="0"/>
                <w:color w:val="000000" w:themeColor="text1"/>
                <w:sz w:val="24"/>
                <w:szCs w:val="24"/>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t>程序调整</w:t>
            </w:r>
          </w:p>
        </w:tc>
        <w:tc>
          <w:tcPr>
            <w:tcW w:w="825" w:type="pct"/>
            <w:shd w:val="clear" w:color="auto" w:fill="auto"/>
            <w:tcMar>
              <w:top w:w="20" w:type="dxa"/>
              <w:left w:w="20" w:type="dxa"/>
              <w:bottom w:w="72" w:type="dxa"/>
              <w:right w:w="20" w:type="dxa"/>
            </w:tcMar>
            <w:vAlign w:val="center"/>
          </w:tcPr>
          <w:p>
            <w:pPr>
              <w:widowControl/>
              <w:jc w:val="center"/>
              <w:textAlignment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GRACO控制柜与DURR机器人适配性调整</w:t>
            </w:r>
          </w:p>
        </w:tc>
      </w:tr>
    </w:tbl>
    <w:p>
      <w:pPr>
        <w:spacing w:line="360" w:lineRule="auto"/>
        <w:rPr>
          <w:rFonts w:ascii="宋体" w:hAnsi="宋体" w:eastAsia="宋体" w:cs="宋体"/>
          <w:bCs/>
          <w:sz w:val="24"/>
          <w:szCs w:val="24"/>
        </w:rPr>
      </w:pPr>
    </w:p>
    <w:p>
      <w:pPr>
        <w:spacing w:line="360" w:lineRule="auto"/>
        <w:rPr>
          <w:rFonts w:ascii="宋体" w:hAnsi="宋体" w:eastAsia="宋体" w:cs="宋体"/>
          <w:bCs/>
          <w:sz w:val="24"/>
          <w:szCs w:val="24"/>
          <w:highlight w:val="yellow"/>
        </w:rPr>
      </w:pPr>
      <w:r>
        <w:rPr>
          <w:rFonts w:hint="eastAsia" w:ascii="宋体" w:hAnsi="宋体" w:eastAsia="宋体" w:cs="宋体"/>
          <w:bCs/>
          <w:sz w:val="24"/>
          <w:szCs w:val="24"/>
          <w:highlight w:val="yellow"/>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rPr>
          <w:rFonts w:ascii="宋体" w:hAnsi="宋体" w:eastAsia="宋体" w:cs="宋体"/>
          <w:bCs/>
          <w:sz w:val="24"/>
          <w:szCs w:val="24"/>
          <w:highlight w:val="yellow"/>
        </w:rPr>
      </w:pPr>
      <w:r>
        <w:rPr>
          <w:rFonts w:hint="eastAsia" w:ascii="宋体" w:hAnsi="宋体" w:eastAsia="宋体" w:cs="宋体"/>
          <w:bCs/>
          <w:sz w:val="24"/>
          <w:szCs w:val="24"/>
          <w:highlight w:val="yellow"/>
        </w:rPr>
        <w:t>2</w:t>
      </w:r>
      <w:r>
        <w:rPr>
          <w:rFonts w:hint="eastAsia" w:ascii="宋体" w:hAnsi="宋体" w:eastAsia="宋体" w:cs="宋体"/>
          <w:bCs/>
          <w:sz w:val="24"/>
          <w:szCs w:val="24"/>
          <w:highlight w:val="yellow"/>
          <w:lang w:eastAsia="zh-CN"/>
        </w:rPr>
        <w:t>.</w:t>
      </w:r>
      <w:r>
        <w:rPr>
          <w:rFonts w:hint="eastAsia" w:ascii="宋体" w:hAnsi="宋体" w:eastAsia="宋体" w:cs="宋体"/>
          <w:bCs/>
          <w:sz w:val="24"/>
          <w:szCs w:val="24"/>
          <w:highlight w:val="yellow"/>
        </w:rPr>
        <w:t>本表“供货方式”指：交钥匙方式——包括制造、运输、定点卸货、安装、调试和协助验收以及约定培训等。</w:t>
      </w:r>
    </w:p>
    <w:p>
      <w:pPr>
        <w:pStyle w:val="11"/>
        <w:spacing w:line="360" w:lineRule="auto"/>
        <w:rPr>
          <w:sz w:val="24"/>
          <w:szCs w:val="24"/>
          <w:highlight w:val="yellow"/>
        </w:rPr>
      </w:pPr>
      <w:r>
        <w:rPr>
          <w:rFonts w:hint="eastAsia" w:ascii="宋体" w:hAnsi="宋体" w:eastAsia="宋体" w:cs="宋体"/>
          <w:bCs/>
          <w:color w:val="auto"/>
          <w:kern w:val="2"/>
          <w:sz w:val="24"/>
          <w:szCs w:val="24"/>
          <w:highlight w:val="yellow"/>
          <w:lang w:val="en-US" w:eastAsia="zh-CN" w:bidi="ar-SA"/>
        </w:rPr>
        <w:t>3</w:t>
      </w:r>
      <w:r>
        <w:rPr>
          <w:rFonts w:hint="eastAsia" w:eastAsia="宋体" w:cs="宋体"/>
          <w:bCs/>
          <w:color w:val="auto"/>
          <w:kern w:val="2"/>
          <w:sz w:val="24"/>
          <w:szCs w:val="24"/>
          <w:highlight w:val="yellow"/>
          <w:lang w:val="en-US" w:eastAsia="zh-CN" w:bidi="ar-SA"/>
        </w:rPr>
        <w:t>.</w:t>
      </w:r>
      <w:r>
        <w:rPr>
          <w:rFonts w:hint="eastAsia" w:ascii="宋体" w:hAnsi="宋体" w:eastAsia="宋体" w:cs="宋体"/>
          <w:bCs/>
          <w:color w:val="auto"/>
          <w:kern w:val="2"/>
          <w:sz w:val="24"/>
          <w:szCs w:val="24"/>
          <w:highlight w:val="yellow"/>
          <w:lang w:val="en-US" w:eastAsia="zh-CN" w:bidi="ar-SA"/>
        </w:rPr>
        <w:t>以上内</w:t>
      </w:r>
      <w:r>
        <w:rPr>
          <w:rFonts w:hint="eastAsia" w:eastAsia="宋体" w:cs="宋体"/>
          <w:bCs/>
          <w:color w:val="auto"/>
          <w:sz w:val="24"/>
          <w:szCs w:val="24"/>
          <w:highlight w:val="yellow"/>
        </w:rPr>
        <w:t>容仅对设备的基本功能进行了描述和建议，表中所列内容仅供参考，投标方投标前需对生产现场工艺环境进行充分调研与了解，确保投标方案满足工艺、产品、节拍、功能等要求，投标方对投标方案负责。</w:t>
      </w:r>
    </w:p>
    <w:p>
      <w:pPr>
        <w:pStyle w:val="17"/>
        <w:spacing w:line="360" w:lineRule="auto"/>
        <w:jc w:val="both"/>
        <w:rPr>
          <w:rFonts w:hAnsi="宋体" w:eastAsia="宋体" w:cs="宋体"/>
          <w:bCs/>
          <w:sz w:val="24"/>
          <w:szCs w:val="24"/>
        </w:rPr>
      </w:pPr>
      <w:r>
        <w:rPr>
          <w:rFonts w:hint="eastAsia" w:hAnsi="宋体" w:eastAsia="宋体" w:cs="宋体"/>
          <w:bCs/>
          <w:sz w:val="24"/>
          <w:szCs w:val="24"/>
          <w:lang w:val="en-US" w:eastAsia="zh-CN"/>
        </w:rPr>
        <w:t>4.</w:t>
      </w:r>
      <w:r>
        <w:rPr>
          <w:rFonts w:hint="eastAsia" w:hAnsi="宋体" w:eastAsia="宋体" w:cs="宋体"/>
          <w:bCs/>
          <w:sz w:val="24"/>
          <w:szCs w:val="24"/>
        </w:rPr>
        <w:t>主要器件品牌</w:t>
      </w:r>
    </w:p>
    <w:p>
      <w:pPr>
        <w:pStyle w:val="126"/>
        <w:widowControl/>
        <w:spacing w:line="360" w:lineRule="auto"/>
        <w:ind w:left="0" w:leftChars="0" w:firstLine="0" w:firstLineChars="0"/>
        <w:contextualSpacing/>
        <w:rPr>
          <w:rFonts w:ascii="宋体" w:hAnsi="宋体" w:eastAsia="宋体" w:cs="宋体"/>
          <w:sz w:val="24"/>
          <w:szCs w:val="24"/>
        </w:rPr>
      </w:pPr>
      <w:r>
        <w:rPr>
          <w:rFonts w:hint="eastAsia" w:ascii="宋体" w:hAnsi="宋体" w:eastAsia="宋体" w:cs="宋体"/>
          <w:sz w:val="24"/>
          <w:szCs w:val="24"/>
          <w:lang w:val="en-US" w:eastAsia="zh-CN"/>
        </w:rPr>
        <w:t>4.1</w:t>
      </w:r>
      <w:r>
        <w:rPr>
          <w:rFonts w:hint="eastAsia" w:ascii="宋体" w:hAnsi="宋体" w:eastAsia="宋体" w:cs="宋体"/>
          <w:sz w:val="24"/>
          <w:szCs w:val="24"/>
        </w:rPr>
        <w:t>投标方设备选型时，机械和电气元件尽可能选用同型号或种类的产品，以便减少备品备件种类。</w:t>
      </w:r>
    </w:p>
    <w:p>
      <w:pPr>
        <w:pStyle w:val="126"/>
        <w:widowControl/>
        <w:spacing w:line="360" w:lineRule="auto"/>
        <w:ind w:left="0" w:leftChars="0" w:firstLine="0" w:firstLineChars="0"/>
        <w:contextualSpacing/>
        <w:rPr>
          <w:rFonts w:ascii="宋体" w:hAnsi="宋体" w:eastAsia="宋体" w:cs="宋体"/>
          <w:sz w:val="24"/>
          <w:szCs w:val="24"/>
        </w:rPr>
      </w:pPr>
      <w:r>
        <w:rPr>
          <w:rFonts w:hint="eastAsia" w:ascii="宋体" w:hAnsi="宋体" w:eastAsia="宋体" w:cs="宋体"/>
          <w:sz w:val="24"/>
          <w:szCs w:val="24"/>
          <w:lang w:val="en-US" w:eastAsia="zh-CN"/>
        </w:rPr>
        <w:t>4.2</w:t>
      </w:r>
      <w:r>
        <w:rPr>
          <w:rFonts w:hint="eastAsia" w:ascii="宋体" w:hAnsi="宋体" w:eastAsia="宋体" w:cs="宋体"/>
          <w:sz w:val="24"/>
          <w:szCs w:val="24"/>
        </w:rPr>
        <w:t>对于设备的品牌和材料，未明确指定的，首先由投标方提出建议，最终经招标方评审通过并书面确认后实施。</w:t>
      </w:r>
    </w:p>
    <w:p>
      <w:pPr>
        <w:pStyle w:val="126"/>
        <w:widowControl/>
        <w:spacing w:line="360" w:lineRule="auto"/>
        <w:ind w:left="0" w:leftChars="0" w:firstLine="0" w:firstLineChars="0"/>
        <w:contextualSpacing/>
        <w:rPr>
          <w:rFonts w:ascii="宋体" w:hAnsi="宋体" w:eastAsia="宋体" w:cs="宋体"/>
          <w:sz w:val="24"/>
          <w:szCs w:val="24"/>
        </w:rPr>
      </w:pPr>
      <w:r>
        <w:rPr>
          <w:rFonts w:hint="eastAsia" w:ascii="宋体" w:hAnsi="宋体" w:eastAsia="宋体" w:cs="宋体"/>
          <w:sz w:val="24"/>
          <w:szCs w:val="24"/>
          <w:lang w:val="en-US" w:eastAsia="zh-CN"/>
        </w:rPr>
        <w:t>4.3</w:t>
      </w:r>
      <w:r>
        <w:rPr>
          <w:rFonts w:hint="eastAsia" w:ascii="宋体" w:hAnsi="宋体" w:eastAsia="宋体" w:cs="宋体"/>
          <w:sz w:val="24"/>
          <w:szCs w:val="24"/>
        </w:rPr>
        <w:t>招标方推荐的品牌范围，是投标方必须执行的，其他未明确的相关要求必须与招标方现场使用品牌保持一致，且投标方在回标报价中必须明确所选择的分包商及设备和元器件品牌。</w:t>
      </w:r>
    </w:p>
    <w:p>
      <w:pPr>
        <w:pStyle w:val="126"/>
        <w:widowControl/>
        <w:spacing w:line="360" w:lineRule="auto"/>
        <w:ind w:firstLine="480"/>
        <w:contextualSpacing/>
        <w:rPr>
          <w:rFonts w:ascii="宋体" w:hAnsi="宋体" w:eastAsia="宋体" w:cs="宋体"/>
          <w:sz w:val="24"/>
          <w:szCs w:val="24"/>
        </w:rPr>
      </w:pPr>
      <w:r>
        <w:rPr>
          <w:rFonts w:hint="eastAsia" w:ascii="宋体" w:hAnsi="宋体" w:eastAsia="宋体" w:cs="宋体"/>
          <w:sz w:val="24"/>
          <w:szCs w:val="24"/>
        </w:rPr>
        <w:t>如遇特殊情况，投标方可通过“偏离申请”的方式，书面向招标方提出元器件品牌由其他代替，其替代原则如下：</w:t>
      </w:r>
    </w:p>
    <w:p>
      <w:pPr>
        <w:pStyle w:val="126"/>
        <w:widowControl/>
        <w:spacing w:line="360" w:lineRule="auto"/>
        <w:ind w:firstLine="480"/>
        <w:contextualSpacing/>
        <w:rPr>
          <w:rFonts w:ascii="宋体" w:hAnsi="宋体" w:eastAsia="宋体" w:cs="宋体"/>
          <w:sz w:val="24"/>
          <w:szCs w:val="24"/>
        </w:rPr>
      </w:pPr>
      <w:r>
        <w:rPr>
          <w:rFonts w:hint="eastAsia" w:ascii="宋体" w:hAnsi="宋体" w:eastAsia="宋体" w:cs="宋体"/>
          <w:sz w:val="24"/>
          <w:szCs w:val="24"/>
        </w:rPr>
        <w:t>投标方提出的“偏离申请”必须在提交投标书时以书面形式正式向招标方提出。</w:t>
      </w:r>
    </w:p>
    <w:p>
      <w:pPr>
        <w:pStyle w:val="126"/>
        <w:widowControl/>
        <w:spacing w:line="360" w:lineRule="auto"/>
        <w:ind w:firstLine="480"/>
        <w:contextualSpacing/>
        <w:rPr>
          <w:rFonts w:ascii="宋体" w:hAnsi="宋体" w:eastAsia="宋体" w:cs="宋体"/>
          <w:sz w:val="24"/>
          <w:szCs w:val="24"/>
        </w:rPr>
      </w:pPr>
      <w:r>
        <w:rPr>
          <w:rFonts w:hint="eastAsia" w:ascii="宋体" w:hAnsi="宋体" w:eastAsia="宋体" w:cs="宋体"/>
          <w:sz w:val="24"/>
          <w:szCs w:val="24"/>
        </w:rPr>
        <w:t>投标方在提交“偏离申请”时，需要对其提出的元器件出具相关的技术、质量、价格、服务资料及市场使用情况说明，以表明其满足本项目要求。</w:t>
      </w:r>
    </w:p>
    <w:p>
      <w:pPr>
        <w:pStyle w:val="126"/>
        <w:widowControl/>
        <w:spacing w:line="360" w:lineRule="auto"/>
        <w:ind w:firstLine="480"/>
        <w:contextualSpacing/>
        <w:rPr>
          <w:rFonts w:ascii="宋体" w:hAnsi="宋体" w:eastAsia="宋体" w:cs="宋体"/>
          <w:sz w:val="24"/>
          <w:szCs w:val="24"/>
        </w:rPr>
      </w:pPr>
      <w:r>
        <w:rPr>
          <w:rFonts w:hint="eastAsia" w:ascii="宋体" w:hAnsi="宋体" w:eastAsia="宋体" w:cs="宋体"/>
          <w:sz w:val="24"/>
          <w:szCs w:val="24"/>
        </w:rPr>
        <w:t>如最终确定为中标人，在签订合同时“偏离申请”只有在得到招标方认可确认后方可实施。</w:t>
      </w:r>
    </w:p>
    <w:p>
      <w:pPr>
        <w:pStyle w:val="126"/>
        <w:widowControl/>
        <w:spacing w:line="360" w:lineRule="auto"/>
        <w:ind w:firstLine="480"/>
        <w:contextualSpacing/>
        <w:rPr>
          <w:rFonts w:ascii="宋体" w:hAnsi="宋体" w:eastAsia="宋体" w:cs="宋体"/>
          <w:bCs/>
          <w:sz w:val="24"/>
          <w:szCs w:val="24"/>
        </w:rPr>
      </w:pPr>
      <w:r>
        <w:rPr>
          <w:rFonts w:hint="eastAsia" w:ascii="宋体" w:hAnsi="宋体" w:eastAsia="宋体" w:cs="宋体"/>
          <w:sz w:val="24"/>
          <w:szCs w:val="24"/>
        </w:rPr>
        <w:t>其他未提及的可能元器件品牌，招标方有权利向投标方进行询问或了解，其同样需要得到招标方的书面认可。</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 w:val="24"/>
          <w:szCs w:val="24"/>
        </w:rPr>
        <w:t>。</w:t>
      </w:r>
    </w:p>
    <w:p>
      <w:pPr>
        <w:widowControl/>
        <w:spacing w:line="360" w:lineRule="auto"/>
        <w:jc w:val="left"/>
        <w:rPr>
          <w:sz w:val="24"/>
          <w:szCs w:val="24"/>
          <w:highlight w:val="green"/>
        </w:rPr>
      </w:pPr>
      <w:r>
        <w:rPr>
          <w:sz w:val="24"/>
          <w:szCs w:val="24"/>
        </w:rPr>
        <w:br w:type="page"/>
      </w:r>
    </w:p>
    <w:p>
      <w:pPr>
        <w:keepNext/>
        <w:keepLines/>
        <w:spacing w:before="120" w:after="120" w:line="480" w:lineRule="exact"/>
        <w:jc w:val="center"/>
        <w:outlineLvl w:val="1"/>
        <w:rPr>
          <w:rFonts w:ascii="宋体" w:hAnsi="Calibri" w:eastAsia="宋体" w:cs="Times New Roman"/>
          <w:bCs/>
          <w:kern w:val="44"/>
          <w:sz w:val="28"/>
          <w:szCs w:val="28"/>
          <w:highlight w:val="none"/>
        </w:rPr>
      </w:pPr>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p>
    <w:p>
      <w:pPr>
        <w:spacing w:line="480" w:lineRule="exact"/>
        <w:ind w:firstLine="120" w:firstLineChars="50"/>
        <w:rPr>
          <w:rFonts w:ascii="宋体" w:hAnsi="宋体" w:eastAsia="宋体"/>
          <w:sz w:val="24"/>
        </w:rPr>
      </w:pPr>
      <w:r>
        <w:rPr>
          <w:rFonts w:hint="eastAsia" w:ascii="宋体" w:hAnsi="宋体" w:eastAsia="宋体"/>
          <w:sz w:val="24"/>
        </w:rPr>
        <w:t>（一）、基本要求</w:t>
      </w:r>
    </w:p>
    <w:p>
      <w:pPr>
        <w:spacing w:line="480" w:lineRule="exact"/>
        <w:ind w:firstLine="360" w:firstLineChars="150"/>
        <w:rPr>
          <w:rFonts w:hint="eastAsia" w:ascii="宋体" w:hAnsi="宋体" w:eastAsia="宋体"/>
          <w:sz w:val="24"/>
        </w:rPr>
      </w:pPr>
      <w:r>
        <w:rPr>
          <w:rFonts w:hint="eastAsia" w:ascii="宋体" w:hAnsi="宋体" w:eastAsia="宋体"/>
          <w:sz w:val="24"/>
        </w:rPr>
        <w:t>*1. 中标方应无条件与招标方的外饰件涂装线供应商配合，保证输调漆系统与机器人系统能够协调工作。</w:t>
      </w:r>
      <w:r>
        <w:rPr>
          <w:rFonts w:hint="eastAsia" w:ascii="宋体" w:hAnsi="宋体" w:eastAsia="宋体"/>
          <w:sz w:val="24"/>
          <w:lang w:val="en-US" w:eastAsia="zh-CN"/>
        </w:rPr>
        <w:t>目前招标方输调漆系统与机器人系统均未完成设备验收，</w:t>
      </w:r>
      <w:r>
        <w:rPr>
          <w:rFonts w:hint="eastAsia" w:ascii="宋体" w:hAnsi="宋体" w:eastAsia="宋体"/>
          <w:sz w:val="24"/>
        </w:rPr>
        <w:t>投标方</w:t>
      </w:r>
      <w:r>
        <w:rPr>
          <w:rFonts w:hint="eastAsia" w:ascii="宋体" w:hAnsi="宋体" w:eastAsia="宋体"/>
          <w:sz w:val="24"/>
          <w:lang w:val="en-US" w:eastAsia="zh-CN"/>
        </w:rPr>
        <w:t>在投标前应取得对其改造的书面授权</w:t>
      </w:r>
      <w:r>
        <w:rPr>
          <w:rFonts w:hint="eastAsia" w:ascii="宋体" w:hAnsi="宋体" w:eastAsia="宋体"/>
          <w:sz w:val="24"/>
        </w:rPr>
        <w:t>，保证外饰件涂装线的正常运行。</w:t>
      </w:r>
    </w:p>
    <w:p>
      <w:pPr>
        <w:spacing w:line="480" w:lineRule="exact"/>
        <w:ind w:firstLine="360" w:firstLineChars="150"/>
        <w:rPr>
          <w:rFonts w:hint="eastAsia" w:ascii="宋体" w:hAnsi="宋体" w:eastAsia="宋体"/>
          <w:sz w:val="24"/>
        </w:rPr>
      </w:pPr>
      <w:r>
        <w:rPr>
          <w:rFonts w:hint="eastAsia" w:ascii="宋体" w:hAnsi="宋体" w:eastAsia="宋体"/>
          <w:sz w:val="24"/>
        </w:rPr>
        <w:t>*2. 投标方积极协助和提供招标方和招标方所委托的工程设计单位有关人员所需要的、和设备（或材料）有关的工程设计资料、技术咨询等；</w:t>
      </w:r>
    </w:p>
    <w:p>
      <w:pPr>
        <w:spacing w:line="480" w:lineRule="exact"/>
        <w:ind w:firstLine="360" w:firstLineChars="150"/>
        <w:rPr>
          <w:rFonts w:hint="eastAsia" w:ascii="宋体" w:hAnsi="宋体" w:eastAsia="宋体"/>
          <w:sz w:val="24"/>
        </w:rPr>
      </w:pPr>
      <w:r>
        <w:rPr>
          <w:rFonts w:hint="eastAsia" w:ascii="宋体" w:hAnsi="宋体" w:eastAsia="宋体"/>
          <w:sz w:val="24"/>
        </w:rPr>
        <w:t>3. 投标方所供的设备，必须符合中国最新版的法律、法规和相关标准、规范的要求。</w:t>
      </w:r>
    </w:p>
    <w:p>
      <w:pPr>
        <w:spacing w:line="480" w:lineRule="exact"/>
        <w:ind w:firstLine="360" w:firstLineChars="150"/>
        <w:rPr>
          <w:rFonts w:hint="eastAsia" w:ascii="宋体" w:hAnsi="宋体" w:eastAsia="宋体"/>
          <w:sz w:val="24"/>
        </w:rPr>
      </w:pPr>
      <w:r>
        <w:rPr>
          <w:rFonts w:hint="eastAsia" w:ascii="宋体" w:hAnsi="宋体" w:eastAsia="宋体"/>
          <w:sz w:val="24"/>
        </w:rPr>
        <w:t>4. 投标方所供设备涉及的专利权技术以及知识产权保护其它技术等，应保证招标方不因此受到第三方侵权指控以及实际损失。</w:t>
      </w:r>
    </w:p>
    <w:p>
      <w:pPr>
        <w:spacing w:line="480" w:lineRule="exact"/>
        <w:ind w:firstLine="360" w:firstLineChars="150"/>
        <w:rPr>
          <w:rFonts w:hint="eastAsia" w:ascii="宋体" w:hAnsi="宋体" w:eastAsia="宋体"/>
          <w:sz w:val="24"/>
        </w:rPr>
      </w:pPr>
      <w:r>
        <w:rPr>
          <w:rFonts w:hint="eastAsia" w:ascii="宋体" w:hAnsi="宋体" w:eastAsia="宋体"/>
          <w:sz w:val="24"/>
        </w:rPr>
        <w:t>5. 投标方应满足招标方提出的各项技术要求，并为全新设备。</w:t>
      </w:r>
    </w:p>
    <w:p>
      <w:pPr>
        <w:spacing w:line="480" w:lineRule="exact"/>
        <w:ind w:firstLine="360" w:firstLineChars="150"/>
        <w:rPr>
          <w:rFonts w:hint="eastAsia" w:ascii="宋体" w:hAnsi="宋体" w:eastAsia="宋体"/>
          <w:sz w:val="24"/>
        </w:rPr>
      </w:pPr>
      <w:r>
        <w:rPr>
          <w:rFonts w:hint="eastAsia" w:ascii="宋体" w:hAnsi="宋体" w:eastAsia="宋体"/>
          <w:sz w:val="24"/>
        </w:rPr>
        <w:t>6. 投标方应对招标方采购的设备所涉及的技术、产能等信息负有保密义务。</w:t>
      </w:r>
    </w:p>
    <w:p>
      <w:pPr>
        <w:spacing w:line="480" w:lineRule="exact"/>
        <w:ind w:firstLine="360" w:firstLineChars="150"/>
        <w:rPr>
          <w:rFonts w:hint="eastAsia" w:ascii="宋体" w:hAnsi="宋体" w:eastAsia="宋体"/>
          <w:sz w:val="24"/>
        </w:rPr>
      </w:pPr>
      <w:r>
        <w:rPr>
          <w:rFonts w:hint="eastAsia" w:ascii="宋体" w:hAnsi="宋体" w:eastAsia="宋体"/>
          <w:sz w:val="24"/>
        </w:rPr>
        <w:t>7. 本技术要求，仅对功能、设计、结构、性能、安装和试验等方面，提出了最低和一般性的技术要求；并未对一切技术细节做出规定，未充分引述有关标准和规范的条文。投标方应保证提供的货物（或生产线）是符合本技术标书和国家最新的有关标准、规范的优质产品。若有异议，不管是多么微小，都应在投标文件“技术偏离”中予以详细说明。</w:t>
      </w:r>
    </w:p>
    <w:p>
      <w:pPr>
        <w:spacing w:line="480" w:lineRule="exact"/>
        <w:ind w:firstLine="360" w:firstLineChars="150"/>
        <w:rPr>
          <w:rFonts w:hint="eastAsia" w:ascii="宋体" w:hAnsi="宋体" w:eastAsia="宋体"/>
          <w:sz w:val="24"/>
        </w:rPr>
      </w:pPr>
      <w:r>
        <w:rPr>
          <w:rFonts w:hint="eastAsia" w:ascii="宋体" w:hAnsi="宋体" w:eastAsia="宋体"/>
          <w:sz w:val="24"/>
        </w:rPr>
        <w:t>8. 本技术要求所使用的标准、规范等，如与投标方所执行的标准、规范不一致时，应按高于本技术要求所列的标准、规范执行，并在投标文件“技术偏离”中予以说明。</w:t>
      </w:r>
    </w:p>
    <w:p>
      <w:pPr>
        <w:spacing w:line="480" w:lineRule="exact"/>
        <w:ind w:firstLine="360" w:firstLineChars="150"/>
        <w:rPr>
          <w:rFonts w:hint="eastAsia" w:ascii="宋体" w:hAnsi="宋体" w:eastAsia="宋体"/>
          <w:sz w:val="24"/>
        </w:rPr>
      </w:pPr>
      <w:r>
        <w:rPr>
          <w:rFonts w:hint="eastAsia" w:ascii="宋体" w:hAnsi="宋体" w:eastAsia="宋体"/>
          <w:sz w:val="24"/>
        </w:rPr>
        <w:t>9. 投标方认为所供货物（或生产线）必需由招标方配备、解决或提供的其它要求，均应在投标文件“技术偏离”中予以充分说明。</w:t>
      </w:r>
    </w:p>
    <w:p>
      <w:pPr>
        <w:spacing w:line="480" w:lineRule="exact"/>
        <w:ind w:firstLine="360" w:firstLineChars="150"/>
        <w:rPr>
          <w:rFonts w:hint="eastAsia" w:ascii="宋体" w:hAnsi="宋体" w:eastAsia="宋体"/>
          <w:sz w:val="24"/>
        </w:rPr>
      </w:pPr>
      <w:r>
        <w:rPr>
          <w:rFonts w:hint="eastAsia" w:ascii="宋体" w:hAnsi="宋体" w:eastAsia="宋体"/>
          <w:sz w:val="24"/>
        </w:rPr>
        <w:t>10. 投标方可以根据自身经验以及招标文件的理解，写明买方招标设备应进行的优于招标文件要求的其它方案或建议意见；投标方的这些努力，买方表示感谢，并将有助于投标方优先胜出；即使有建议意见或建议方案，仍应依据本招标文件要求，编写符合要求的投标文件。建议方案或建议意见，应以单独篇章或文件，予以说明。</w:t>
      </w:r>
    </w:p>
    <w:p>
      <w:pPr>
        <w:spacing w:line="480" w:lineRule="exact"/>
        <w:ind w:firstLine="360" w:firstLineChars="150"/>
        <w:rPr>
          <w:rFonts w:hint="eastAsia" w:ascii="宋体" w:hAnsi="宋体" w:eastAsia="宋体"/>
          <w:sz w:val="24"/>
        </w:rPr>
      </w:pPr>
      <w:r>
        <w:rPr>
          <w:rFonts w:hint="eastAsia" w:ascii="宋体" w:hAnsi="宋体" w:eastAsia="宋体"/>
          <w:sz w:val="24"/>
        </w:rPr>
        <w:t>11</w:t>
      </w:r>
      <w:r>
        <w:rPr>
          <w:rFonts w:hint="eastAsia" w:ascii="宋体" w:hAnsi="宋体" w:eastAsia="宋体"/>
          <w:sz w:val="24"/>
          <w:lang w:eastAsia="zh-CN"/>
        </w:rPr>
        <w:t>.</w:t>
      </w:r>
      <w:r>
        <w:rPr>
          <w:rFonts w:hint="eastAsia" w:ascii="宋体" w:hAnsi="宋体" w:eastAsia="宋体"/>
          <w:sz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480" w:lineRule="exact"/>
        <w:ind w:firstLine="360" w:firstLineChars="150"/>
        <w:rPr>
          <w:rFonts w:hint="eastAsia" w:ascii="宋体" w:hAnsi="宋体" w:eastAsia="宋体"/>
          <w:sz w:val="24"/>
        </w:rPr>
      </w:pPr>
      <w:r>
        <w:rPr>
          <w:rFonts w:hint="eastAsia" w:ascii="宋体" w:hAnsi="宋体" w:eastAsia="宋体"/>
          <w:sz w:val="24"/>
        </w:rPr>
        <w:t>*12</w:t>
      </w:r>
      <w:r>
        <w:rPr>
          <w:rFonts w:hint="eastAsia" w:ascii="宋体" w:hAnsi="宋体" w:eastAsia="宋体"/>
          <w:sz w:val="24"/>
          <w:lang w:eastAsia="zh-CN"/>
        </w:rPr>
        <w:t>.</w:t>
      </w:r>
      <w:r>
        <w:rPr>
          <w:rFonts w:hint="eastAsia" w:ascii="宋体" w:hAnsi="宋体" w:eastAsia="宋体"/>
          <w:sz w:val="24"/>
        </w:rPr>
        <w:t>在本标书中没有提及到的部分，所有供应商必须保证设备各部分功能齐全并便于使用，这部分价格应该包含在报价中，而不得另行加价。</w:t>
      </w:r>
    </w:p>
    <w:p>
      <w:pPr>
        <w:spacing w:line="360" w:lineRule="auto"/>
        <w:ind w:firstLine="360" w:firstLineChars="150"/>
        <w:rPr>
          <w:rFonts w:hint="eastAsia" w:ascii="宋体" w:hAnsi="宋体" w:eastAsia="宋体"/>
          <w:sz w:val="24"/>
        </w:rPr>
      </w:pPr>
      <w:r>
        <w:rPr>
          <w:rFonts w:hint="eastAsia" w:ascii="宋体" w:hAnsi="宋体" w:eastAsia="宋体"/>
          <w:sz w:val="24"/>
        </w:rPr>
        <w:t>13.投标文件中要对各部分分项报价。</w:t>
      </w:r>
    </w:p>
    <w:p>
      <w:pPr>
        <w:spacing w:line="360" w:lineRule="auto"/>
        <w:ind w:firstLine="360" w:firstLineChars="150"/>
        <w:rPr>
          <w:rFonts w:hint="eastAsia" w:ascii="宋体" w:hAnsi="宋体" w:eastAsia="宋体"/>
          <w:sz w:val="24"/>
        </w:rPr>
      </w:pPr>
      <w:r>
        <w:rPr>
          <w:rFonts w:hint="eastAsia" w:ascii="宋体" w:hAnsi="宋体" w:eastAsia="宋体"/>
          <w:sz w:val="24"/>
        </w:rPr>
        <w:t>14.本招标文件中所有加注“*”的条款为否决项，不允许出现偏离。</w:t>
      </w:r>
    </w:p>
    <w:p>
      <w:pPr>
        <w:spacing w:line="360" w:lineRule="auto"/>
        <w:ind w:firstLine="360" w:firstLineChars="150"/>
        <w:rPr>
          <w:rFonts w:hint="eastAsia" w:ascii="宋体" w:hAnsi="宋体" w:eastAsia="宋体"/>
          <w:sz w:val="24"/>
          <w:highlight w:val="green"/>
        </w:rPr>
      </w:pPr>
      <w:r>
        <w:rPr>
          <w:rFonts w:hint="eastAsia" w:ascii="宋体" w:hAnsi="宋体" w:eastAsia="宋体"/>
          <w:sz w:val="24"/>
          <w:highlight w:val="green"/>
          <w:lang w:val="en-US" w:eastAsia="zh-CN"/>
        </w:rPr>
        <w:t>15</w:t>
      </w:r>
      <w:r>
        <w:rPr>
          <w:rFonts w:hint="eastAsia" w:ascii="宋体" w:hAnsi="宋体" w:eastAsia="宋体"/>
          <w:sz w:val="24"/>
          <w:highlight w:val="green"/>
        </w:rPr>
        <w:t>.程序图纸要求</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15</w:t>
      </w:r>
      <w:r>
        <w:rPr>
          <w:rFonts w:hint="eastAsia" w:ascii="宋体" w:hAnsi="宋体" w:eastAsia="宋体" w:cs="Times New Roman"/>
          <w:sz w:val="24"/>
          <w:szCs w:val="24"/>
          <w:highlight w:val="green"/>
        </w:rPr>
        <w:t>.1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15</w:t>
      </w:r>
      <w:r>
        <w:rPr>
          <w:rFonts w:hint="eastAsia" w:ascii="宋体" w:hAnsi="宋体" w:eastAsia="宋体" w:cs="Times New Roman"/>
          <w:sz w:val="24"/>
          <w:szCs w:val="24"/>
          <w:highlight w:val="green"/>
        </w:rPr>
        <w:t>.2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15</w:t>
      </w:r>
      <w:r>
        <w:rPr>
          <w:rFonts w:hint="eastAsia" w:ascii="宋体" w:hAnsi="宋体" w:eastAsia="宋体" w:cs="Times New Roman"/>
          <w:sz w:val="24"/>
          <w:szCs w:val="24"/>
          <w:highlight w:val="green"/>
        </w:rPr>
        <w:t>.3 HMI 界面等需要密码保护的程序，供方必须提供所有级别的用户名、密码。</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15</w:t>
      </w:r>
      <w:r>
        <w:rPr>
          <w:rFonts w:hint="eastAsia" w:ascii="宋体" w:hAnsi="宋体" w:eastAsia="宋体" w:cs="Times New Roman"/>
          <w:sz w:val="24"/>
          <w:szCs w:val="24"/>
          <w:highlight w:val="green"/>
        </w:rPr>
        <w:t>.4 供方需在设备入场前提供设备程序源码，HMI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15</w:t>
      </w:r>
      <w:r>
        <w:rPr>
          <w:rFonts w:hint="eastAsia" w:ascii="宋体" w:hAnsi="宋体" w:eastAsia="宋体" w:cs="Times New Roman"/>
          <w:sz w:val="24"/>
          <w:szCs w:val="24"/>
          <w:highlight w:val="green"/>
        </w:rPr>
        <w:t>.5 供方需在终验收前提供最新的设备程序源码和电气图纸，图纸要求为可编辑原格式（EPLAN、CAD 格式）且与实际接线一致。</w:t>
      </w:r>
    </w:p>
    <w:p>
      <w:pPr>
        <w:spacing w:line="360" w:lineRule="auto"/>
        <w:ind w:firstLine="360" w:firstLineChars="150"/>
        <w:rPr>
          <w:rFonts w:hint="eastAsia" w:ascii="宋体" w:hAnsi="宋体" w:eastAsia="宋体"/>
          <w:sz w:val="24"/>
          <w:highlight w:val="green"/>
          <w:lang w:val="en-US" w:eastAsia="zh-CN"/>
        </w:rPr>
      </w:pPr>
      <w:r>
        <w:rPr>
          <w:rFonts w:hint="eastAsia" w:ascii="宋体" w:hAnsi="宋体" w:eastAsia="宋体"/>
          <w:sz w:val="24"/>
          <w:highlight w:val="green"/>
          <w:lang w:val="en-US" w:eastAsia="zh-CN"/>
        </w:rPr>
        <w:t>16.接口协议要求</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16</w:t>
      </w:r>
      <w:r>
        <w:rPr>
          <w:rFonts w:hint="eastAsia" w:ascii="宋体" w:hAnsi="宋体" w:eastAsia="宋体" w:cs="Times New Roman"/>
          <w:sz w:val="24"/>
          <w:szCs w:val="24"/>
          <w:highlight w:val="green"/>
        </w:rPr>
        <w:t>.1 供方免费开放所有通讯接口，包括但不限于以太网、</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RS232、RS485、PROFIBUS、PROFINET、MODBUS 等常见接口，以及设备特有的专用接口。</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16</w:t>
      </w:r>
      <w:r>
        <w:rPr>
          <w:rFonts w:hint="eastAsia" w:ascii="宋体" w:hAnsi="宋体" w:eastAsia="宋体" w:cs="Times New Roman"/>
          <w:sz w:val="24"/>
          <w:szCs w:val="24"/>
          <w:highlight w:val="green"/>
        </w:rPr>
        <w:t>.2 供方免费提供数据交互功能，交互数据包括但不限于实时数据、历史数据、报警信息等。</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16</w:t>
      </w:r>
      <w:r>
        <w:rPr>
          <w:rFonts w:hint="eastAsia" w:ascii="宋体" w:hAnsi="宋体" w:eastAsia="宋体" w:cs="Times New Roman"/>
          <w:sz w:val="24"/>
          <w:szCs w:val="24"/>
          <w:highlight w:val="green"/>
        </w:rPr>
        <w:t>.3 供方在设备入场前提供接口的技术文档和参数说明，包括但不限于接口协议、通讯速率、数据格式等。</w:t>
      </w:r>
    </w:p>
    <w:p>
      <w:pPr>
        <w:spacing w:line="360" w:lineRule="auto"/>
        <w:ind w:firstLine="360" w:firstLineChars="15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16</w:t>
      </w:r>
      <w:r>
        <w:rPr>
          <w:rFonts w:hint="eastAsia" w:ascii="宋体" w:hAnsi="宋体" w:eastAsia="宋体" w:cs="Times New Roman"/>
          <w:sz w:val="24"/>
          <w:szCs w:val="24"/>
          <w:highlight w:val="green"/>
        </w:rPr>
        <w:t>.4 设备使用周期内，供方免费派遣技术人员与甲方调试团队共同进行设备通讯接口的调试工作。</w:t>
      </w:r>
    </w:p>
    <w:p>
      <w:pPr>
        <w:spacing w:line="360" w:lineRule="auto"/>
        <w:ind w:firstLine="360" w:firstLineChars="150"/>
        <w:rPr>
          <w:rFonts w:hint="default" w:ascii="宋体" w:hAnsi="宋体" w:eastAsia="宋体"/>
          <w:sz w:val="24"/>
          <w:highlight w:val="green"/>
          <w:lang w:val="en-US" w:eastAsia="zh-CN"/>
        </w:rPr>
      </w:pPr>
      <w:r>
        <w:rPr>
          <w:rFonts w:hint="eastAsia" w:ascii="宋体" w:hAnsi="宋体" w:eastAsia="宋体"/>
          <w:sz w:val="24"/>
          <w:highlight w:val="green"/>
          <w:lang w:val="en-US" w:eastAsia="zh-CN"/>
        </w:rPr>
        <w:t>17.电机功率≥7.5kW,必须选用一级能效，电机功率＜7.5kW，优先选用一级能效；其中能源供应设备及年运行时间≥2000h工艺设备电机必须选用一级能效。</w:t>
      </w:r>
    </w:p>
    <w:p>
      <w:pPr>
        <w:spacing w:line="360" w:lineRule="auto"/>
        <w:ind w:firstLine="120" w:firstLineChars="5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二</w:t>
      </w:r>
      <w:r>
        <w:rPr>
          <w:rFonts w:hint="eastAsia" w:ascii="宋体" w:hAnsi="宋体" w:eastAsia="宋体" w:cs="宋体"/>
          <w:sz w:val="24"/>
          <w:szCs w:val="24"/>
        </w:rPr>
        <w:t>）、建设方案</w:t>
      </w:r>
    </w:p>
    <w:p>
      <w:pPr>
        <w:spacing w:line="360" w:lineRule="auto"/>
        <w:rPr>
          <w:rFonts w:hint="eastAsia" w:ascii="宋体" w:hAnsi="宋体" w:eastAsia="宋体" w:cs="宋体"/>
          <w:sz w:val="24"/>
          <w:szCs w:val="24"/>
        </w:rPr>
      </w:pPr>
      <w:r>
        <w:rPr>
          <w:rFonts w:hint="eastAsia" w:ascii="宋体" w:hAnsi="宋体" w:eastAsia="宋体" w:cs="宋体"/>
          <w:sz w:val="24"/>
          <w:szCs w:val="24"/>
        </w:rPr>
        <w:t>1    设计基础</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1.1</w:t>
      </w:r>
      <w:r>
        <w:rPr>
          <w:rFonts w:hint="eastAsia" w:ascii="宋体" w:hAnsi="宋体" w:eastAsia="宋体" w:cs="宋体"/>
          <w:b w:val="0"/>
          <w:sz w:val="24"/>
          <w:szCs w:val="24"/>
          <w:lang w:val="en-US" w:eastAsia="zh-CN"/>
        </w:rPr>
        <w:t xml:space="preserve"> </w:t>
      </w:r>
      <w:r>
        <w:rPr>
          <w:rFonts w:hint="eastAsia" w:ascii="宋体" w:hAnsi="宋体" w:eastAsia="宋体" w:cs="宋体"/>
          <w:b w:val="0"/>
          <w:sz w:val="24"/>
          <w:szCs w:val="24"/>
        </w:rPr>
        <w:t xml:space="preserve">设计参数： </w:t>
      </w:r>
    </w:p>
    <w:tbl>
      <w:tblPr>
        <w:tblStyle w:val="36"/>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3767"/>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74" w:type="dxa"/>
            <w:noWrap w:val="0"/>
            <w:vAlign w:val="center"/>
          </w:tcPr>
          <w:p>
            <w:pPr>
              <w:adjustRightInd w:val="0"/>
              <w:spacing w:line="360" w:lineRule="auto"/>
              <w:ind w:firstLine="480" w:firstLineChars="200"/>
              <w:rPr>
                <w:rFonts w:hint="eastAsia" w:ascii="宋体" w:hAnsi="宋体" w:eastAsia="宋体" w:cs="宋体"/>
                <w:b w:val="0"/>
                <w:sz w:val="24"/>
                <w:szCs w:val="24"/>
              </w:rPr>
            </w:pPr>
            <w:bookmarkStart w:id="34" w:name="_Hlk12368207"/>
            <w:r>
              <w:rPr>
                <w:rFonts w:hint="eastAsia" w:ascii="宋体" w:hAnsi="宋体" w:eastAsia="宋体" w:cs="宋体"/>
                <w:b w:val="0"/>
                <w:sz w:val="24"/>
                <w:szCs w:val="24"/>
              </w:rPr>
              <w:t>序号</w:t>
            </w:r>
          </w:p>
        </w:tc>
        <w:tc>
          <w:tcPr>
            <w:tcW w:w="3767" w:type="dxa"/>
            <w:noWrap w:val="0"/>
            <w:vAlign w:val="center"/>
          </w:tcPr>
          <w:p>
            <w:pPr>
              <w:adjustRightInd w:val="0"/>
              <w:spacing w:line="360" w:lineRule="auto"/>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描述</w:t>
            </w:r>
          </w:p>
        </w:tc>
        <w:tc>
          <w:tcPr>
            <w:tcW w:w="3960" w:type="dxa"/>
            <w:noWrap w:val="0"/>
            <w:vAlign w:val="center"/>
          </w:tcPr>
          <w:p>
            <w:pPr>
              <w:adjustRightInd w:val="0"/>
              <w:spacing w:line="360" w:lineRule="auto"/>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4" w:type="dxa"/>
            <w:noWrap w:val="0"/>
            <w:vAlign w:val="center"/>
          </w:tcPr>
          <w:p>
            <w:pPr>
              <w:adjustRightInd w:val="0"/>
              <w:spacing w:line="360" w:lineRule="auto"/>
              <w:ind w:firstLine="480" w:firstLineChars="200"/>
              <w:rPr>
                <w:rFonts w:hint="eastAsia" w:ascii="宋体" w:hAnsi="宋体" w:eastAsia="宋体" w:cs="宋体"/>
                <w:b w:val="0"/>
                <w:sz w:val="24"/>
                <w:szCs w:val="24"/>
                <w:lang w:eastAsia="zh-CN"/>
              </w:rPr>
            </w:pPr>
            <w:r>
              <w:rPr>
                <w:rFonts w:hint="eastAsia" w:ascii="宋体" w:hAnsi="宋体" w:eastAsia="宋体" w:cs="宋体"/>
                <w:b w:val="0"/>
                <w:sz w:val="24"/>
                <w:szCs w:val="24"/>
                <w:lang w:val="en-US" w:eastAsia="zh-CN"/>
              </w:rPr>
              <w:t>1</w:t>
            </w:r>
          </w:p>
        </w:tc>
        <w:tc>
          <w:tcPr>
            <w:tcW w:w="3767" w:type="dxa"/>
            <w:noWrap w:val="0"/>
            <w:vAlign w:val="center"/>
          </w:tcPr>
          <w:p>
            <w:pPr>
              <w:adjustRightInd w:val="0"/>
              <w:spacing w:line="360" w:lineRule="auto"/>
              <w:ind w:firstLine="480" w:firstLineChars="200"/>
              <w:rPr>
                <w:rFonts w:hint="eastAsia" w:ascii="宋体" w:hAnsi="宋体" w:eastAsia="宋体" w:cs="宋体"/>
                <w:b w:val="0"/>
                <w:sz w:val="24"/>
                <w:szCs w:val="24"/>
                <w:lang w:eastAsia="zh-CN"/>
              </w:rPr>
            </w:pPr>
            <w:r>
              <w:rPr>
                <w:rFonts w:hint="eastAsia" w:ascii="宋体" w:hAnsi="宋体" w:eastAsia="宋体" w:cs="宋体"/>
                <w:b w:val="0"/>
                <w:sz w:val="24"/>
                <w:szCs w:val="24"/>
                <w:lang w:val="en-US" w:eastAsia="zh-CN"/>
              </w:rPr>
              <w:t>站点数量</w:t>
            </w:r>
          </w:p>
        </w:tc>
        <w:tc>
          <w:tcPr>
            <w:tcW w:w="3960" w:type="dxa"/>
            <w:noWrap w:val="0"/>
            <w:vAlign w:val="center"/>
          </w:tcPr>
          <w:p>
            <w:pPr>
              <w:adjustRightInd w:val="0"/>
              <w:spacing w:line="360" w:lineRule="auto"/>
              <w:ind w:firstLine="480" w:firstLineChars="200"/>
              <w:rPr>
                <w:rFonts w:hint="default" w:ascii="宋体" w:hAnsi="宋体" w:eastAsia="宋体" w:cs="宋体"/>
                <w:b w:val="0"/>
                <w:sz w:val="24"/>
                <w:szCs w:val="24"/>
                <w:lang w:val="en-US" w:eastAsia="zh-CN"/>
              </w:rPr>
            </w:pPr>
            <w:r>
              <w:rPr>
                <w:rFonts w:hint="eastAsia" w:ascii="宋体" w:hAnsi="宋体" w:eastAsia="宋体" w:cs="宋体"/>
                <w:b w:val="0"/>
                <w:sz w:val="24"/>
                <w:szCs w:val="24"/>
                <w:lang w:val="en-US" w:eastAsia="zh-CN"/>
              </w:rPr>
              <w:t>4人工+4机器人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674" w:type="dxa"/>
            <w:noWrap w:val="0"/>
            <w:vAlign w:val="center"/>
          </w:tcPr>
          <w:p>
            <w:pPr>
              <w:adjustRightInd w:val="0"/>
              <w:spacing w:line="360" w:lineRule="auto"/>
              <w:ind w:firstLine="480" w:firstLineChars="200"/>
              <w:rPr>
                <w:rFonts w:hint="eastAsia" w:ascii="宋体" w:hAnsi="宋体" w:eastAsia="宋体" w:cs="宋体"/>
                <w:b w:val="0"/>
                <w:sz w:val="24"/>
                <w:szCs w:val="24"/>
                <w:highlight w:val="none"/>
                <w:lang w:eastAsia="zh-CN"/>
              </w:rPr>
            </w:pPr>
            <w:r>
              <w:rPr>
                <w:rFonts w:hint="eastAsia" w:ascii="宋体" w:hAnsi="宋体" w:eastAsia="宋体" w:cs="宋体"/>
                <w:b w:val="0"/>
                <w:sz w:val="24"/>
                <w:szCs w:val="24"/>
                <w:highlight w:val="none"/>
                <w:lang w:val="en-US" w:eastAsia="zh-CN"/>
              </w:rPr>
              <w:t>2</w:t>
            </w:r>
          </w:p>
        </w:tc>
        <w:tc>
          <w:tcPr>
            <w:tcW w:w="3767" w:type="dxa"/>
            <w:noWrap w:val="0"/>
            <w:vAlign w:val="center"/>
          </w:tcPr>
          <w:p>
            <w:pPr>
              <w:adjustRightInd w:val="0"/>
              <w:spacing w:line="360" w:lineRule="auto"/>
              <w:ind w:firstLine="480" w:firstLineChars="200"/>
              <w:rPr>
                <w:rFonts w:hint="eastAsia" w:ascii="宋体" w:hAnsi="宋体" w:eastAsia="宋体" w:cs="宋体"/>
                <w:b w:val="0"/>
                <w:sz w:val="24"/>
                <w:szCs w:val="24"/>
                <w:highlight w:val="none"/>
                <w:lang w:val="en-US" w:eastAsia="zh-CN"/>
              </w:rPr>
            </w:pPr>
            <w:r>
              <w:rPr>
                <w:rFonts w:hint="eastAsia" w:ascii="宋体" w:hAnsi="宋体" w:eastAsia="宋体" w:cs="宋体"/>
                <w:b w:val="0"/>
                <w:sz w:val="24"/>
                <w:szCs w:val="24"/>
                <w:highlight w:val="none"/>
                <w:lang w:val="en-US" w:eastAsia="zh-CN"/>
              </w:rPr>
              <w:t>设备配置</w:t>
            </w:r>
          </w:p>
        </w:tc>
        <w:tc>
          <w:tcPr>
            <w:tcW w:w="3960" w:type="dxa"/>
            <w:noWrap w:val="0"/>
            <w:vAlign w:val="center"/>
          </w:tcPr>
          <w:p>
            <w:pPr>
              <w:adjustRightInd w:val="0"/>
              <w:spacing w:line="360" w:lineRule="auto"/>
              <w:jc w:val="both"/>
              <w:rPr>
                <w:rFonts w:hint="default" w:ascii="宋体" w:hAnsi="宋体" w:eastAsia="宋体" w:cs="宋体"/>
                <w:b w:val="0"/>
                <w:sz w:val="24"/>
                <w:szCs w:val="24"/>
                <w:highlight w:val="none"/>
                <w:lang w:val="en-US" w:eastAsia="zh-CN"/>
              </w:rPr>
            </w:pPr>
            <w:r>
              <w:rPr>
                <w:rFonts w:hint="eastAsia" w:ascii="宋体" w:hAnsi="宋体" w:eastAsia="宋体" w:cs="宋体"/>
                <w:b w:val="0"/>
                <w:sz w:val="24"/>
                <w:szCs w:val="24"/>
                <w:highlight w:val="none"/>
                <w:lang w:val="en-US" w:eastAsia="zh-CN"/>
              </w:rPr>
              <w:t>双组份水性导电底漆喷涂及溶剂回收系统</w:t>
            </w:r>
          </w:p>
        </w:tc>
      </w:tr>
      <w:bookmarkEnd w:id="34"/>
    </w:tbl>
    <w:p>
      <w:pPr>
        <w:adjustRightInd w:val="0"/>
        <w:spacing w:line="360" w:lineRule="auto"/>
        <w:rPr>
          <w:rFonts w:hint="eastAsia" w:ascii="宋体" w:hAnsi="宋体" w:eastAsia="宋体" w:cs="宋体"/>
          <w:b w:val="0"/>
          <w:sz w:val="24"/>
          <w:szCs w:val="24"/>
        </w:rPr>
      </w:pPr>
      <w:r>
        <w:rPr>
          <w:rFonts w:hint="eastAsia" w:ascii="宋体" w:hAnsi="宋体" w:eastAsia="宋体" w:cs="宋体"/>
          <w:b w:val="0"/>
          <w:sz w:val="24"/>
          <w:szCs w:val="24"/>
        </w:rPr>
        <w:t>1.2</w:t>
      </w:r>
      <w:r>
        <w:rPr>
          <w:rFonts w:hint="eastAsia" w:ascii="宋体" w:hAnsi="宋体" w:eastAsia="宋体" w:cs="宋体"/>
          <w:b w:val="0"/>
          <w:sz w:val="24"/>
          <w:szCs w:val="24"/>
          <w:lang w:val="en-US" w:eastAsia="zh-CN"/>
        </w:rPr>
        <w:t xml:space="preserve"> </w:t>
      </w:r>
      <w:r>
        <w:rPr>
          <w:rFonts w:hint="eastAsia" w:ascii="宋体" w:hAnsi="宋体" w:eastAsia="宋体" w:cs="宋体"/>
          <w:b w:val="0"/>
          <w:sz w:val="24"/>
          <w:szCs w:val="24"/>
        </w:rPr>
        <w:t>车间生产线通过最大</w:t>
      </w:r>
      <w:r>
        <w:rPr>
          <w:rFonts w:hint="eastAsia" w:ascii="宋体" w:hAnsi="宋体" w:eastAsia="宋体" w:cs="宋体"/>
          <w:b w:val="0"/>
          <w:sz w:val="24"/>
          <w:szCs w:val="24"/>
          <w:lang w:val="en-US" w:eastAsia="zh-CN"/>
        </w:rPr>
        <w:t>外饰件喷涂面积</w:t>
      </w:r>
      <w:r>
        <w:rPr>
          <w:rFonts w:hint="eastAsia" w:ascii="宋体" w:hAnsi="宋体" w:eastAsia="宋体" w:cs="宋体"/>
          <w:b w:val="0"/>
          <w:sz w:val="24"/>
          <w:szCs w:val="24"/>
        </w:rPr>
        <w:t xml:space="preserve">： </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最大</w:t>
      </w:r>
      <w:r>
        <w:rPr>
          <w:rFonts w:hint="eastAsia" w:ascii="宋体" w:hAnsi="宋体" w:eastAsia="宋体" w:cs="宋体"/>
          <w:b w:val="0"/>
          <w:sz w:val="24"/>
          <w:szCs w:val="24"/>
          <w:lang w:val="en-US" w:eastAsia="zh-CN"/>
        </w:rPr>
        <w:t>喷涂面积</w:t>
      </w:r>
      <w:r>
        <w:rPr>
          <w:rFonts w:hint="eastAsia" w:ascii="宋体" w:hAnsi="宋体" w:eastAsia="宋体" w:cs="宋体"/>
          <w:b w:val="0"/>
          <w:sz w:val="24"/>
          <w:szCs w:val="24"/>
        </w:rPr>
        <w:t>：</w:t>
      </w:r>
      <w:r>
        <w:rPr>
          <w:rFonts w:hint="eastAsia" w:ascii="宋体" w:hAnsi="宋体" w:eastAsia="宋体" w:cs="宋体"/>
          <w:b w:val="0"/>
          <w:sz w:val="24"/>
          <w:szCs w:val="24"/>
          <w:lang w:val="en-US" w:eastAsia="zh-CN"/>
        </w:rPr>
        <w:t>7平方米/橇</w:t>
      </w:r>
      <w:r>
        <w:rPr>
          <w:rFonts w:hint="eastAsia" w:ascii="宋体" w:hAnsi="宋体" w:eastAsia="宋体" w:cs="宋体"/>
          <w:b w:val="0"/>
          <w:sz w:val="24"/>
          <w:szCs w:val="24"/>
        </w:rPr>
        <w:t xml:space="preserve"> </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1.3</w:t>
      </w:r>
      <w:r>
        <w:rPr>
          <w:rFonts w:hint="eastAsia" w:ascii="宋体" w:hAnsi="宋体" w:eastAsia="宋体" w:cs="宋体"/>
          <w:b w:val="0"/>
          <w:sz w:val="24"/>
          <w:szCs w:val="24"/>
          <w:lang w:val="en-US" w:eastAsia="zh-CN"/>
        </w:rPr>
        <w:t xml:space="preserve"> </w:t>
      </w:r>
      <w:r>
        <w:rPr>
          <w:rFonts w:hint="eastAsia" w:ascii="宋体" w:hAnsi="宋体" w:eastAsia="宋体" w:cs="宋体"/>
          <w:b w:val="0"/>
          <w:sz w:val="24"/>
          <w:szCs w:val="24"/>
        </w:rPr>
        <w:t xml:space="preserve">生产纲领： </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净节拍：</w:t>
      </w:r>
      <w:r>
        <w:rPr>
          <w:rFonts w:hint="eastAsia" w:ascii="宋体" w:hAnsi="宋体" w:eastAsia="宋体" w:cs="宋体"/>
          <w:b w:val="0"/>
          <w:sz w:val="24"/>
          <w:szCs w:val="24"/>
          <w:lang w:val="en-US" w:eastAsia="zh-CN"/>
        </w:rPr>
        <w:t>90</w:t>
      </w:r>
      <w:r>
        <w:rPr>
          <w:rFonts w:hint="eastAsia" w:ascii="宋体" w:hAnsi="宋体" w:eastAsia="宋体" w:cs="宋体"/>
          <w:b w:val="0"/>
          <w:sz w:val="24"/>
          <w:szCs w:val="24"/>
        </w:rPr>
        <w:t>JPH；</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工作制度：每年工作250天，每周5天，每天16h；</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工人年时基数：1780h；</w:t>
      </w:r>
    </w:p>
    <w:p>
      <w:pPr>
        <w:spacing w:line="360" w:lineRule="auto"/>
        <w:rPr>
          <w:rFonts w:hint="eastAsia" w:ascii="宋体" w:hAnsi="宋体" w:eastAsia="宋体" w:cs="宋体"/>
          <w:b w:val="0"/>
          <w:sz w:val="24"/>
          <w:szCs w:val="24"/>
          <w:highlight w:val="none"/>
          <w:lang w:eastAsia="zh-CN"/>
        </w:rPr>
      </w:pPr>
      <w:r>
        <w:rPr>
          <w:rFonts w:hint="eastAsia" w:ascii="宋体" w:hAnsi="宋体" w:eastAsia="宋体" w:cs="宋体"/>
          <w:b w:val="0"/>
          <w:sz w:val="24"/>
          <w:szCs w:val="24"/>
        </w:rPr>
        <w:t>设备年时基数：3800h</w:t>
      </w:r>
      <w:r>
        <w:rPr>
          <w:rFonts w:hint="eastAsia" w:ascii="宋体" w:hAnsi="宋体" w:eastAsia="宋体" w:cs="宋体"/>
          <w:b w:val="0"/>
          <w:sz w:val="24"/>
          <w:szCs w:val="24"/>
          <w:lang w:eastAsia="zh-CN"/>
        </w:rPr>
        <w:t>；</w:t>
      </w:r>
    </w:p>
    <w:p>
      <w:pPr>
        <w:adjustRightInd w:val="0"/>
        <w:spacing w:line="360" w:lineRule="auto"/>
        <w:rPr>
          <w:rFonts w:hint="eastAsia" w:ascii="宋体" w:hAnsi="宋体" w:eastAsia="宋体" w:cs="宋体"/>
          <w:b w:val="0"/>
          <w:sz w:val="24"/>
          <w:szCs w:val="24"/>
          <w:highlight w:val="none"/>
        </w:rPr>
      </w:pPr>
      <w:r>
        <w:rPr>
          <w:rFonts w:hint="eastAsia" w:ascii="宋体" w:hAnsi="宋体" w:eastAsia="宋体" w:cs="宋体"/>
          <w:b w:val="0"/>
          <w:sz w:val="24"/>
          <w:szCs w:val="24"/>
          <w:highlight w:val="none"/>
          <w:lang w:val="en-US" w:eastAsia="zh-CN"/>
        </w:rPr>
        <w:t xml:space="preserve">1.4 </w:t>
      </w:r>
      <w:r>
        <w:rPr>
          <w:rFonts w:hint="eastAsia" w:ascii="宋体" w:hAnsi="宋体" w:eastAsia="宋体" w:cs="宋体"/>
          <w:b w:val="0"/>
          <w:sz w:val="24"/>
          <w:szCs w:val="24"/>
          <w:highlight w:val="none"/>
        </w:rPr>
        <w:t>涂料参数：</w:t>
      </w:r>
    </w:p>
    <w:tbl>
      <w:tblPr>
        <w:tblStyle w:val="36"/>
        <w:tblW w:w="932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94"/>
        <w:gridCol w:w="2129"/>
        <w:gridCol w:w="2243"/>
        <w:gridCol w:w="21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pPr>
              <w:adjustRightInd w:val="0"/>
              <w:spacing w:line="360" w:lineRule="auto"/>
              <w:rPr>
                <w:rFonts w:hint="eastAsia" w:ascii="宋体" w:hAnsi="宋体" w:eastAsia="宋体" w:cs="宋体"/>
                <w:b w:val="0"/>
                <w:sz w:val="24"/>
                <w:szCs w:val="24"/>
                <w:highlight w:val="none"/>
              </w:rPr>
            </w:pPr>
            <w:bookmarkStart w:id="35" w:name="_Hlk12368110"/>
            <w:r>
              <w:rPr>
                <w:rFonts w:hint="eastAsia" w:ascii="宋体" w:hAnsi="宋体" w:eastAsia="宋体" w:cs="宋体"/>
                <w:b w:val="0"/>
                <w:sz w:val="24"/>
                <w:szCs w:val="24"/>
                <w:highlight w:val="none"/>
              </w:rPr>
              <w:t>序号</w:t>
            </w:r>
          </w:p>
        </w:tc>
        <w:tc>
          <w:tcPr>
            <w:tcW w:w="794" w:type="dxa"/>
            <w:noWrap w:val="0"/>
            <w:vAlign w:val="top"/>
          </w:tcPr>
          <w:p>
            <w:pPr>
              <w:adjustRightInd w:val="0"/>
              <w:spacing w:line="360" w:lineRule="auto"/>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名称</w:t>
            </w:r>
          </w:p>
        </w:tc>
        <w:tc>
          <w:tcPr>
            <w:tcW w:w="2129" w:type="dxa"/>
            <w:noWrap w:val="0"/>
            <w:vAlign w:val="top"/>
          </w:tcPr>
          <w:p>
            <w:pPr>
              <w:adjustRightInd w:val="0"/>
              <w:spacing w:line="360" w:lineRule="auto"/>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施工重量固体份</w:t>
            </w:r>
          </w:p>
        </w:tc>
        <w:tc>
          <w:tcPr>
            <w:tcW w:w="2243" w:type="dxa"/>
            <w:noWrap w:val="0"/>
            <w:vAlign w:val="top"/>
          </w:tcPr>
          <w:p>
            <w:pPr>
              <w:adjustRightInd w:val="0"/>
              <w:spacing w:line="360" w:lineRule="auto"/>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施工固含（体积比）</w:t>
            </w:r>
          </w:p>
        </w:tc>
        <w:tc>
          <w:tcPr>
            <w:tcW w:w="2176" w:type="dxa"/>
            <w:noWrap w:val="0"/>
            <w:vAlign w:val="top"/>
          </w:tcPr>
          <w:p>
            <w:pPr>
              <w:adjustRightInd w:val="0"/>
              <w:spacing w:line="360" w:lineRule="auto"/>
              <w:ind w:firstLine="480" w:firstLineChars="200"/>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施工粘度</w:t>
            </w:r>
          </w:p>
        </w:tc>
        <w:tc>
          <w:tcPr>
            <w:tcW w:w="1276" w:type="dxa"/>
            <w:noWrap w:val="0"/>
            <w:vAlign w:val="top"/>
          </w:tcPr>
          <w:p>
            <w:pPr>
              <w:adjustRightInd w:val="0"/>
              <w:spacing w:line="360" w:lineRule="auto"/>
              <w:ind w:firstLine="480" w:firstLineChars="200"/>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9" w:type="dxa"/>
            <w:noWrap w:val="0"/>
            <w:vAlign w:val="center"/>
          </w:tcPr>
          <w:p>
            <w:pPr>
              <w:adjustRightInd w:val="0"/>
              <w:spacing w:line="360" w:lineRule="auto"/>
              <w:ind w:firstLine="480" w:firstLineChars="200"/>
              <w:jc w:val="both"/>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1</w:t>
            </w:r>
          </w:p>
        </w:tc>
        <w:tc>
          <w:tcPr>
            <w:tcW w:w="794" w:type="dxa"/>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lang w:val="en-US" w:eastAsia="zh-CN"/>
              </w:rPr>
              <w:t>底</w:t>
            </w:r>
            <w:r>
              <w:rPr>
                <w:rFonts w:hint="eastAsia" w:ascii="宋体" w:hAnsi="宋体" w:eastAsia="宋体" w:cs="宋体"/>
                <w:b w:val="0"/>
                <w:sz w:val="24"/>
                <w:szCs w:val="24"/>
                <w:highlight w:val="none"/>
              </w:rPr>
              <w:t>漆</w:t>
            </w:r>
          </w:p>
        </w:tc>
        <w:tc>
          <w:tcPr>
            <w:tcW w:w="2129" w:type="dxa"/>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38-44%</w:t>
            </w:r>
          </w:p>
        </w:tc>
        <w:tc>
          <w:tcPr>
            <w:tcW w:w="2243" w:type="dxa"/>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28-33%</w:t>
            </w:r>
          </w:p>
        </w:tc>
        <w:tc>
          <w:tcPr>
            <w:tcW w:w="2176" w:type="dxa"/>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80-200 cP(CAP2000, 50rpm)</w:t>
            </w:r>
          </w:p>
        </w:tc>
        <w:tc>
          <w:tcPr>
            <w:tcW w:w="1276" w:type="dxa"/>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水性漆</w:t>
            </w:r>
          </w:p>
        </w:tc>
      </w:tr>
      <w:bookmarkEnd w:id="35"/>
    </w:tbl>
    <w:p>
      <w:pPr>
        <w:adjustRightInd w:val="0"/>
        <w:spacing w:line="360" w:lineRule="auto"/>
        <w:rPr>
          <w:rFonts w:hint="eastAsia" w:ascii="宋体" w:hAnsi="宋体" w:eastAsia="宋体" w:cs="宋体"/>
          <w:b w:val="0"/>
          <w:sz w:val="24"/>
          <w:szCs w:val="24"/>
          <w:highlight w:val="none"/>
        </w:rPr>
      </w:pPr>
      <w:r>
        <w:rPr>
          <w:rFonts w:hint="eastAsia" w:ascii="宋体" w:hAnsi="宋体" w:eastAsia="宋体" w:cs="宋体"/>
          <w:b w:val="0"/>
          <w:sz w:val="24"/>
          <w:szCs w:val="24"/>
          <w:highlight w:val="none"/>
          <w:lang w:val="en-US" w:eastAsia="zh-CN"/>
        </w:rPr>
        <w:t>1.5</w:t>
      </w:r>
      <w:r>
        <w:rPr>
          <w:rFonts w:hint="eastAsia" w:ascii="宋体" w:hAnsi="宋体" w:eastAsia="宋体" w:cs="宋体"/>
          <w:b w:val="0"/>
          <w:sz w:val="24"/>
          <w:szCs w:val="24"/>
          <w:highlight w:val="none"/>
        </w:rPr>
        <w:t xml:space="preserve">输调漆压力、流量、流速要求： </w:t>
      </w:r>
    </w:p>
    <w:tbl>
      <w:tblPr>
        <w:tblStyle w:val="36"/>
        <w:tblW w:w="7939" w:type="dxa"/>
        <w:tblInd w:w="108" w:type="dxa"/>
        <w:tblLayout w:type="fixed"/>
        <w:tblCellMar>
          <w:top w:w="0" w:type="dxa"/>
          <w:left w:w="108" w:type="dxa"/>
          <w:bottom w:w="0" w:type="dxa"/>
          <w:right w:w="108" w:type="dxa"/>
        </w:tblCellMar>
      </w:tblPr>
      <w:tblGrid>
        <w:gridCol w:w="1867"/>
        <w:gridCol w:w="2336"/>
        <w:gridCol w:w="2349"/>
        <w:gridCol w:w="1387"/>
      </w:tblGrid>
      <w:tr>
        <w:tblPrEx>
          <w:tblCellMar>
            <w:top w:w="0" w:type="dxa"/>
            <w:left w:w="108" w:type="dxa"/>
            <w:bottom w:w="0" w:type="dxa"/>
            <w:right w:w="108" w:type="dxa"/>
          </w:tblCellMar>
        </w:tblPrEx>
        <w:trPr>
          <w:trHeight w:val="271" w:hRule="atLeast"/>
        </w:trPr>
        <w:tc>
          <w:tcPr>
            <w:tcW w:w="4203"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涂料种类</w:t>
            </w:r>
          </w:p>
        </w:tc>
        <w:tc>
          <w:tcPr>
            <w:tcW w:w="2349"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lang w:val="en-US" w:eastAsia="zh-CN"/>
              </w:rPr>
              <w:t>色漆</w:t>
            </w:r>
          </w:p>
        </w:tc>
        <w:tc>
          <w:tcPr>
            <w:tcW w:w="1387"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lang w:val="en-US" w:eastAsia="zh-CN"/>
              </w:rPr>
            </w:pPr>
            <w:r>
              <w:rPr>
                <w:rFonts w:hint="eastAsia" w:ascii="宋体" w:hAnsi="宋体" w:eastAsia="宋体" w:cs="宋体"/>
                <w:b w:val="0"/>
                <w:sz w:val="24"/>
                <w:szCs w:val="24"/>
                <w:highlight w:val="none"/>
                <w:lang w:val="en-US" w:eastAsia="zh-CN"/>
              </w:rPr>
              <w:t>备注</w:t>
            </w:r>
          </w:p>
        </w:tc>
      </w:tr>
      <w:tr>
        <w:tblPrEx>
          <w:tblCellMar>
            <w:top w:w="0" w:type="dxa"/>
            <w:left w:w="108" w:type="dxa"/>
            <w:bottom w:w="0" w:type="dxa"/>
            <w:right w:w="108" w:type="dxa"/>
          </w:tblCellMar>
        </w:tblPrEx>
        <w:trPr>
          <w:trHeight w:val="271" w:hRule="atLeast"/>
        </w:trPr>
        <w:tc>
          <w:tcPr>
            <w:tcW w:w="1867" w:type="dxa"/>
            <w:vMerge w:val="restart"/>
            <w:tcBorders>
              <w:top w:val="nil"/>
              <w:left w:val="single" w:color="auto" w:sz="4" w:space="0"/>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手动喷涂</w:t>
            </w:r>
          </w:p>
        </w:tc>
        <w:tc>
          <w:tcPr>
            <w:tcW w:w="2336" w:type="dxa"/>
            <w:tcBorders>
              <w:top w:val="nil"/>
              <w:left w:val="nil"/>
              <w:bottom w:val="single" w:color="auto" w:sz="4" w:space="0"/>
              <w:right w:val="single" w:color="auto" w:sz="4" w:space="0"/>
            </w:tcBorders>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压力</w:t>
            </w:r>
          </w:p>
        </w:tc>
        <w:tc>
          <w:tcPr>
            <w:tcW w:w="2349"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w:t>
            </w:r>
            <w:r>
              <w:rPr>
                <w:rFonts w:hint="eastAsia" w:ascii="宋体" w:hAnsi="宋体" w:eastAsia="宋体" w:cs="宋体"/>
                <w:b w:val="0"/>
                <w:sz w:val="24"/>
                <w:szCs w:val="24"/>
                <w:highlight w:val="none"/>
                <w:lang w:val="en-US" w:eastAsia="zh-CN"/>
              </w:rPr>
              <w:t>8</w:t>
            </w:r>
            <w:r>
              <w:rPr>
                <w:rFonts w:hint="eastAsia" w:ascii="宋体" w:hAnsi="宋体" w:eastAsia="宋体" w:cs="宋体"/>
                <w:b w:val="0"/>
                <w:sz w:val="24"/>
                <w:szCs w:val="24"/>
                <w:highlight w:val="none"/>
              </w:rPr>
              <w:t>bar</w:t>
            </w:r>
          </w:p>
        </w:tc>
        <w:tc>
          <w:tcPr>
            <w:tcW w:w="1387"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p>
        </w:tc>
      </w:tr>
      <w:tr>
        <w:tblPrEx>
          <w:tblCellMar>
            <w:top w:w="0" w:type="dxa"/>
            <w:left w:w="108" w:type="dxa"/>
            <w:bottom w:w="0" w:type="dxa"/>
            <w:right w:w="108" w:type="dxa"/>
          </w:tblCellMar>
        </w:tblPrEx>
        <w:trPr>
          <w:trHeight w:val="271" w:hRule="atLeast"/>
        </w:trPr>
        <w:tc>
          <w:tcPr>
            <w:tcW w:w="1867" w:type="dxa"/>
            <w:vMerge w:val="continue"/>
            <w:tcBorders>
              <w:top w:val="nil"/>
              <w:left w:val="single" w:color="auto" w:sz="4" w:space="0"/>
              <w:bottom w:val="single" w:color="auto" w:sz="4" w:space="0"/>
              <w:right w:val="single" w:color="auto" w:sz="4" w:space="0"/>
            </w:tcBorders>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p>
        </w:tc>
        <w:tc>
          <w:tcPr>
            <w:tcW w:w="2336"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流量cc/min</w:t>
            </w:r>
          </w:p>
        </w:tc>
        <w:tc>
          <w:tcPr>
            <w:tcW w:w="2349"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50-</w:t>
            </w:r>
            <w:r>
              <w:rPr>
                <w:rFonts w:hint="eastAsia" w:ascii="宋体" w:hAnsi="宋体" w:eastAsia="宋体" w:cs="宋体"/>
                <w:b w:val="0"/>
                <w:sz w:val="24"/>
                <w:szCs w:val="24"/>
                <w:highlight w:val="none"/>
                <w:lang w:val="en-US" w:eastAsia="zh-CN"/>
              </w:rPr>
              <w:t>55</w:t>
            </w:r>
            <w:r>
              <w:rPr>
                <w:rFonts w:hint="eastAsia" w:ascii="宋体" w:hAnsi="宋体" w:eastAsia="宋体" w:cs="宋体"/>
                <w:b w:val="0"/>
                <w:sz w:val="24"/>
                <w:szCs w:val="24"/>
                <w:highlight w:val="none"/>
              </w:rPr>
              <w:t>0</w:t>
            </w:r>
          </w:p>
        </w:tc>
        <w:tc>
          <w:tcPr>
            <w:tcW w:w="1387"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p>
        </w:tc>
      </w:tr>
      <w:tr>
        <w:tblPrEx>
          <w:tblCellMar>
            <w:top w:w="0" w:type="dxa"/>
            <w:left w:w="108" w:type="dxa"/>
            <w:bottom w:w="0" w:type="dxa"/>
            <w:right w:w="108" w:type="dxa"/>
          </w:tblCellMar>
        </w:tblPrEx>
        <w:trPr>
          <w:trHeight w:val="271" w:hRule="atLeast"/>
        </w:trPr>
        <w:tc>
          <w:tcPr>
            <w:tcW w:w="1867" w:type="dxa"/>
            <w:vMerge w:val="restart"/>
            <w:tcBorders>
              <w:top w:val="nil"/>
              <w:left w:val="single" w:color="auto" w:sz="4" w:space="0"/>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外喷自动</w:t>
            </w:r>
          </w:p>
        </w:tc>
        <w:tc>
          <w:tcPr>
            <w:tcW w:w="2336" w:type="dxa"/>
            <w:tcBorders>
              <w:top w:val="nil"/>
              <w:left w:val="nil"/>
              <w:bottom w:val="single" w:color="auto" w:sz="4" w:space="0"/>
              <w:right w:val="single" w:color="auto" w:sz="4" w:space="0"/>
            </w:tcBorders>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压力</w:t>
            </w:r>
          </w:p>
        </w:tc>
        <w:tc>
          <w:tcPr>
            <w:tcW w:w="2349"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w:t>
            </w:r>
            <w:r>
              <w:rPr>
                <w:rFonts w:hint="eastAsia" w:ascii="宋体" w:hAnsi="宋体" w:eastAsia="宋体" w:cs="宋体"/>
                <w:b w:val="0"/>
                <w:sz w:val="24"/>
                <w:szCs w:val="24"/>
                <w:highlight w:val="none"/>
                <w:lang w:val="en-US" w:eastAsia="zh-CN"/>
              </w:rPr>
              <w:t>8</w:t>
            </w:r>
            <w:r>
              <w:rPr>
                <w:rFonts w:hint="eastAsia" w:ascii="宋体" w:hAnsi="宋体" w:eastAsia="宋体" w:cs="宋体"/>
                <w:b w:val="0"/>
                <w:sz w:val="24"/>
                <w:szCs w:val="24"/>
                <w:highlight w:val="none"/>
              </w:rPr>
              <w:t>bar</w:t>
            </w:r>
          </w:p>
        </w:tc>
        <w:tc>
          <w:tcPr>
            <w:tcW w:w="1387"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p>
        </w:tc>
      </w:tr>
      <w:tr>
        <w:tblPrEx>
          <w:tblCellMar>
            <w:top w:w="0" w:type="dxa"/>
            <w:left w:w="108" w:type="dxa"/>
            <w:bottom w:w="0" w:type="dxa"/>
            <w:right w:w="108" w:type="dxa"/>
          </w:tblCellMar>
        </w:tblPrEx>
        <w:trPr>
          <w:trHeight w:val="271" w:hRule="atLeast"/>
        </w:trPr>
        <w:tc>
          <w:tcPr>
            <w:tcW w:w="1867" w:type="dxa"/>
            <w:vMerge w:val="continue"/>
            <w:tcBorders>
              <w:top w:val="nil"/>
              <w:left w:val="single" w:color="auto" w:sz="4" w:space="0"/>
              <w:bottom w:val="single" w:color="auto" w:sz="4" w:space="0"/>
              <w:right w:val="single" w:color="auto" w:sz="4" w:space="0"/>
            </w:tcBorders>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p>
        </w:tc>
        <w:tc>
          <w:tcPr>
            <w:tcW w:w="2336"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流量cc/min</w:t>
            </w:r>
          </w:p>
        </w:tc>
        <w:tc>
          <w:tcPr>
            <w:tcW w:w="2349"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50-</w:t>
            </w:r>
            <w:r>
              <w:rPr>
                <w:rFonts w:hint="eastAsia" w:ascii="宋体" w:hAnsi="宋体" w:eastAsia="宋体" w:cs="宋体"/>
                <w:b w:val="0"/>
                <w:sz w:val="24"/>
                <w:szCs w:val="24"/>
                <w:highlight w:val="none"/>
                <w:lang w:val="en-US" w:eastAsia="zh-CN"/>
              </w:rPr>
              <w:t>55</w:t>
            </w:r>
            <w:r>
              <w:rPr>
                <w:rFonts w:hint="eastAsia" w:ascii="宋体" w:hAnsi="宋体" w:eastAsia="宋体" w:cs="宋体"/>
                <w:b w:val="0"/>
                <w:sz w:val="24"/>
                <w:szCs w:val="24"/>
                <w:highlight w:val="none"/>
              </w:rPr>
              <w:t>0</w:t>
            </w:r>
          </w:p>
        </w:tc>
        <w:tc>
          <w:tcPr>
            <w:tcW w:w="1387" w:type="dxa"/>
            <w:tcBorders>
              <w:top w:val="nil"/>
              <w:left w:val="nil"/>
              <w:bottom w:val="single" w:color="auto" w:sz="4" w:space="0"/>
              <w:right w:val="single" w:color="auto" w:sz="4" w:space="0"/>
            </w:tcBorders>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p>
        </w:tc>
      </w:tr>
      <w:tr>
        <w:tblPrEx>
          <w:tblCellMar>
            <w:top w:w="0" w:type="dxa"/>
            <w:left w:w="108" w:type="dxa"/>
            <w:bottom w:w="0" w:type="dxa"/>
            <w:right w:w="108" w:type="dxa"/>
          </w:tblCellMar>
        </w:tblPrEx>
        <w:trPr>
          <w:trHeight w:val="271" w:hRule="atLeast"/>
        </w:trPr>
        <w:tc>
          <w:tcPr>
            <w:tcW w:w="4203"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出口静态压力波动</w:t>
            </w:r>
          </w:p>
        </w:tc>
        <w:tc>
          <w:tcPr>
            <w:tcW w:w="2349"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±0.5bar</w:t>
            </w:r>
          </w:p>
        </w:tc>
        <w:tc>
          <w:tcPr>
            <w:tcW w:w="1387" w:type="dxa"/>
            <w:tcBorders>
              <w:top w:val="nil"/>
              <w:left w:val="nil"/>
              <w:bottom w:val="single" w:color="auto" w:sz="4" w:space="0"/>
              <w:right w:val="single" w:color="auto" w:sz="4" w:space="0"/>
            </w:tcBorders>
            <w:noWrap w:val="0"/>
            <w:vAlign w:val="center"/>
          </w:tcPr>
          <w:p>
            <w:pPr>
              <w:adjustRightInd w:val="0"/>
              <w:spacing w:line="360" w:lineRule="auto"/>
              <w:jc w:val="center"/>
              <w:rPr>
                <w:rFonts w:hint="eastAsia" w:ascii="宋体" w:hAnsi="宋体" w:eastAsia="宋体" w:cs="宋体"/>
                <w:b w:val="0"/>
                <w:sz w:val="24"/>
                <w:szCs w:val="24"/>
                <w:highlight w:val="none"/>
              </w:rPr>
            </w:pPr>
          </w:p>
        </w:tc>
      </w:tr>
      <w:tr>
        <w:tblPrEx>
          <w:tblCellMar>
            <w:top w:w="0" w:type="dxa"/>
            <w:left w:w="108" w:type="dxa"/>
            <w:bottom w:w="0" w:type="dxa"/>
            <w:right w:w="108" w:type="dxa"/>
          </w:tblCellMar>
        </w:tblPrEx>
        <w:trPr>
          <w:trHeight w:val="285" w:hRule="atLeast"/>
        </w:trPr>
        <w:tc>
          <w:tcPr>
            <w:tcW w:w="4203"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val="0"/>
              <w:spacing w:line="360" w:lineRule="auto"/>
              <w:ind w:firstLine="480" w:firstLineChars="200"/>
              <w:jc w:val="cente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流速</w:t>
            </w:r>
          </w:p>
        </w:tc>
        <w:tc>
          <w:tcPr>
            <w:tcW w:w="3736" w:type="dxa"/>
            <w:gridSpan w:val="2"/>
            <w:tcBorders>
              <w:top w:val="single" w:color="auto" w:sz="4" w:space="0"/>
              <w:left w:val="nil"/>
              <w:bottom w:val="single" w:color="auto" w:sz="4" w:space="0"/>
              <w:right w:val="nil"/>
            </w:tcBorders>
            <w:noWrap w:val="0"/>
            <w:vAlign w:val="center"/>
          </w:tcPr>
          <w:p>
            <w:pPr>
              <w:adjustRightInd w:val="0"/>
              <w:spacing w:line="360" w:lineRule="auto"/>
              <w:ind w:firstLine="480" w:firstLineChars="200"/>
              <w:jc w:val="both"/>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0.1~0.4m/s</w:t>
            </w:r>
          </w:p>
        </w:tc>
      </w:tr>
    </w:tbl>
    <w:p>
      <w:pPr>
        <w:adjustRightInd w:val="0"/>
        <w:spacing w:line="360" w:lineRule="auto"/>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初步按照此进行设计，如</w:t>
      </w:r>
      <w:r>
        <w:rPr>
          <w:rFonts w:hint="eastAsia" w:ascii="宋体" w:hAnsi="宋体" w:eastAsia="宋体" w:cs="宋体"/>
          <w:b w:val="0"/>
          <w:sz w:val="24"/>
          <w:szCs w:val="24"/>
          <w:lang w:eastAsia="zh-CN"/>
        </w:rPr>
        <w:t>外饰件</w:t>
      </w:r>
      <w:r>
        <w:rPr>
          <w:rFonts w:hint="eastAsia" w:ascii="宋体" w:hAnsi="宋体" w:eastAsia="宋体" w:cs="宋体"/>
          <w:b w:val="0"/>
          <w:sz w:val="24"/>
          <w:szCs w:val="24"/>
        </w:rPr>
        <w:t>机器人数量进行优化自动站喷涂需按照</w:t>
      </w:r>
      <w:r>
        <w:rPr>
          <w:rFonts w:hint="eastAsia" w:ascii="宋体" w:hAnsi="宋体" w:eastAsia="宋体" w:cs="宋体"/>
          <w:b w:val="0"/>
          <w:sz w:val="24"/>
          <w:szCs w:val="24"/>
          <w:lang w:val="en-US" w:eastAsia="zh-CN"/>
        </w:rPr>
        <w:t>更新</w:t>
      </w:r>
      <w:r>
        <w:rPr>
          <w:rFonts w:hint="eastAsia" w:ascii="宋体" w:hAnsi="宋体" w:eastAsia="宋体" w:cs="宋体"/>
          <w:b w:val="0"/>
          <w:sz w:val="24"/>
          <w:szCs w:val="24"/>
        </w:rPr>
        <w:t>后的数量进行合理配比，以满足工艺使用要求。</w:t>
      </w:r>
    </w:p>
    <w:p>
      <w:pPr>
        <w:adjustRightInd w:val="0"/>
        <w:spacing w:line="360" w:lineRule="auto"/>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2</w:t>
      </w:r>
      <w:r>
        <w:rPr>
          <w:rFonts w:hint="eastAsia" w:ascii="宋体" w:hAnsi="宋体" w:eastAsia="宋体" w:cs="宋体"/>
          <w:b w:val="0"/>
          <w:sz w:val="24"/>
          <w:szCs w:val="24"/>
          <w:lang w:eastAsia="zh-CN"/>
        </w:rPr>
        <w:t>.</w:t>
      </w:r>
      <w:r>
        <w:rPr>
          <w:rFonts w:hint="eastAsia" w:ascii="宋体" w:hAnsi="宋体" w:eastAsia="宋体" w:cs="宋体"/>
          <w:b w:val="0"/>
          <w:sz w:val="24"/>
          <w:szCs w:val="24"/>
        </w:rPr>
        <w:t>供货内容及项目管理</w:t>
      </w:r>
    </w:p>
    <w:p>
      <w:pPr>
        <w:spacing w:line="360" w:lineRule="auto"/>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本工程为交钥匙工程。投标方完成此项目所有的工作包括：设计、外购配套、国内制作、安装、清洗、培训、调试、伴产、售后服务等。</w:t>
      </w:r>
    </w:p>
    <w:p>
      <w:pPr>
        <w:adjustRightInd w:val="0"/>
        <w:spacing w:line="360" w:lineRule="auto"/>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2.1、供货清单一览表</w:t>
      </w:r>
    </w:p>
    <w:tbl>
      <w:tblPr>
        <w:tblStyle w:val="36"/>
        <w:tblW w:w="4997"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2"/>
        <w:gridCol w:w="4218"/>
        <w:gridCol w:w="1506"/>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序号</w:t>
            </w:r>
          </w:p>
        </w:tc>
        <w:tc>
          <w:tcPr>
            <w:tcW w:w="2311"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改造内容</w:t>
            </w:r>
          </w:p>
        </w:tc>
        <w:tc>
          <w:tcPr>
            <w:tcW w:w="825"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数量</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1</w:t>
            </w:r>
          </w:p>
        </w:tc>
        <w:tc>
          <w:tcPr>
            <w:tcW w:w="2311"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溶剂供给系统</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双线均连接至机器人、新增2KS、现有2KE</w:t>
            </w:r>
            <w:r>
              <w:rPr>
                <w:rFonts w:hint="eastAsia" w:ascii="宋体" w:hAnsi="宋体" w:eastAsia="宋体" w:cs="宋体"/>
                <w:b w:val="0"/>
                <w:bCs w:val="0"/>
                <w:color w:val="000000" w:themeColor="text1"/>
                <w:sz w:val="24"/>
                <w:szCs w:val="24"/>
                <w:lang w:eastAsia="zh-CN"/>
                <w14:textFill>
                  <w14:solidFill>
                    <w14:schemeClr w14:val="tx1"/>
                  </w14:solidFill>
                </w14:textFill>
              </w:rPr>
              <w:t>）</w:t>
            </w:r>
          </w:p>
        </w:tc>
        <w:tc>
          <w:tcPr>
            <w:tcW w:w="825"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2</w:t>
            </w:r>
          </w:p>
        </w:tc>
        <w:tc>
          <w:tcPr>
            <w:tcW w:w="2311"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废溶剂回收系统</w:t>
            </w:r>
          </w:p>
        </w:tc>
        <w:tc>
          <w:tcPr>
            <w:tcW w:w="825"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3</w:t>
            </w:r>
          </w:p>
        </w:tc>
        <w:tc>
          <w:tcPr>
            <w:tcW w:w="2311"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2ks</w:t>
            </w:r>
            <w:r>
              <w:rPr>
                <w:rFonts w:hint="eastAsia" w:ascii="宋体" w:hAnsi="宋体" w:eastAsia="宋体" w:cs="宋体"/>
                <w:b w:val="0"/>
                <w:bCs w:val="0"/>
                <w:color w:val="000000" w:themeColor="text1"/>
                <w:sz w:val="24"/>
                <w:szCs w:val="24"/>
                <w:lang w:val="en-US" w:eastAsia="zh-CN"/>
                <w14:textFill>
                  <w14:solidFill>
                    <w14:schemeClr w14:val="tx1"/>
                  </w14:solidFill>
                </w14:textFill>
              </w:rPr>
              <w:t>供漆系统</w:t>
            </w:r>
          </w:p>
        </w:tc>
        <w:tc>
          <w:tcPr>
            <w:tcW w:w="825"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highlight w:val="yellow"/>
                <w14:textFill>
                  <w14:solidFill>
                    <w14:schemeClr w14:val="tx1"/>
                  </w14:solidFill>
                </w14:textFill>
              </w:rPr>
              <w:t>2</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4</w:t>
            </w:r>
          </w:p>
        </w:tc>
        <w:tc>
          <w:tcPr>
            <w:tcW w:w="2311" w:type="pct"/>
            <w:shd w:val="clear" w:color="auto" w:fill="auto"/>
            <w:tcMar>
              <w:top w:w="20" w:type="dxa"/>
              <w:left w:w="20" w:type="dxa"/>
              <w:bottom w:w="72" w:type="dxa"/>
              <w:right w:w="20" w:type="dxa"/>
            </w:tcMar>
            <w:vAlign w:val="center"/>
          </w:tcPr>
          <w:p>
            <w:pPr>
              <w:widowControl/>
              <w:jc w:val="center"/>
              <w:textAlignment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yellow"/>
                <w14:textFill>
                  <w14:solidFill>
                    <w14:schemeClr w14:val="tx1"/>
                  </w14:solidFill>
                </w14:textFill>
              </w:rPr>
              <w:t>机器人废溶剂回收</w:t>
            </w:r>
            <w:r>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t>设备</w:t>
            </w:r>
          </w:p>
        </w:tc>
        <w:tc>
          <w:tcPr>
            <w:tcW w:w="825" w:type="pct"/>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4</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shd w:val="clear" w:color="auto" w:fill="auto"/>
            <w:tcMar>
              <w:top w:w="20" w:type="dxa"/>
              <w:left w:w="20" w:type="dxa"/>
              <w:bottom w:w="72" w:type="dxa"/>
              <w:right w:w="20" w:type="dxa"/>
            </w:tcMar>
            <w:vAlign w:val="center"/>
          </w:tcPr>
          <w:p>
            <w:pPr>
              <w:pStyle w:val="31"/>
              <w:widowControl/>
              <w:snapToGrid w:val="0"/>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5</w:t>
            </w:r>
          </w:p>
        </w:tc>
        <w:tc>
          <w:tcPr>
            <w:tcW w:w="2311" w:type="pct"/>
            <w:shd w:val="clear" w:color="auto" w:fill="auto"/>
            <w:tcMar>
              <w:top w:w="20" w:type="dxa"/>
              <w:left w:w="20" w:type="dxa"/>
              <w:bottom w:w="72" w:type="dxa"/>
              <w:right w:w="20" w:type="dxa"/>
            </w:tcMar>
            <w:vAlign w:val="center"/>
          </w:tcPr>
          <w:p>
            <w:pPr>
              <w:widowControl/>
              <w:jc w:val="center"/>
              <w:textAlignment w:val="center"/>
              <w:rPr>
                <w:rFonts w:hint="default" w:ascii="宋体" w:hAnsi="宋体" w:eastAsia="宋体" w:cs="宋体"/>
                <w:b w:val="0"/>
                <w:bCs w:val="0"/>
                <w:color w:val="000000" w:themeColor="text1"/>
                <w:sz w:val="24"/>
                <w:szCs w:val="24"/>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t>程序调整</w:t>
            </w:r>
          </w:p>
        </w:tc>
        <w:tc>
          <w:tcPr>
            <w:tcW w:w="825" w:type="pct"/>
            <w:shd w:val="clear" w:color="auto" w:fill="auto"/>
            <w:tcMar>
              <w:top w:w="20" w:type="dxa"/>
              <w:left w:w="20" w:type="dxa"/>
              <w:bottom w:w="72" w:type="dxa"/>
              <w:right w:w="20" w:type="dxa"/>
            </w:tcMar>
            <w:vAlign w:val="center"/>
          </w:tcPr>
          <w:p>
            <w:pPr>
              <w:widowControl/>
              <w:jc w:val="center"/>
              <w:textAlignment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w:t>
            </w:r>
          </w:p>
        </w:tc>
        <w:tc>
          <w:tcPr>
            <w:tcW w:w="1429" w:type="pct"/>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bl>
    <w:p>
      <w:pPr>
        <w:jc w:val="both"/>
        <w:rPr>
          <w:rFonts w:hint="eastAsia" w:ascii="宋体" w:hAnsi="宋体" w:eastAsia="宋体" w:cs="宋体"/>
          <w:b/>
          <w:bCs/>
          <w:kern w:val="44"/>
          <w:sz w:val="24"/>
          <w:szCs w:val="24"/>
        </w:rPr>
      </w:pP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 xml:space="preserve">2.2、项目管理 </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2.2.1  项目进度控制</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（合同签订－进口索货－国产备货－现场安装－泄漏检查－压力试验－清洗调试－设备验收）</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lang w:val="en-US" w:eastAsia="zh-CN"/>
        </w:rPr>
        <w:t>周</w:t>
      </w:r>
      <w:r>
        <w:rPr>
          <w:rFonts w:hint="eastAsia" w:ascii="宋体" w:hAnsi="宋体" w:eastAsia="宋体" w:cs="宋体"/>
          <w:b w:val="0"/>
          <w:sz w:val="24"/>
          <w:szCs w:val="24"/>
        </w:rPr>
        <w:t>计划施工进度表：（每</w:t>
      </w:r>
      <w:r>
        <w:rPr>
          <w:rFonts w:hint="eastAsia" w:ascii="宋体" w:hAnsi="宋体" w:eastAsia="宋体" w:cs="宋体"/>
          <w:b w:val="0"/>
          <w:sz w:val="24"/>
          <w:szCs w:val="24"/>
          <w:lang w:val="en-US" w:eastAsia="zh-CN"/>
        </w:rPr>
        <w:t>周</w:t>
      </w:r>
      <w:r>
        <w:rPr>
          <w:rFonts w:hint="eastAsia" w:ascii="宋体" w:hAnsi="宋体" w:eastAsia="宋体" w:cs="宋体"/>
          <w:b w:val="0"/>
          <w:sz w:val="24"/>
          <w:szCs w:val="24"/>
        </w:rPr>
        <w:t>施工安装进度）</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施工日志：（每日施工安排）</w:t>
      </w:r>
    </w:p>
    <w:p>
      <w:pPr>
        <w:spacing w:line="360" w:lineRule="auto"/>
        <w:rPr>
          <w:rFonts w:hint="eastAsia" w:ascii="宋体" w:hAnsi="宋体" w:eastAsia="宋体" w:cs="宋体"/>
          <w:b w:val="0"/>
          <w:sz w:val="24"/>
          <w:szCs w:val="24"/>
        </w:rPr>
      </w:pPr>
      <w:bookmarkStart w:id="36" w:name="_Toc2430820"/>
      <w:r>
        <w:rPr>
          <w:rFonts w:hint="eastAsia" w:ascii="宋体" w:hAnsi="宋体" w:eastAsia="宋体" w:cs="宋体"/>
          <w:b w:val="0"/>
          <w:sz w:val="24"/>
          <w:szCs w:val="24"/>
        </w:rPr>
        <w:t>3、设计认可</w:t>
      </w:r>
      <w:bookmarkEnd w:id="36"/>
    </w:p>
    <w:p>
      <w:pPr>
        <w:spacing w:line="360" w:lineRule="auto"/>
        <w:rPr>
          <w:rFonts w:hint="eastAsia" w:ascii="宋体" w:hAnsi="宋体" w:eastAsia="宋体" w:cs="宋体"/>
          <w:b w:val="0"/>
          <w:sz w:val="24"/>
          <w:szCs w:val="24"/>
          <w:lang w:eastAsia="zh-CN"/>
        </w:rPr>
      </w:pPr>
      <w:r>
        <w:rPr>
          <w:rFonts w:hint="eastAsia" w:ascii="宋体" w:hAnsi="宋体" w:eastAsia="宋体" w:cs="宋体"/>
          <w:b w:val="0"/>
          <w:sz w:val="24"/>
          <w:szCs w:val="24"/>
        </w:rPr>
        <w:t>3.1、投标方应仔细核对招标文件、设计图纸、技术资料，对招标技术资料及图纸中的疑问应及时进行反馈，若因审核不仔细或图纸本身产生的问题或丢项，投标方自行承担由此产生的后果</w:t>
      </w:r>
      <w:r>
        <w:rPr>
          <w:rFonts w:hint="eastAsia" w:ascii="宋体" w:hAnsi="宋体" w:eastAsia="宋体" w:cs="宋体"/>
          <w:b w:val="0"/>
          <w:sz w:val="24"/>
          <w:szCs w:val="24"/>
          <w:lang w:eastAsia="zh-CN"/>
        </w:rPr>
        <w:t>；</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3.2、投标方应将系统设计方案提交给招标方，经招标方认可后进行技术会签，会签内容包括但不限于以下：各部分系统图纸、会签纪要等。但招标方对系统设计的认可并不代表投标方最终提供的系统完全符合本项目的具体要求。若出现因投标方设计选型等原因造成系统缺陷或产生费用的，投标方应无偿改进并负责因此产生的全部费用。</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3.3、投标方设计对材料材质的选取应遵循：a、按照工艺技术要求；b、按照国标选择；c、选用大型专业厂商生产的材料</w:t>
      </w: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d、与现场现有型号保持一致减少备件及维修成本；e、</w:t>
      </w:r>
      <w:r>
        <w:rPr>
          <w:rFonts w:hint="eastAsia" w:ascii="宋体" w:hAnsi="宋体" w:eastAsia="宋体" w:cs="宋体"/>
          <w:b w:val="0"/>
          <w:sz w:val="24"/>
          <w:szCs w:val="24"/>
        </w:rPr>
        <w:t>所有与油漆接触的材质不能低于304L。</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3.4、投标方在设计、配置零部件时应选用知名品牌产品，保证设备运行、使用、维护管理的便利。</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3.5、投标方应仔细认真核对并消化招标方所供图纸及设计技术资料，以此确定厂外预制及现场施工内容，制定出合理的施工工艺；与此同时，投标方须对图纸中的疑问及时做出反馈进行沟通，否则因此产生的后果均由投标方承担。</w:t>
      </w:r>
    </w:p>
    <w:p>
      <w:pPr>
        <w:spacing w:line="360" w:lineRule="auto"/>
        <w:rPr>
          <w:rFonts w:hint="eastAsia" w:ascii="宋体" w:hAnsi="宋体" w:eastAsia="宋体" w:cs="宋体"/>
          <w:b w:val="0"/>
          <w:sz w:val="24"/>
          <w:szCs w:val="24"/>
        </w:rPr>
      </w:pPr>
      <w:bookmarkStart w:id="37" w:name="_Toc2430821"/>
      <w:r>
        <w:rPr>
          <w:rFonts w:hint="eastAsia" w:ascii="宋体" w:hAnsi="宋体" w:eastAsia="宋体" w:cs="宋体"/>
          <w:b w:val="0"/>
          <w:sz w:val="24"/>
          <w:szCs w:val="24"/>
        </w:rPr>
        <w:t>4、采购制造与包装运输</w:t>
      </w:r>
      <w:bookmarkEnd w:id="37"/>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制造方式：尽可能增大原厂预制量，减少在招标方建设车间内的安装工作。</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投标方应按双方会签后的图纸及技术要求合理安排预制计划，精心制造、安装和调试，保证工程进度和施工质量。</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投标方采购的材料/设备在使用前，需提供合格证明，同时应按照招标方要求进行检验或试验，不符合要求的不得使用。</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投标方应按照设计施工图和招标方签字认可的清单选购原材料和外购件，如因市场供应问题需要更换原材料或外购件，首先应征得招标方的同意，原则上只能向上一等级和规格浮动。</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计量仪表：设备用的所有监视、测量装置的准确度应符合国家现行的计量检定规程。要求使用正规知名品牌。计量仪（压力表、温度表）表运达现场后，必须通过经招标方认可的国家有关部门合格的计量检定，且出具检定合格报告，费用由投标方承担。</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投标方在设计、制造、安装、调试过程中发现与招标方要求不符或确实达不到招标方要求的及其它存在的技术问题，应及时以书面形式通知招标方，并与招标方协商，否则自行承担由此产生的一切后果。</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场外预制过程中，招标方将不定期到预制现场进行监督检查，要求设备预制或存储不得在外露空间。</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包装应符合GB/T9174-2008《一般货物运输包装通用技术条件》。包装物的供应与回收由投标方负责，费用由投标方承担。</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应提供货物运至涂装车间所需要的包装，以防止货物在转运中损坏或变质。这类包装应采取防潮、防晒、防锈、防腐蚀、防震动、防雨及防止其它损坏的必要保护措施，从而保护货物能够经受多次搬运、装卸及长途运输。投标方应承担由于其包装或其防护措施不妥而引起货物锈蚀、损坏和丢失的任何损失的责任或费用。</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lang w:val="en-US" w:eastAsia="zh-CN"/>
        </w:rPr>
        <w:t>快速换色</w:t>
      </w:r>
      <w:r>
        <w:rPr>
          <w:rFonts w:hint="eastAsia" w:ascii="宋体" w:hAnsi="宋体" w:eastAsia="宋体" w:cs="宋体"/>
          <w:b w:val="0"/>
          <w:sz w:val="24"/>
          <w:szCs w:val="24"/>
        </w:rPr>
        <w:t>系统的所有管道在运输过程中应用管塞将管道两端封口以防灰尘进入，管外壁必须包裹保护带，防止管路划伤、污损。</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招标方要求系统供应商的设备零件等在运输过程中不产生锈蚀等质量问题，防锈能力不低于12个月，由于防锈的质量问题造成设备表面锈蚀或设备局部锈蚀时，系统供应商要赔偿承担所有损失。</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因包装箱材质、木箱设计以及制造装箱过程等所造成设备的损坏；系统供应商不但要全部承担应有损失，还应承担因延误工期（影响施工）等所造成的损失。</w:t>
      </w:r>
    </w:p>
    <w:p>
      <w:pPr>
        <w:spacing w:line="360" w:lineRule="auto"/>
        <w:rPr>
          <w:rFonts w:hint="eastAsia" w:ascii="宋体" w:hAnsi="宋体" w:eastAsia="宋体" w:cs="宋体"/>
          <w:b w:val="0"/>
          <w:sz w:val="24"/>
          <w:szCs w:val="24"/>
        </w:rPr>
      </w:pPr>
      <w:bookmarkStart w:id="38" w:name="_Toc2430822"/>
      <w:r>
        <w:rPr>
          <w:rFonts w:hint="eastAsia" w:ascii="宋体" w:hAnsi="宋体" w:eastAsia="宋体" w:cs="宋体"/>
          <w:b w:val="0"/>
          <w:sz w:val="24"/>
          <w:szCs w:val="24"/>
        </w:rPr>
        <w:t>5、安装、调试及施工管理</w:t>
      </w:r>
      <w:bookmarkEnd w:id="38"/>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安装调试内容包括：</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所有设备</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系统所有连接管线</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系统电气线路</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所有设备组件技术功能的空运行</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控制程序的运行</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系统设备联机运行，所有性能参数在设备技术要求范围内</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工艺调试与系统负荷测试</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工程完成后，投标方须负责按照招标方工厂管理规定对设备颜色及铭牌进行施工制作，铭牌材质须耐腐蚀、耐溶剂。</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在外部条件具备的前提下，系统的单机调试由投标方负责，联机和工艺调试由招标方和投标方共同进行。</w:t>
      </w:r>
    </w:p>
    <w:p>
      <w:pPr>
        <w:spacing w:line="360" w:lineRule="auto"/>
        <w:rPr>
          <w:rFonts w:hint="eastAsia" w:ascii="宋体" w:hAnsi="宋体" w:eastAsia="宋体" w:cs="宋体"/>
          <w:b w:val="0"/>
          <w:sz w:val="24"/>
          <w:szCs w:val="24"/>
          <w:lang w:eastAsia="zh-CN"/>
        </w:rPr>
      </w:pPr>
      <w:r>
        <w:rPr>
          <w:rFonts w:hint="eastAsia" w:ascii="宋体" w:hAnsi="宋体" w:eastAsia="宋体" w:cs="宋体"/>
          <w:b w:val="0"/>
          <w:sz w:val="24"/>
          <w:szCs w:val="24"/>
        </w:rPr>
        <w:t>工程项目管理</w:t>
      </w:r>
      <w:r>
        <w:rPr>
          <w:rFonts w:hint="eastAsia" w:ascii="宋体" w:hAnsi="宋体" w:eastAsia="宋体" w:cs="宋体"/>
          <w:b w:val="0"/>
          <w:sz w:val="24"/>
          <w:szCs w:val="24"/>
          <w:lang w:eastAsia="zh-CN"/>
        </w:rPr>
        <w:t>：</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应按工程的需要组织足够、合格的管理人员、技术人员、施工人员进行本项目的施工，所有施工人员必须持有相应的资格证书上岗，并将证书复印件上报招标方备案。非经招标方同意，参与本项目的投标方主要人员不得中途更换。</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投标方设备进场前7天，投标方派技术人员到现场，提供设备物流计划和吊装示意图给招标方，供招标方进行协调。投标方设备进场（包括现场卸车、吊装、就位等），全部由投标方负责。</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投标方应提供完善的施工组织设计文件，并提供施工中必备的设备、安装工具、辅材及运输、吊装工具，以保证施工的顺利进行。</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安装工作开始前投标方须到保险公司投保所有安装险及第三责任险，如发生任何作业事故，一切责任由投标方自负。</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进入招标方施工现场后，现场临时办公室自行建设，必须符合当地相关部门的要求。施工现场必须制作目视化管理看板，按招标方要求对人员组织机构、施工质量、工程进度、每日开工前设备点检表、施工月/周计划、现场每日安全情况、每日问题及需协调事宜等进行目视化，并及时更新目视内容。</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投标方施工人员在现场的食宿由投标方自理。工作人员均应统一着装。</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施工防护要求，投标方施工人员，在现场施工过程中须注意保护土建、公用等设施。对现场地面不允许有划伤，墙面不允许乱写乱画以及挂蹭导致墙面破损等。</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投标方应绝对保证招标方设备安装现场的环境卫生，不得在施工现场进行大面积打磨、 除锈工作；生产、生活垃圾必须当日及时清理干净；材料设备堆放整齐。为保证整个现场和设备内部安装过程中的清洁，投标方应采取切实可行的措施，如利用工业吸尘器、擦布等及时清除灰尘，各个施工单位必须设兼职或专职清扫人员，保证施工现场清洁。如出现现场及设备内部不清洁或施工人员不文明施工，在现场或设备内部大小便等不文明行为，招标方有权责令停止施工，严重者可取消施工资格。由此造成的进度影响，投标方自负。在项目终验收前，投标方需要保证所有地面的完整。</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除招标方采购的外购件以外，所有设备、材料、辅助材料（含吊架、支撑、标准件等）等的采购、制造、安装和运输，以及施工安装过程中所需的水、电、气等，均由投标方根据招标方现场提供的能源点自行接取。</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投标方采购的外购件、标准件、元器件以及其备品备件、随机资料等，投标方均须妥善保管，待工程竣工后，交与招标方，不得有丢失或损坏。如有丢失或损坏投标方须无偿补齐。</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在设备安装调试过程中，投标方须服从招标方施工现场的统一协调管理，应按招标方要求或指挥进行安装、调试及问题处理，并与其它施工单位友好配合，不得扯皮。</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调试、试生产及验收阶段，投标方必须配备足够人员，全过程按照招标方的指令，配合协助招标方完成有关工作。</w:t>
      </w:r>
    </w:p>
    <w:p>
      <w:pPr>
        <w:spacing w:line="360" w:lineRule="auto"/>
        <w:rPr>
          <w:rFonts w:hint="eastAsia" w:ascii="宋体" w:hAnsi="宋体" w:eastAsia="宋体" w:cs="宋体"/>
          <w:b w:val="0"/>
          <w:sz w:val="24"/>
          <w:szCs w:val="24"/>
        </w:rPr>
      </w:pPr>
      <w:bookmarkStart w:id="39" w:name="_Toc2430823"/>
      <w:r>
        <w:rPr>
          <w:rFonts w:hint="eastAsia" w:ascii="宋体" w:hAnsi="宋体" w:eastAsia="宋体" w:cs="宋体"/>
          <w:b w:val="0"/>
          <w:sz w:val="24"/>
          <w:szCs w:val="24"/>
        </w:rPr>
        <w:t>6、技术服务与培训</w:t>
      </w:r>
      <w:bookmarkEnd w:id="39"/>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为保证整体工程质量，投标方须针对本项目自投标开始就保证由各种经验丰富的专家组成专门的项目组。并明确项目组长，提供详细的组织机构图、人员资质及业绩履历表，供招标方选择确认。</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项目组由组长及其它有关人员（包括机械工程师、电气工程师、安装工程师等）组成。项目组主要负责组织协调或直接负责各部分工程的工作，并对投标方负责的工程内容全面负责，对招标方负责的工程内容给予技术支持。</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投标方必须有足够的技术人员服务于整个过程，杜绝因技术服务不到位而影响其它工序进行的事件发生。服务须保证及时、有效、高质量。</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现场服务人员须严格遵守招标方现场的相关制度/规范，必要的项目组成员须在招标方通知设备到场安装时，进驻施工现场。</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 xml:space="preserve">项目组根据工程进展需要或招标方通知，应及时派出有关人员到现场提供有效的技术支持/服务。 </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施工与调试过程中，投标方须配合招标方制定施工及调试计划，调试完成及每次调试后出具相关报告。另外，投标方对招标方现场工程师或保全人员的维护、点检等工作应负有提醒指导责任。</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在招标方现场调试、试生产阶段，须为招标方各种人员进行各项所需培训，投标方应制定出详尽的技术培训方案（培训时间不少于5个工作日），保证招标方各类（分类及数量由招标方确定）人员满足工艺、设备技能需求。</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现场培训内容包括：系统生产流程、系统原理、设备结构、系统及组件维修保养、识别和处理系统一般故障的方法、系统操作、系统专项培训</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电气培训：PLC、触摸屏、搅拌器等产品的工作原理、结构性能、使用注意事项、操作方法、编程技巧、主要模块的设置及数据交换、数据区的分配及I/O点的分配、模块通讯参数的设定使用等；流体输送设备电气系统原理、布置、操作等；PLC、触摸屏用户程序讲解与培训等。</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上述每一类人员的培训科目开始以前，由投标方两周之前提供培训计划及所有相关资料。</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培训需达到车间工程师可独立操作设备和编程，车间维护人员能够独立处理故障。</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投标方在招标方现场调试、试生产阶段，须协助招标方技术及管理人员进行设备检查、日常保养等设备管理方面文件的编制，并对招标方设备操作和维护人员提供技术指导和违规纠正。</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通过最终验收后，为保证整个涂装生产线的顺利生产，投标方须留有专业人员在招标方生产现场进行30天的现场服务及陪产工作。在现场服务期间，对招标方操作人员在操作和维护管理过程中存在的问题，投标方应及时以书面形式提出改进意见。</w:t>
      </w:r>
    </w:p>
    <w:p>
      <w:pPr>
        <w:spacing w:line="360" w:lineRule="auto"/>
        <w:rPr>
          <w:rFonts w:hint="eastAsia" w:ascii="宋体" w:hAnsi="宋体" w:eastAsia="宋体" w:cs="宋体"/>
          <w:b w:val="0"/>
          <w:sz w:val="24"/>
          <w:szCs w:val="24"/>
        </w:rPr>
      </w:pPr>
      <w:bookmarkStart w:id="40" w:name="_Toc2430824"/>
      <w:r>
        <w:rPr>
          <w:rFonts w:hint="eastAsia" w:ascii="宋体" w:hAnsi="宋体" w:eastAsia="宋体" w:cs="宋体"/>
          <w:b w:val="0"/>
          <w:sz w:val="24"/>
          <w:szCs w:val="24"/>
        </w:rPr>
        <w:t>7、资料提交</w:t>
      </w:r>
      <w:bookmarkEnd w:id="40"/>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7.1、技术文件提供：投标方在设备整体终验收时将设备竣工资料移交招标方，移交技术文件包括：</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◆品详细竣工图纸（原理图、机械图、电气图、主要部件及安装尺寸图）</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◆产合格证</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◆设备操作说明书</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◆设备主要部件的操作、保养、维修说明书；</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◆所有外购件产品样本、合格证、说明书、测试报告</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◆建议易损件和备件采购清单</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7.2、所有要求移交的技术文件要求一式4份（另要求提供一套电子版），在设备验收前提供给招标方。</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7.3、投标方采购的外购件须随机附产品样本、说明书、合格证。对于设备所选用的外购件配件，投标方也应索取产品样本、产品说明书与设备一并提供给招标方。</w:t>
      </w:r>
    </w:p>
    <w:p>
      <w:pPr>
        <w:spacing w:line="360" w:lineRule="auto"/>
        <w:rPr>
          <w:rFonts w:hint="eastAsia" w:ascii="宋体" w:hAnsi="宋体" w:eastAsia="宋体" w:cs="宋体"/>
          <w:b w:val="0"/>
          <w:sz w:val="24"/>
          <w:szCs w:val="24"/>
        </w:rPr>
      </w:pPr>
      <w:bookmarkStart w:id="41" w:name="_Toc2430825"/>
      <w:r>
        <w:rPr>
          <w:rFonts w:hint="eastAsia" w:ascii="宋体" w:hAnsi="宋体" w:eastAsia="宋体" w:cs="宋体"/>
          <w:b w:val="0"/>
          <w:sz w:val="24"/>
          <w:szCs w:val="24"/>
        </w:rPr>
        <w:t>8、备件及工具</w:t>
      </w:r>
      <w:bookmarkEnd w:id="41"/>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投标方供货时必须随机提供的易损件，以保证</w:t>
      </w:r>
      <w:r>
        <w:rPr>
          <w:rFonts w:hint="eastAsia" w:ascii="宋体" w:hAnsi="宋体" w:eastAsia="宋体" w:cs="宋体"/>
          <w:b w:val="0"/>
          <w:sz w:val="24"/>
          <w:szCs w:val="24"/>
          <w:lang w:val="en-US" w:eastAsia="zh-CN"/>
        </w:rPr>
        <w:t>设备SOP</w:t>
      </w:r>
      <w:r>
        <w:rPr>
          <w:rFonts w:hint="eastAsia" w:ascii="宋体" w:hAnsi="宋体" w:eastAsia="宋体" w:cs="宋体"/>
          <w:b w:val="0"/>
          <w:sz w:val="24"/>
          <w:szCs w:val="24"/>
        </w:rPr>
        <w:t>前的正常运行，质保期过后，厂家应提供优质的售后服务。</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质保期前招标方现场所有损坏的元器件（易损件和耗材除外）投标方须无偿进行维修或更换，质保期之后投标方须以优惠价格向招标方终身提供设备的备件。</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9、设备验收内容</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59"/>
        <w:gridCol w:w="3770"/>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tblHeader/>
          <w:jc w:val="center"/>
        </w:trPr>
        <w:tc>
          <w:tcPr>
            <w:tcW w:w="63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序号</w:t>
            </w:r>
          </w:p>
        </w:tc>
        <w:tc>
          <w:tcPr>
            <w:tcW w:w="1059"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验收阶段</w:t>
            </w:r>
          </w:p>
        </w:tc>
        <w:tc>
          <w:tcPr>
            <w:tcW w:w="377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内容</w:t>
            </w:r>
          </w:p>
        </w:tc>
        <w:tc>
          <w:tcPr>
            <w:tcW w:w="4119"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验收标准及依据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630" w:type="dxa"/>
            <w:vMerge w:val="restart"/>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1</w:t>
            </w:r>
          </w:p>
        </w:tc>
        <w:tc>
          <w:tcPr>
            <w:tcW w:w="1059" w:type="dxa"/>
            <w:vMerge w:val="restart"/>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预验收</w:t>
            </w:r>
          </w:p>
        </w:tc>
        <w:tc>
          <w:tcPr>
            <w:tcW w:w="377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（1）各外购件的验收（2）各种自制件的验收（3）设计阶段确认需要在该阶段验收的内容</w:t>
            </w:r>
          </w:p>
        </w:tc>
        <w:tc>
          <w:tcPr>
            <w:tcW w:w="4119" w:type="dxa"/>
            <w:vMerge w:val="restart"/>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1、工程总承包合同</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2、技术协议</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3、经双方会签的设备图纸</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4、双方共同签字或由投标方提出经招标方认可的有关工程的洽商、变更等书面协议或文件、传真</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5、国家的相关法规。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30" w:type="dxa"/>
            <w:vMerge w:val="continue"/>
            <w:noWrap w:val="0"/>
            <w:vAlign w:val="center"/>
          </w:tcPr>
          <w:p>
            <w:pPr>
              <w:spacing w:line="360" w:lineRule="auto"/>
              <w:rPr>
                <w:rFonts w:hint="eastAsia" w:ascii="宋体" w:hAnsi="宋体" w:eastAsia="宋体" w:cs="宋体"/>
                <w:b w:val="0"/>
                <w:sz w:val="24"/>
                <w:szCs w:val="24"/>
              </w:rPr>
            </w:pPr>
          </w:p>
        </w:tc>
        <w:tc>
          <w:tcPr>
            <w:tcW w:w="1059" w:type="dxa"/>
            <w:vMerge w:val="continue"/>
            <w:noWrap w:val="0"/>
            <w:vAlign w:val="center"/>
          </w:tcPr>
          <w:p>
            <w:pPr>
              <w:spacing w:line="360" w:lineRule="auto"/>
              <w:rPr>
                <w:rFonts w:hint="eastAsia" w:ascii="宋体" w:hAnsi="宋体" w:eastAsia="宋体" w:cs="宋体"/>
                <w:b w:val="0"/>
                <w:sz w:val="24"/>
                <w:szCs w:val="24"/>
              </w:rPr>
            </w:pPr>
          </w:p>
        </w:tc>
        <w:tc>
          <w:tcPr>
            <w:tcW w:w="377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将出厂前验收的问题全部关闭</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外购件可实施到厂验收</w:t>
            </w:r>
          </w:p>
        </w:tc>
        <w:tc>
          <w:tcPr>
            <w:tcW w:w="4119" w:type="dxa"/>
            <w:vMerge w:val="continue"/>
            <w:noWrap w:val="0"/>
            <w:vAlign w:val="center"/>
          </w:tcPr>
          <w:p>
            <w:pPr>
              <w:spacing w:line="360" w:lineRule="auto"/>
              <w:rPr>
                <w:rFonts w:hint="eastAsia" w:ascii="宋体" w:hAnsi="宋体" w:eastAsia="宋体" w:cs="宋体"/>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3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2</w:t>
            </w:r>
          </w:p>
        </w:tc>
        <w:tc>
          <w:tcPr>
            <w:tcW w:w="1059"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单机调试验收</w:t>
            </w:r>
          </w:p>
        </w:tc>
        <w:tc>
          <w:tcPr>
            <w:tcW w:w="377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满足安装、调试及工艺设备参数要求，各单机运行24小时无故障</w:t>
            </w:r>
          </w:p>
        </w:tc>
        <w:tc>
          <w:tcPr>
            <w:tcW w:w="4119"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1、工程总承包合同</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2、技术协议</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3、经双方会签的设备图纸</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4、双方共同签字或由投标方提出经招标方认可的有关工程的洽商、变更等书面协议或文件、传真</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5、国家的相关法规。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63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3</w:t>
            </w:r>
          </w:p>
        </w:tc>
        <w:tc>
          <w:tcPr>
            <w:tcW w:w="1059"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联机调试验收</w:t>
            </w:r>
          </w:p>
        </w:tc>
        <w:tc>
          <w:tcPr>
            <w:tcW w:w="377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各输调漆设备正常运转可以配合</w:t>
            </w:r>
            <w:r>
              <w:rPr>
                <w:rFonts w:hint="eastAsia" w:ascii="宋体" w:hAnsi="宋体" w:eastAsia="宋体" w:cs="宋体"/>
                <w:b w:val="0"/>
                <w:sz w:val="24"/>
                <w:szCs w:val="24"/>
                <w:lang w:eastAsia="zh-CN"/>
              </w:rPr>
              <w:t>外饰件</w:t>
            </w:r>
            <w:r>
              <w:rPr>
                <w:rFonts w:hint="eastAsia" w:ascii="宋体" w:hAnsi="宋体" w:eastAsia="宋体" w:cs="宋体"/>
                <w:b w:val="0"/>
                <w:sz w:val="24"/>
                <w:szCs w:val="24"/>
              </w:rPr>
              <w:t>生产线生产出合格车身，产品质量状态稳定，满足质量目标要求。</w:t>
            </w:r>
          </w:p>
          <w:p>
            <w:pPr>
              <w:spacing w:line="360" w:lineRule="auto"/>
              <w:rPr>
                <w:rFonts w:hint="eastAsia" w:ascii="宋体" w:hAnsi="宋体" w:eastAsia="宋体" w:cs="宋体"/>
                <w:b w:val="0"/>
                <w:sz w:val="24"/>
                <w:szCs w:val="24"/>
              </w:rPr>
            </w:pPr>
          </w:p>
        </w:tc>
        <w:tc>
          <w:tcPr>
            <w:tcW w:w="4119"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1、工程总承包合同</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2、技术协议</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3、经双方会签的设备图纸</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4、双方共同签字或由投标方提出经招标方认可的有关工程的洽商、变更等书面协议或文件、传真</w:t>
            </w:r>
          </w:p>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5、国家的相关法规。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3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4</w:t>
            </w:r>
          </w:p>
        </w:tc>
        <w:tc>
          <w:tcPr>
            <w:tcW w:w="1059" w:type="dxa"/>
            <w:noWrap w:val="0"/>
            <w:vAlign w:val="center"/>
          </w:tcPr>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批量试生产验收</w:t>
            </w:r>
          </w:p>
        </w:tc>
        <w:tc>
          <w:tcPr>
            <w:tcW w:w="3770" w:type="dxa"/>
            <w:noWrap w:val="0"/>
            <w:vAlign w:val="center"/>
          </w:tcPr>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在</w:t>
            </w:r>
            <w:r>
              <w:rPr>
                <w:rFonts w:hint="eastAsia" w:ascii="宋体" w:hAnsi="宋体" w:eastAsia="宋体" w:cs="宋体"/>
                <w:b w:val="0"/>
                <w:sz w:val="24"/>
                <w:szCs w:val="24"/>
                <w:highlight w:val="yellow"/>
                <w:lang w:val="en-US" w:eastAsia="zh-CN"/>
              </w:rPr>
              <w:t>外饰件</w:t>
            </w:r>
            <w:r>
              <w:rPr>
                <w:rFonts w:hint="eastAsia" w:ascii="宋体" w:hAnsi="宋体" w:eastAsia="宋体" w:cs="宋体"/>
                <w:b w:val="0"/>
                <w:sz w:val="24"/>
                <w:szCs w:val="24"/>
                <w:highlight w:val="yellow"/>
              </w:rPr>
              <w:t>首</w:t>
            </w:r>
            <w:r>
              <w:rPr>
                <w:rFonts w:hint="eastAsia" w:ascii="宋体" w:hAnsi="宋体" w:eastAsia="宋体" w:cs="宋体"/>
                <w:b w:val="0"/>
                <w:sz w:val="24"/>
                <w:szCs w:val="24"/>
                <w:highlight w:val="yellow"/>
                <w:lang w:val="en-US" w:eastAsia="zh-CN"/>
              </w:rPr>
              <w:t>辆份</w:t>
            </w:r>
            <w:r>
              <w:rPr>
                <w:rFonts w:hint="eastAsia" w:ascii="宋体" w:hAnsi="宋体" w:eastAsia="宋体" w:cs="宋体"/>
                <w:b w:val="0"/>
                <w:sz w:val="24"/>
                <w:szCs w:val="24"/>
                <w:highlight w:val="yellow"/>
              </w:rPr>
              <w:t>合格</w:t>
            </w:r>
            <w:r>
              <w:rPr>
                <w:rFonts w:hint="eastAsia" w:ascii="宋体" w:hAnsi="宋体" w:eastAsia="宋体" w:cs="宋体"/>
                <w:b w:val="0"/>
                <w:sz w:val="24"/>
                <w:szCs w:val="24"/>
                <w:highlight w:val="yellow"/>
                <w:lang w:val="en-US" w:eastAsia="zh-CN"/>
              </w:rPr>
              <w:t>件</w:t>
            </w:r>
            <w:r>
              <w:rPr>
                <w:rFonts w:hint="eastAsia" w:ascii="宋体" w:hAnsi="宋体" w:eastAsia="宋体" w:cs="宋体"/>
                <w:b w:val="0"/>
                <w:sz w:val="24"/>
                <w:szCs w:val="24"/>
                <w:highlight w:val="yellow"/>
              </w:rPr>
              <w:t>下线4个月或累计生产</w:t>
            </w:r>
            <w:r>
              <w:rPr>
                <w:rFonts w:hint="eastAsia" w:ascii="宋体" w:hAnsi="宋体" w:eastAsia="宋体" w:cs="宋体"/>
                <w:b w:val="0"/>
                <w:sz w:val="24"/>
                <w:szCs w:val="24"/>
                <w:highlight w:val="yellow"/>
                <w:lang w:val="en-US" w:eastAsia="zh-CN"/>
              </w:rPr>
              <w:t>10</w:t>
            </w:r>
            <w:r>
              <w:rPr>
                <w:rFonts w:hint="eastAsia" w:ascii="宋体" w:hAnsi="宋体" w:eastAsia="宋体" w:cs="宋体"/>
                <w:b w:val="0"/>
                <w:sz w:val="24"/>
                <w:szCs w:val="24"/>
                <w:highlight w:val="yellow"/>
              </w:rPr>
              <w:t>000</w:t>
            </w:r>
            <w:r>
              <w:rPr>
                <w:rFonts w:hint="eastAsia" w:ascii="宋体" w:hAnsi="宋体" w:eastAsia="宋体" w:cs="宋体"/>
                <w:b w:val="0"/>
                <w:sz w:val="24"/>
                <w:szCs w:val="24"/>
                <w:highlight w:val="yellow"/>
                <w:lang w:val="en-US" w:eastAsia="zh-CN"/>
              </w:rPr>
              <w:t>辆份外饰件</w:t>
            </w:r>
            <w:r>
              <w:rPr>
                <w:rFonts w:hint="eastAsia" w:ascii="宋体" w:hAnsi="宋体" w:eastAsia="宋体" w:cs="宋体"/>
                <w:b w:val="0"/>
                <w:sz w:val="24"/>
                <w:szCs w:val="24"/>
                <w:highlight w:val="yellow"/>
              </w:rPr>
              <w:t>，先到为准。满足生产节拍、质量标准要求。如不满足要求，择期重新测试。</w:t>
            </w:r>
          </w:p>
        </w:tc>
        <w:tc>
          <w:tcPr>
            <w:tcW w:w="4119" w:type="dxa"/>
            <w:noWrap w:val="0"/>
            <w:vAlign w:val="center"/>
          </w:tcPr>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1、工程总承包合同</w:t>
            </w:r>
          </w:p>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2、技术协议</w:t>
            </w:r>
          </w:p>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3、经双方会签的设备图纸</w:t>
            </w:r>
          </w:p>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4、双方共同签字或由投标方提出经招标方认可的有关工程的洽商、变更等书面协议或文件、传真</w:t>
            </w:r>
          </w:p>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5、国家的相关法规。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630" w:type="dxa"/>
            <w:noWrap w:val="0"/>
            <w:vAlign w:val="center"/>
          </w:tcPr>
          <w:p>
            <w:pPr>
              <w:spacing w:line="360" w:lineRule="auto"/>
              <w:rPr>
                <w:rFonts w:hint="eastAsia" w:ascii="宋体" w:hAnsi="宋体" w:eastAsia="宋体" w:cs="宋体"/>
                <w:b w:val="0"/>
                <w:sz w:val="24"/>
                <w:szCs w:val="24"/>
              </w:rPr>
            </w:pPr>
            <w:r>
              <w:rPr>
                <w:rFonts w:hint="eastAsia" w:ascii="宋体" w:hAnsi="宋体" w:eastAsia="宋体" w:cs="宋体"/>
                <w:b w:val="0"/>
                <w:sz w:val="24"/>
                <w:szCs w:val="24"/>
              </w:rPr>
              <w:t>5</w:t>
            </w:r>
          </w:p>
        </w:tc>
        <w:tc>
          <w:tcPr>
            <w:tcW w:w="1059" w:type="dxa"/>
            <w:noWrap w:val="0"/>
            <w:vAlign w:val="center"/>
          </w:tcPr>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终验收</w:t>
            </w:r>
          </w:p>
        </w:tc>
        <w:tc>
          <w:tcPr>
            <w:tcW w:w="3770" w:type="dxa"/>
            <w:noWrap w:val="0"/>
            <w:vAlign w:val="top"/>
          </w:tcPr>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批量试生产验收</w:t>
            </w:r>
            <w:r>
              <w:rPr>
                <w:rFonts w:hint="eastAsia" w:ascii="宋体" w:hAnsi="宋体" w:eastAsia="宋体" w:cs="宋体"/>
                <w:b w:val="0"/>
                <w:sz w:val="24"/>
                <w:szCs w:val="24"/>
                <w:highlight w:val="yellow"/>
                <w:lang w:val="en-US" w:eastAsia="zh-CN"/>
              </w:rPr>
              <w:t>1</w:t>
            </w:r>
            <w:r>
              <w:rPr>
                <w:rFonts w:hint="eastAsia" w:ascii="宋体" w:hAnsi="宋体" w:eastAsia="宋体" w:cs="宋体"/>
                <w:b w:val="0"/>
                <w:sz w:val="24"/>
                <w:szCs w:val="24"/>
                <w:highlight w:val="yellow"/>
              </w:rPr>
              <w:t>个月后，组织终验收，终验收必须圆满解决了生产验证过程中的所有问题并且设备可靠运行，设备开动率≥95%。</w:t>
            </w:r>
            <w:r>
              <w:rPr>
                <w:rFonts w:hint="eastAsia" w:ascii="宋体" w:hAnsi="宋体" w:eastAsia="宋体" w:cs="宋体"/>
                <w:b w:val="0"/>
                <w:sz w:val="24"/>
                <w:szCs w:val="24"/>
                <w:highlight w:val="yellow"/>
                <w:lang w:val="zh-CN"/>
              </w:rPr>
              <w:t>陪产期内，投标方合理安排现场陪产人员。</w:t>
            </w:r>
          </w:p>
        </w:tc>
        <w:tc>
          <w:tcPr>
            <w:tcW w:w="4119" w:type="dxa"/>
            <w:noWrap w:val="0"/>
            <w:vAlign w:val="center"/>
          </w:tcPr>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1、工程总承包合同</w:t>
            </w:r>
          </w:p>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2、技术协议</w:t>
            </w:r>
          </w:p>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3、经双方会签的设备图纸</w:t>
            </w:r>
          </w:p>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4、双方共同签字或由投标方提出经招标方认可的有关工程的洽商、变更等书面协议或文件、传真</w:t>
            </w:r>
          </w:p>
          <w:p>
            <w:pPr>
              <w:spacing w:line="360" w:lineRule="auto"/>
              <w:rPr>
                <w:rFonts w:hint="eastAsia" w:ascii="宋体" w:hAnsi="宋体" w:eastAsia="宋体" w:cs="宋体"/>
                <w:b w:val="0"/>
                <w:sz w:val="24"/>
                <w:szCs w:val="24"/>
                <w:highlight w:val="yellow"/>
              </w:rPr>
            </w:pPr>
            <w:r>
              <w:rPr>
                <w:rFonts w:hint="eastAsia" w:ascii="宋体" w:hAnsi="宋体" w:eastAsia="宋体" w:cs="宋体"/>
                <w:b w:val="0"/>
                <w:sz w:val="24"/>
                <w:szCs w:val="24"/>
                <w:highlight w:val="yellow"/>
              </w:rPr>
              <w:t>5、国家的相关法规。</w:t>
            </w:r>
          </w:p>
        </w:tc>
      </w:tr>
    </w:tbl>
    <w:p>
      <w:pPr>
        <w:jc w:val="center"/>
        <w:rPr>
          <w:rFonts w:hint="eastAsia" w:ascii="宋体" w:hAnsi="宋体" w:eastAsia="宋体" w:cs="宋体"/>
          <w:b/>
          <w:bCs/>
          <w:kern w:val="44"/>
          <w:sz w:val="24"/>
          <w:szCs w:val="24"/>
        </w:rPr>
      </w:pPr>
    </w:p>
    <w:p>
      <w:pPr>
        <w:numPr>
          <w:ilvl w:val="0"/>
          <w:numId w:val="11"/>
        </w:numPr>
        <w:rPr>
          <w:rFonts w:hint="eastAsia" w:ascii="宋体" w:hAnsi="宋体" w:eastAsia="宋体" w:cs="宋体"/>
          <w:b w:val="0"/>
          <w:sz w:val="24"/>
          <w:szCs w:val="24"/>
        </w:rPr>
      </w:pPr>
      <w:r>
        <w:rPr>
          <w:rFonts w:hint="eastAsia" w:ascii="宋体" w:hAnsi="宋体" w:eastAsia="宋体" w:cs="宋体"/>
          <w:b w:val="0"/>
          <w:sz w:val="24"/>
          <w:szCs w:val="24"/>
        </w:rPr>
        <w:t>主要设备明细表</w:t>
      </w:r>
    </w:p>
    <w:tbl>
      <w:tblPr>
        <w:tblStyle w:val="36"/>
        <w:tblW w:w="4997"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2"/>
        <w:gridCol w:w="4218"/>
        <w:gridCol w:w="1506"/>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序号</w:t>
            </w:r>
          </w:p>
        </w:tc>
        <w:tc>
          <w:tcPr>
            <w:tcW w:w="2311"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设备明细</w:t>
            </w:r>
          </w:p>
        </w:tc>
        <w:tc>
          <w:tcPr>
            <w:tcW w:w="825"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数量</w:t>
            </w:r>
          </w:p>
        </w:tc>
        <w:tc>
          <w:tcPr>
            <w:tcW w:w="1429"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blCellSpacing w:w="0" w:type="dxa"/>
          <w:jc w:val="center"/>
        </w:trPr>
        <w:tc>
          <w:tcPr>
            <w:tcW w:w="434"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1</w:t>
            </w:r>
          </w:p>
        </w:tc>
        <w:tc>
          <w:tcPr>
            <w:tcW w:w="2311"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溶剂供给系统</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双线均连接至机器人、新增2KS、现有2KE</w:t>
            </w:r>
            <w:r>
              <w:rPr>
                <w:rFonts w:hint="eastAsia" w:ascii="宋体" w:hAnsi="宋体" w:eastAsia="宋体" w:cs="宋体"/>
                <w:b w:val="0"/>
                <w:bCs w:val="0"/>
                <w:color w:val="000000" w:themeColor="text1"/>
                <w:sz w:val="24"/>
                <w:szCs w:val="24"/>
                <w:lang w:eastAsia="zh-CN"/>
                <w14:textFill>
                  <w14:solidFill>
                    <w14:schemeClr w14:val="tx1"/>
                  </w14:solidFill>
                </w14:textFill>
              </w:rPr>
              <w:t>）</w:t>
            </w:r>
          </w:p>
        </w:tc>
        <w:tc>
          <w:tcPr>
            <w:tcW w:w="825"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w:t>
            </w:r>
          </w:p>
        </w:tc>
        <w:tc>
          <w:tcPr>
            <w:tcW w:w="1429"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2</w:t>
            </w:r>
          </w:p>
        </w:tc>
        <w:tc>
          <w:tcPr>
            <w:tcW w:w="2311"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废溶剂回收系统</w:t>
            </w:r>
          </w:p>
        </w:tc>
        <w:tc>
          <w:tcPr>
            <w:tcW w:w="825"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w:t>
            </w:r>
          </w:p>
        </w:tc>
        <w:tc>
          <w:tcPr>
            <w:tcW w:w="1429"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3</w:t>
            </w:r>
          </w:p>
        </w:tc>
        <w:tc>
          <w:tcPr>
            <w:tcW w:w="2311"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2ks</w:t>
            </w:r>
            <w:r>
              <w:rPr>
                <w:rFonts w:hint="eastAsia" w:ascii="宋体" w:hAnsi="宋体" w:eastAsia="宋体" w:cs="宋体"/>
                <w:b w:val="0"/>
                <w:bCs w:val="0"/>
                <w:color w:val="000000" w:themeColor="text1"/>
                <w:sz w:val="24"/>
                <w:szCs w:val="24"/>
                <w:lang w:val="en-US" w:eastAsia="zh-CN"/>
                <w14:textFill>
                  <w14:solidFill>
                    <w14:schemeClr w14:val="tx1"/>
                  </w14:solidFill>
                </w14:textFill>
              </w:rPr>
              <w:t>供漆系统</w:t>
            </w:r>
          </w:p>
        </w:tc>
        <w:tc>
          <w:tcPr>
            <w:tcW w:w="825"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highlight w:val="yellow"/>
                <w14:textFill>
                  <w14:solidFill>
                    <w14:schemeClr w14:val="tx1"/>
                  </w14:solidFill>
                </w14:textFill>
              </w:rPr>
              <w:t>2</w:t>
            </w:r>
          </w:p>
        </w:tc>
        <w:tc>
          <w:tcPr>
            <w:tcW w:w="1429"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ascii="宋体" w:hAnsi="宋体" w:cs="宋体"/>
                <w:b w:val="0"/>
                <w:bCs w:val="0"/>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14:textFill>
                  <w14:solidFill>
                    <w14:schemeClr w14:val="tx1"/>
                  </w14:solidFill>
                </w14:textFill>
              </w:rPr>
              <w:t>4</w:t>
            </w:r>
          </w:p>
        </w:tc>
        <w:tc>
          <w:tcPr>
            <w:tcW w:w="2311"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yellow"/>
                <w14:textFill>
                  <w14:solidFill>
                    <w14:schemeClr w14:val="tx1"/>
                  </w14:solidFill>
                </w14:textFill>
              </w:rPr>
              <w:t>机器人废溶剂回收</w:t>
            </w:r>
            <w:r>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t>设备</w:t>
            </w:r>
          </w:p>
        </w:tc>
        <w:tc>
          <w:tcPr>
            <w:tcW w:w="825"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4</w:t>
            </w:r>
          </w:p>
        </w:tc>
        <w:tc>
          <w:tcPr>
            <w:tcW w:w="1429"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CellSpacing w:w="0" w:type="dxa"/>
          <w:jc w:val="center"/>
        </w:trPr>
        <w:tc>
          <w:tcPr>
            <w:tcW w:w="434"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5</w:t>
            </w:r>
          </w:p>
        </w:tc>
        <w:tc>
          <w:tcPr>
            <w:tcW w:w="2311"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hint="default" w:ascii="宋体" w:hAnsi="宋体" w:eastAsia="宋体" w:cs="宋体"/>
                <w:b w:val="0"/>
                <w:bCs w:val="0"/>
                <w:color w:val="000000" w:themeColor="text1"/>
                <w:sz w:val="24"/>
                <w:szCs w:val="24"/>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yellow"/>
                <w:lang w:val="en-US" w:eastAsia="zh-CN"/>
                <w14:textFill>
                  <w14:solidFill>
                    <w14:schemeClr w14:val="tx1"/>
                  </w14:solidFill>
                </w14:textFill>
              </w:rPr>
              <w:t>程序调整</w:t>
            </w:r>
          </w:p>
        </w:tc>
        <w:tc>
          <w:tcPr>
            <w:tcW w:w="825" w:type="pct"/>
            <w:tcBorders>
              <w:tl2br w:val="nil"/>
              <w:tr2bl w:val="nil"/>
            </w:tcBorders>
            <w:shd w:val="clear" w:color="auto" w:fill="auto"/>
            <w:tcMar>
              <w:top w:w="20" w:type="dxa"/>
              <w:left w:w="20" w:type="dxa"/>
              <w:bottom w:w="72" w:type="dxa"/>
              <w:right w:w="20" w:type="dxa"/>
            </w:tcMar>
            <w:vAlign w:val="center"/>
          </w:tcPr>
          <w:p>
            <w:pPr>
              <w:widowControl/>
              <w:jc w:val="center"/>
              <w:textAlignment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w:t>
            </w:r>
          </w:p>
        </w:tc>
        <w:tc>
          <w:tcPr>
            <w:tcW w:w="1429" w:type="pct"/>
            <w:tcBorders>
              <w:tl2br w:val="nil"/>
              <w:tr2bl w:val="nil"/>
            </w:tcBorders>
            <w:shd w:val="clear" w:color="auto" w:fill="auto"/>
            <w:tcMar>
              <w:top w:w="20" w:type="dxa"/>
              <w:left w:w="20" w:type="dxa"/>
              <w:bottom w:w="72" w:type="dxa"/>
              <w:right w:w="20" w:type="dxa"/>
            </w:tcMar>
            <w:vAlign w:val="center"/>
          </w:tcPr>
          <w:p>
            <w:pPr>
              <w:pStyle w:val="31"/>
              <w:widowControl/>
              <w:snapToGrid w:val="0"/>
              <w:jc w:val="center"/>
              <w:rPr>
                <w:rFonts w:hint="default"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套</w:t>
            </w:r>
          </w:p>
        </w:tc>
      </w:tr>
    </w:tbl>
    <w:p>
      <w:pPr>
        <w:numPr>
          <w:ilvl w:val="0"/>
          <w:numId w:val="0"/>
        </w:numPr>
        <w:rPr>
          <w:rFonts w:hint="eastAsia" w:ascii="宋体" w:hAnsi="宋体" w:eastAsia="宋体" w:cs="宋体"/>
          <w:b w:val="0"/>
          <w:sz w:val="24"/>
          <w:szCs w:val="24"/>
        </w:rPr>
      </w:pPr>
    </w:p>
    <w:p>
      <w:pPr>
        <w:rPr>
          <w:rFonts w:hint="eastAsia" w:ascii="宋体" w:hAnsi="宋体" w:eastAsia="宋体" w:cs="宋体"/>
          <w:b w:val="0"/>
          <w:sz w:val="24"/>
          <w:szCs w:val="24"/>
        </w:rPr>
      </w:pPr>
      <w:r>
        <w:rPr>
          <w:rFonts w:hint="eastAsia" w:ascii="宋体" w:hAnsi="宋体" w:eastAsia="宋体" w:cs="宋体"/>
          <w:b w:val="0"/>
          <w:sz w:val="24"/>
          <w:szCs w:val="24"/>
        </w:rPr>
        <w:t>11、分工界面</w:t>
      </w:r>
    </w:p>
    <w:tbl>
      <w:tblPr>
        <w:tblStyle w:val="36"/>
        <w:tblW w:w="8642" w:type="dxa"/>
        <w:tblInd w:w="113" w:type="dxa"/>
        <w:tblLayout w:type="autofit"/>
        <w:tblCellMar>
          <w:top w:w="0" w:type="dxa"/>
          <w:left w:w="108" w:type="dxa"/>
          <w:bottom w:w="0" w:type="dxa"/>
          <w:right w:w="108" w:type="dxa"/>
        </w:tblCellMar>
      </w:tblPr>
      <w:tblGrid>
        <w:gridCol w:w="1080"/>
        <w:gridCol w:w="2034"/>
        <w:gridCol w:w="4536"/>
        <w:gridCol w:w="992"/>
      </w:tblGrid>
      <w:tr>
        <w:tblPrEx>
          <w:tblCellMar>
            <w:top w:w="0" w:type="dxa"/>
            <w:left w:w="108" w:type="dxa"/>
            <w:bottom w:w="0" w:type="dxa"/>
            <w:right w:w="108" w:type="dxa"/>
          </w:tblCellMar>
        </w:tblPrEx>
        <w:trPr>
          <w:trHeight w:val="408"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序号</w:t>
            </w:r>
          </w:p>
        </w:tc>
        <w:tc>
          <w:tcPr>
            <w:tcW w:w="2034"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内容</w:t>
            </w:r>
          </w:p>
        </w:tc>
        <w:tc>
          <w:tcPr>
            <w:tcW w:w="453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分工描述</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备注</w:t>
            </w:r>
          </w:p>
        </w:tc>
      </w:tr>
      <w:tr>
        <w:tblPrEx>
          <w:tblCellMar>
            <w:top w:w="0" w:type="dxa"/>
            <w:left w:w="108" w:type="dxa"/>
            <w:bottom w:w="0" w:type="dxa"/>
            <w:right w:w="108" w:type="dxa"/>
          </w:tblCellMar>
        </w:tblPrEx>
        <w:trPr>
          <w:trHeight w:val="2115"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1</w:t>
            </w:r>
          </w:p>
        </w:tc>
        <w:tc>
          <w:tcPr>
            <w:tcW w:w="2034"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压缩空气</w:t>
            </w:r>
          </w:p>
        </w:tc>
        <w:tc>
          <w:tcPr>
            <w:tcW w:w="4536"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lang w:eastAsia="zh-CN"/>
              </w:rPr>
            </w:pPr>
            <w:r>
              <w:rPr>
                <w:rFonts w:hint="eastAsia" w:ascii="宋体" w:hAnsi="宋体" w:eastAsia="宋体" w:cs="宋体"/>
                <w:b w:val="0"/>
                <w:kern w:val="0"/>
                <w:sz w:val="24"/>
                <w:szCs w:val="24"/>
              </w:rPr>
              <w:t>1.压缩空气管路材质明确：镀锌管。</w:t>
            </w:r>
          </w:p>
          <w:p>
            <w:pPr>
              <w:widowControl/>
              <w:jc w:val="left"/>
              <w:rPr>
                <w:rFonts w:hint="eastAsia" w:ascii="宋体" w:hAnsi="宋体" w:eastAsia="宋体" w:cs="宋体"/>
                <w:b w:val="0"/>
                <w:kern w:val="0"/>
                <w:sz w:val="24"/>
                <w:szCs w:val="24"/>
                <w:lang w:eastAsia="zh-CN"/>
              </w:rPr>
            </w:pPr>
            <w:r>
              <w:rPr>
                <w:rFonts w:hint="eastAsia" w:ascii="宋体" w:hAnsi="宋体" w:eastAsia="宋体" w:cs="宋体"/>
                <w:b w:val="0"/>
                <w:kern w:val="0"/>
                <w:sz w:val="24"/>
                <w:szCs w:val="24"/>
              </w:rPr>
              <w:t>2.压缩空气：招标方在调漆间内提供球阀接口。</w:t>
            </w:r>
          </w:p>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3.喷漆压缩空气：招标方提供到二层洁净室内手动喷漆站附近，每个手动出口提供到球阀截止。</w:t>
            </w:r>
          </w:p>
        </w:tc>
        <w:tc>
          <w:tcPr>
            <w:tcW w:w="99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　</w:t>
            </w:r>
          </w:p>
        </w:tc>
      </w:tr>
      <w:tr>
        <w:tblPrEx>
          <w:tblCellMar>
            <w:top w:w="0" w:type="dxa"/>
            <w:left w:w="108" w:type="dxa"/>
            <w:bottom w:w="0" w:type="dxa"/>
            <w:right w:w="108" w:type="dxa"/>
          </w:tblCellMar>
        </w:tblPrEx>
        <w:trPr>
          <w:trHeight w:val="1152"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2</w:t>
            </w:r>
          </w:p>
        </w:tc>
        <w:tc>
          <w:tcPr>
            <w:tcW w:w="2034"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油漆粘度</w:t>
            </w:r>
          </w:p>
        </w:tc>
        <w:tc>
          <w:tcPr>
            <w:tcW w:w="4536"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lang w:eastAsia="zh-CN"/>
              </w:rPr>
            </w:pPr>
            <w:r>
              <w:rPr>
                <w:rFonts w:hint="eastAsia" w:ascii="宋体" w:hAnsi="宋体" w:eastAsia="宋体" w:cs="宋体"/>
                <w:b w:val="0"/>
                <w:kern w:val="0"/>
                <w:sz w:val="24"/>
                <w:szCs w:val="24"/>
              </w:rPr>
              <w:t>由材料商提供以下参数。</w:t>
            </w:r>
          </w:p>
          <w:p>
            <w:pPr>
              <w:widowControl/>
              <w:jc w:val="left"/>
              <w:rPr>
                <w:rFonts w:hint="eastAsia" w:ascii="宋体" w:hAnsi="宋体" w:eastAsia="宋体" w:cs="宋体"/>
                <w:b w:val="0"/>
                <w:kern w:val="0"/>
                <w:sz w:val="24"/>
                <w:szCs w:val="24"/>
                <w:lang w:eastAsia="zh-CN"/>
              </w:rPr>
            </w:pPr>
            <w:r>
              <w:rPr>
                <w:rFonts w:hint="eastAsia" w:ascii="宋体" w:hAnsi="宋体" w:eastAsia="宋体" w:cs="宋体"/>
                <w:b w:val="0"/>
                <w:kern w:val="0"/>
                <w:sz w:val="24"/>
                <w:szCs w:val="24"/>
              </w:rPr>
              <w:t>油性漆：提供粘度杯型号及秒数。</w:t>
            </w:r>
          </w:p>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水性漆：提供剪切率在0-1000秒分之一之间的粘剪曲线图。以上均为参考值</w:t>
            </w:r>
          </w:p>
        </w:tc>
        <w:tc>
          <w:tcPr>
            <w:tcW w:w="99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　</w:t>
            </w:r>
          </w:p>
        </w:tc>
      </w:tr>
      <w:tr>
        <w:tblPrEx>
          <w:tblCellMar>
            <w:top w:w="0" w:type="dxa"/>
            <w:left w:w="108" w:type="dxa"/>
            <w:bottom w:w="0" w:type="dxa"/>
            <w:right w:w="108" w:type="dxa"/>
          </w:tblCellMar>
        </w:tblPrEx>
        <w:trPr>
          <w:trHeight w:val="768"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3</w:t>
            </w:r>
          </w:p>
        </w:tc>
        <w:tc>
          <w:tcPr>
            <w:tcW w:w="2034"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系统清</w:t>
            </w:r>
            <w:r>
              <w:rPr>
                <w:rFonts w:hint="eastAsia" w:ascii="宋体" w:hAnsi="宋体" w:eastAsia="宋体" w:cs="宋体"/>
                <w:b w:val="0"/>
                <w:kern w:val="0"/>
                <w:sz w:val="24"/>
                <w:szCs w:val="24"/>
                <w:lang w:val="en-US" w:eastAsia="zh-CN"/>
              </w:rPr>
              <w:t>洗</w:t>
            </w:r>
            <w:r>
              <w:rPr>
                <w:rFonts w:hint="eastAsia" w:ascii="宋体" w:hAnsi="宋体" w:eastAsia="宋体" w:cs="宋体"/>
                <w:b w:val="0"/>
                <w:kern w:val="0"/>
                <w:sz w:val="24"/>
                <w:szCs w:val="24"/>
              </w:rPr>
              <w:t>材料</w:t>
            </w:r>
          </w:p>
        </w:tc>
        <w:tc>
          <w:tcPr>
            <w:tcW w:w="4536"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由招标方提供系统清洗所需材料及清洗方案，投标方负责操作设备，进行设备清洗。</w:t>
            </w:r>
          </w:p>
        </w:tc>
        <w:tc>
          <w:tcPr>
            <w:tcW w:w="99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　</w:t>
            </w:r>
          </w:p>
        </w:tc>
      </w:tr>
      <w:tr>
        <w:tblPrEx>
          <w:tblCellMar>
            <w:top w:w="0" w:type="dxa"/>
            <w:left w:w="108" w:type="dxa"/>
            <w:bottom w:w="0" w:type="dxa"/>
            <w:right w:w="108" w:type="dxa"/>
          </w:tblCellMar>
        </w:tblPrEx>
        <w:trPr>
          <w:trHeight w:val="768"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4</w:t>
            </w:r>
          </w:p>
        </w:tc>
        <w:tc>
          <w:tcPr>
            <w:tcW w:w="2034"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与</w:t>
            </w:r>
            <w:r>
              <w:rPr>
                <w:rFonts w:hint="eastAsia" w:ascii="宋体" w:hAnsi="宋体" w:eastAsia="宋体" w:cs="宋体"/>
                <w:b w:val="0"/>
                <w:kern w:val="0"/>
                <w:sz w:val="24"/>
                <w:szCs w:val="24"/>
              </w:rPr>
              <w:t>机器人</w:t>
            </w:r>
            <w:r>
              <w:rPr>
                <w:rFonts w:hint="eastAsia" w:ascii="宋体" w:hAnsi="宋体" w:eastAsia="宋体" w:cs="宋体"/>
                <w:b w:val="0"/>
                <w:kern w:val="0"/>
                <w:sz w:val="24"/>
                <w:szCs w:val="24"/>
                <w:lang w:eastAsia="zh-CN"/>
              </w:rPr>
              <w:t>、</w:t>
            </w:r>
            <w:r>
              <w:rPr>
                <w:rFonts w:hint="eastAsia" w:ascii="宋体" w:hAnsi="宋体" w:eastAsia="宋体" w:cs="宋体"/>
                <w:b w:val="0"/>
                <w:kern w:val="0"/>
                <w:sz w:val="24"/>
                <w:szCs w:val="24"/>
                <w:lang w:val="en-US" w:eastAsia="zh-CN"/>
              </w:rPr>
              <w:t>现有输调漆设备</w:t>
            </w:r>
            <w:r>
              <w:rPr>
                <w:rFonts w:hint="eastAsia" w:ascii="宋体" w:hAnsi="宋体" w:eastAsia="宋体" w:cs="宋体"/>
                <w:b w:val="0"/>
                <w:kern w:val="0"/>
                <w:sz w:val="24"/>
                <w:szCs w:val="24"/>
              </w:rPr>
              <w:t>连锁</w:t>
            </w:r>
            <w:r>
              <w:rPr>
                <w:rFonts w:hint="eastAsia" w:ascii="宋体" w:hAnsi="宋体" w:eastAsia="宋体" w:cs="宋体"/>
                <w:b w:val="0"/>
                <w:kern w:val="0"/>
                <w:sz w:val="24"/>
                <w:szCs w:val="24"/>
                <w:lang w:val="en-US" w:eastAsia="zh-CN"/>
              </w:rPr>
              <w:t>适配</w:t>
            </w:r>
          </w:p>
        </w:tc>
        <w:tc>
          <w:tcPr>
            <w:tcW w:w="4536" w:type="dxa"/>
            <w:tcBorders>
              <w:top w:val="nil"/>
              <w:left w:val="nil"/>
              <w:bottom w:val="single" w:color="auto" w:sz="4" w:space="0"/>
              <w:right w:val="single" w:color="auto" w:sz="4" w:space="0"/>
            </w:tcBorders>
            <w:noWrap w:val="0"/>
            <w:vAlign w:val="center"/>
          </w:tcPr>
          <w:p>
            <w:pPr>
              <w:widowControl/>
              <w:jc w:val="left"/>
              <w:rPr>
                <w:rFonts w:hint="default" w:ascii="宋体" w:hAnsi="宋体" w:eastAsia="宋体" w:cs="宋体"/>
                <w:b w:val="0"/>
                <w:kern w:val="0"/>
                <w:sz w:val="24"/>
                <w:szCs w:val="24"/>
                <w:lang w:val="en-US" w:eastAsia="zh-CN"/>
              </w:rPr>
            </w:pPr>
            <w:r>
              <w:rPr>
                <w:rFonts w:hint="eastAsia" w:ascii="宋体" w:hAnsi="宋体" w:eastAsia="宋体" w:cs="宋体"/>
                <w:b w:val="0"/>
                <w:kern w:val="0"/>
                <w:sz w:val="24"/>
                <w:szCs w:val="24"/>
              </w:rPr>
              <w:t>投标方</w:t>
            </w:r>
            <w:r>
              <w:rPr>
                <w:rFonts w:hint="eastAsia" w:ascii="宋体" w:hAnsi="宋体" w:eastAsia="宋体" w:cs="宋体"/>
                <w:b w:val="0"/>
                <w:kern w:val="0"/>
                <w:sz w:val="24"/>
                <w:szCs w:val="24"/>
                <w:lang w:val="en-US" w:eastAsia="zh-CN"/>
              </w:rPr>
              <w:t>确认机器人、现有输调漆设备改造方式，完成信号</w:t>
            </w:r>
            <w:r>
              <w:rPr>
                <w:rFonts w:hint="eastAsia" w:ascii="宋体" w:hAnsi="宋体" w:eastAsia="宋体" w:cs="宋体"/>
                <w:b w:val="0"/>
                <w:kern w:val="0"/>
                <w:sz w:val="24"/>
                <w:szCs w:val="24"/>
              </w:rPr>
              <w:t>接入</w:t>
            </w:r>
            <w:r>
              <w:rPr>
                <w:rFonts w:hint="eastAsia" w:ascii="宋体" w:hAnsi="宋体" w:eastAsia="宋体" w:cs="宋体"/>
                <w:b w:val="0"/>
                <w:kern w:val="0"/>
                <w:sz w:val="24"/>
                <w:szCs w:val="24"/>
                <w:lang w:eastAsia="zh-CN"/>
              </w:rPr>
              <w:t>，</w:t>
            </w:r>
            <w:r>
              <w:rPr>
                <w:rFonts w:hint="eastAsia" w:ascii="宋体" w:hAnsi="宋体" w:eastAsia="宋体" w:cs="宋体"/>
                <w:b w:val="0"/>
                <w:kern w:val="0"/>
                <w:sz w:val="24"/>
                <w:szCs w:val="24"/>
                <w:lang w:val="en-US" w:eastAsia="zh-CN"/>
              </w:rPr>
              <w:t>并提供机器人、现有输调漆设备厂家授权的技术支持澄清函。</w:t>
            </w:r>
          </w:p>
        </w:tc>
        <w:tc>
          <w:tcPr>
            <w:tcW w:w="99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　</w:t>
            </w:r>
          </w:p>
        </w:tc>
      </w:tr>
      <w:tr>
        <w:tblPrEx>
          <w:tblCellMar>
            <w:top w:w="0" w:type="dxa"/>
            <w:left w:w="108" w:type="dxa"/>
            <w:bottom w:w="0" w:type="dxa"/>
            <w:right w:w="108" w:type="dxa"/>
          </w:tblCellMar>
        </w:tblPrEx>
        <w:trPr>
          <w:trHeight w:val="1176"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5</w:t>
            </w:r>
          </w:p>
        </w:tc>
        <w:tc>
          <w:tcPr>
            <w:tcW w:w="2034"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设备接地</w:t>
            </w:r>
          </w:p>
        </w:tc>
        <w:tc>
          <w:tcPr>
            <w:tcW w:w="4536"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lang w:eastAsia="zh-CN"/>
              </w:rPr>
            </w:pPr>
            <w:r>
              <w:rPr>
                <w:rFonts w:hint="eastAsia" w:ascii="宋体" w:hAnsi="宋体" w:eastAsia="宋体" w:cs="宋体"/>
                <w:b w:val="0"/>
                <w:kern w:val="0"/>
                <w:sz w:val="24"/>
                <w:szCs w:val="24"/>
              </w:rPr>
              <w:t>1.在调漆间内，</w:t>
            </w:r>
            <w:r>
              <w:rPr>
                <w:rFonts w:hint="eastAsia" w:ascii="宋体" w:hAnsi="宋体" w:eastAsia="宋体" w:cs="宋体"/>
                <w:b w:val="0"/>
                <w:kern w:val="0"/>
                <w:sz w:val="24"/>
                <w:szCs w:val="24"/>
                <w:lang w:val="en-US" w:eastAsia="zh-CN"/>
              </w:rPr>
              <w:t>投</w:t>
            </w:r>
            <w:r>
              <w:rPr>
                <w:rFonts w:hint="eastAsia" w:ascii="宋体" w:hAnsi="宋体" w:eastAsia="宋体" w:cs="宋体"/>
                <w:b w:val="0"/>
                <w:kern w:val="0"/>
                <w:sz w:val="24"/>
                <w:szCs w:val="24"/>
              </w:rPr>
              <w:t>标方提供四周的接地铜牌，距地高度为200~300mm。</w:t>
            </w:r>
          </w:p>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2.其它接地：在喷房的设备，直接接到室体。</w:t>
            </w:r>
          </w:p>
        </w:tc>
        <w:tc>
          <w:tcPr>
            <w:tcW w:w="99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　</w:t>
            </w:r>
          </w:p>
        </w:tc>
      </w:tr>
      <w:tr>
        <w:tblPrEx>
          <w:tblCellMar>
            <w:top w:w="0" w:type="dxa"/>
            <w:left w:w="108" w:type="dxa"/>
            <w:bottom w:w="0" w:type="dxa"/>
            <w:right w:w="108" w:type="dxa"/>
          </w:tblCellMar>
        </w:tblPrEx>
        <w:trPr>
          <w:trHeight w:val="768"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6</w:t>
            </w:r>
          </w:p>
        </w:tc>
        <w:tc>
          <w:tcPr>
            <w:tcW w:w="2034"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动力电源</w:t>
            </w:r>
          </w:p>
        </w:tc>
        <w:tc>
          <w:tcPr>
            <w:tcW w:w="4536" w:type="dxa"/>
            <w:tcBorders>
              <w:top w:val="nil"/>
              <w:left w:val="nil"/>
              <w:bottom w:val="single" w:color="auto" w:sz="4" w:space="0"/>
              <w:right w:val="single" w:color="auto" w:sz="4" w:space="0"/>
            </w:tcBorders>
            <w:noWrap w:val="0"/>
            <w:vAlign w:val="center"/>
          </w:tcPr>
          <w:p>
            <w:pPr>
              <w:widowControl/>
              <w:jc w:val="left"/>
              <w:rPr>
                <w:rFonts w:hint="default"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由投标方从现有输调漆间电柜引出电源</w:t>
            </w:r>
            <w:r>
              <w:rPr>
                <w:rFonts w:hint="eastAsia" w:ascii="宋体" w:hAnsi="宋体" w:eastAsia="宋体" w:cs="宋体"/>
                <w:b w:val="0"/>
                <w:kern w:val="0"/>
                <w:sz w:val="24"/>
                <w:szCs w:val="24"/>
              </w:rPr>
              <w:t>接口</w:t>
            </w:r>
            <w:r>
              <w:rPr>
                <w:rFonts w:hint="eastAsia" w:ascii="宋体" w:hAnsi="宋体" w:eastAsia="宋体" w:cs="宋体"/>
                <w:b w:val="0"/>
                <w:kern w:val="0"/>
                <w:sz w:val="24"/>
                <w:szCs w:val="24"/>
                <w:lang w:val="en-US" w:eastAsia="zh-CN"/>
              </w:rPr>
              <w:t>至投标方新增电柜。</w:t>
            </w:r>
          </w:p>
        </w:tc>
        <w:tc>
          <w:tcPr>
            <w:tcW w:w="99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　</w:t>
            </w:r>
          </w:p>
        </w:tc>
      </w:tr>
      <w:tr>
        <w:tblPrEx>
          <w:tblCellMar>
            <w:top w:w="0" w:type="dxa"/>
            <w:left w:w="108" w:type="dxa"/>
            <w:bottom w:w="0" w:type="dxa"/>
            <w:right w:w="108" w:type="dxa"/>
          </w:tblCellMar>
        </w:tblPrEx>
        <w:trPr>
          <w:trHeight w:val="768"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kern w:val="0"/>
                <w:sz w:val="24"/>
                <w:szCs w:val="24"/>
                <w:lang w:val="en-US" w:eastAsia="zh-CN"/>
              </w:rPr>
            </w:pPr>
            <w:r>
              <w:rPr>
                <w:rFonts w:hint="eastAsia" w:ascii="宋体" w:hAnsi="宋体" w:eastAsia="宋体" w:cs="宋体"/>
                <w:b w:val="0"/>
                <w:kern w:val="0"/>
                <w:sz w:val="24"/>
                <w:szCs w:val="24"/>
                <w:lang w:val="en-US" w:eastAsia="zh-CN"/>
              </w:rPr>
              <w:t>7</w:t>
            </w:r>
          </w:p>
        </w:tc>
        <w:tc>
          <w:tcPr>
            <w:tcW w:w="2034"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中控信息上传</w:t>
            </w:r>
          </w:p>
        </w:tc>
        <w:tc>
          <w:tcPr>
            <w:tcW w:w="4536"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lang w:eastAsia="zh-CN"/>
              </w:rPr>
            </w:pPr>
            <w:r>
              <w:rPr>
                <w:rFonts w:hint="eastAsia" w:ascii="宋体" w:hAnsi="宋体" w:eastAsia="宋体" w:cs="宋体"/>
                <w:b w:val="0"/>
                <w:kern w:val="0"/>
                <w:sz w:val="24"/>
                <w:szCs w:val="24"/>
              </w:rPr>
              <w:t>中控信号接口位置在控制柜内，由</w:t>
            </w:r>
            <w:r>
              <w:rPr>
                <w:rFonts w:hint="eastAsia" w:ascii="宋体" w:hAnsi="宋体" w:eastAsia="宋体" w:cs="宋体"/>
                <w:b w:val="0"/>
                <w:kern w:val="0"/>
                <w:sz w:val="24"/>
                <w:szCs w:val="24"/>
                <w:lang w:val="en-US" w:eastAsia="zh-CN"/>
              </w:rPr>
              <w:t>投</w:t>
            </w:r>
            <w:r>
              <w:rPr>
                <w:rFonts w:hint="eastAsia" w:ascii="宋体" w:hAnsi="宋体" w:eastAsia="宋体" w:cs="宋体"/>
                <w:b w:val="0"/>
                <w:kern w:val="0"/>
                <w:sz w:val="24"/>
                <w:szCs w:val="24"/>
              </w:rPr>
              <w:t>标方接入</w:t>
            </w:r>
            <w:r>
              <w:rPr>
                <w:rFonts w:hint="eastAsia" w:ascii="宋体" w:hAnsi="宋体" w:eastAsia="宋体" w:cs="宋体"/>
                <w:b w:val="0"/>
                <w:kern w:val="0"/>
                <w:sz w:val="24"/>
                <w:szCs w:val="24"/>
                <w:lang w:eastAsia="zh-CN"/>
              </w:rPr>
              <w:t>，</w:t>
            </w:r>
            <w:r>
              <w:rPr>
                <w:rFonts w:hint="eastAsia" w:ascii="宋体" w:hAnsi="宋体" w:eastAsia="宋体" w:cs="宋体"/>
                <w:b w:val="0"/>
                <w:kern w:val="0"/>
                <w:sz w:val="24"/>
                <w:szCs w:val="24"/>
                <w:lang w:val="en-US" w:eastAsia="zh-CN"/>
              </w:rPr>
              <w:t>并提供设备厂家授权的技术支持澄清函；</w:t>
            </w:r>
          </w:p>
        </w:tc>
        <w:tc>
          <w:tcPr>
            <w:tcW w:w="992"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b w:val="0"/>
                <w:kern w:val="0"/>
                <w:sz w:val="24"/>
                <w:szCs w:val="24"/>
              </w:rPr>
            </w:pPr>
            <w:r>
              <w:rPr>
                <w:rFonts w:hint="eastAsia" w:ascii="宋体" w:hAnsi="宋体" w:eastAsia="宋体" w:cs="宋体"/>
                <w:b w:val="0"/>
                <w:kern w:val="0"/>
                <w:sz w:val="24"/>
                <w:szCs w:val="24"/>
              </w:rPr>
              <w:t>　</w:t>
            </w:r>
          </w:p>
        </w:tc>
      </w:tr>
    </w:tbl>
    <w:p>
      <w:pPr>
        <w:jc w:val="center"/>
        <w:rPr>
          <w:rFonts w:hint="eastAsia" w:ascii="宋体" w:hAnsi="宋体" w:eastAsia="宋体" w:cs="宋体"/>
          <w:b/>
          <w:bCs/>
          <w:kern w:val="44"/>
          <w:sz w:val="24"/>
          <w:szCs w:val="24"/>
        </w:rPr>
      </w:pPr>
    </w:p>
    <w:p>
      <w:pPr>
        <w:spacing w:line="360" w:lineRule="auto"/>
        <w:ind w:firstLine="120" w:firstLineChars="50"/>
        <w:jc w:val="left"/>
        <w:rPr>
          <w:rFonts w:hint="default"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三</w:t>
      </w:r>
      <w:r>
        <w:rPr>
          <w:rFonts w:hint="eastAsia" w:ascii="宋体" w:hAnsi="宋体" w:eastAsia="宋体" w:cs="宋体"/>
          <w:sz w:val="24"/>
          <w:szCs w:val="24"/>
        </w:rPr>
        <w:t>）、</w:t>
      </w:r>
      <w:r>
        <w:rPr>
          <w:rFonts w:hint="eastAsia" w:ascii="宋体" w:hAnsi="宋体" w:eastAsia="宋体" w:cs="宋体"/>
          <w:sz w:val="24"/>
          <w:szCs w:val="24"/>
          <w:lang w:val="en-US" w:eastAsia="zh-CN"/>
        </w:rPr>
        <w:t>详细描述</w:t>
      </w:r>
    </w:p>
    <w:p>
      <w:pPr>
        <w:numPr>
          <w:ilvl w:val="0"/>
          <w:numId w:val="0"/>
        </w:num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1.新增设备采用GRACO、HOSCO、SEW、EBRO、FESTO、GEA、E+H、</w:t>
      </w:r>
      <w:r>
        <w:rPr>
          <w:rFonts w:hint="eastAsia" w:ascii="宋体" w:hAnsi="宋体" w:eastAsia="宋体" w:cs="宋体"/>
          <w:color w:val="auto"/>
          <w:sz w:val="24"/>
          <w:szCs w:val="24"/>
          <w:lang w:val="en-GB" w:eastAsia="zh-CN"/>
        </w:rPr>
        <w:t>BLD、WIKA、</w:t>
      </w:r>
      <w:r>
        <w:rPr>
          <w:rFonts w:hint="eastAsia" w:ascii="宋体" w:hAnsi="宋体" w:eastAsia="宋体" w:cs="宋体"/>
          <w:color w:val="auto"/>
          <w:sz w:val="24"/>
          <w:szCs w:val="24"/>
          <w:lang w:val="en-US" w:eastAsia="zh-CN"/>
        </w:rPr>
        <w:t>西门子、ABB、施耐德、威图等知名品牌，原则上与现有设备品牌一致，减少备件及维修成本。</w:t>
      </w:r>
    </w:p>
    <w:p>
      <w:pPr>
        <w:numPr>
          <w:ilvl w:val="0"/>
          <w:numId w:val="0"/>
        </w:num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新增油性溶剂循环管道及罐体：整个罐材质标准不低于304L不锈钢（δ≥3mm）制成，罐体需电解抛光，具有良好的表面光洁度和耐腐蚀性，保证罐内壁不易挂漆，减罐体、罐盖密封结构必须具有良好的气密性，能有效防止罐内油漆溶剂（包括纯水）的挥发和外部灰尘/颗粒的进入。罐盖采用法兰连接形式，上安装有搅拌器、火焰阻隔器（溶剂型系统）、观察口和温度计等设备的开口。</w:t>
      </w:r>
    </w:p>
    <w:p>
      <w:pPr>
        <w:numPr>
          <w:ilvl w:val="0"/>
          <w:numId w:val="0"/>
        </w:num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罐上装有低剪切力搅拌器，由电机、减速机驱动，具备自动调节功能，它由防爆变频电机、减速机等组成。叶片采用低剪切叶片。搅拌器须能实现随液面的高低变化而自动改变搅拌器的转速，以保证漆液的搅拌效果和要求。搅拌器的设计应实现原料无飞溅，并能在液位最高的前提下充分搅拌，搅拌要避免形成漩涡、混入空气、产生气泡等。</w:t>
      </w:r>
    </w:p>
    <w:p>
      <w:pPr>
        <w:numPr>
          <w:ilvl w:val="0"/>
          <w:numId w:val="0"/>
        </w:num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4.罐体上均设有液位计，当超过或低于设定的液位，有声光报警，并可手动消除报警，液位计选型时一定要根据现场实际情况选型，严禁出现批量问题。</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5.系统采用电动泵作为动力源，电动泵根据系统的流量和循环量进行选型。</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循环电动泵采用智能循环系统，通过PLC实现所有油漆系统的整体控制，包括流量、压力、模式自动切换、控制信号和各路保护功能的配套完全。设备选型应充分考虑系统内枪站出口位置、管路管径及长度、材料黏度、喷涂压力、流量等各方面因素，同时要求设备符合安全防爆、低维护费用的设计要求；</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7.电动泵的流量、压力、报警信号和工作模式，休眠模式能通过PLC设置、并上传至控制系统；</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8.通过机器人或者中控信号与输调漆电动泵系统的相互联锁，电动泵配合程序设置需保证循环系统实现生产模式（压力模式）、在线休眠模式（流量模式），且保证休眠模式与生产模式自动切换时间不超过30秒。</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9.生产模式（恒压力输送模式）：该运行模式为保证管路内流速、枪站压力、枪站流量的正常生产状态，可进行工作模式和休眠模式的切换，；</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休眠模式(恒流量输送模式)：该运行模式为保证管路内流速，保证循环系统内油漆粘度与生产时状态一致，但枪站压力、枪站流量可以不符合生产状态要求，最终保证系统节能；间歇时间可在工控机上根据需求设定。</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11.非生产模式：该运行模式为电动泵自动间歇性运行，保证管路内油漆不沉淀、不堵塞，且在2个小时内可以恢复到待机模式或生产模式的运行状态。最终保证油漆循环次数最小，系统节能。</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12.模组出口均配备进口品牌涂料压力传感器，可以自动监测系统压力并将信号上传给控制系统。</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13.电动泵具有压力保护联锁，在系统超过预设压力的情况下，机械式泄压阀会自动打开，开始泄压，或电机自动停机来保护系统的使用安全。</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14.电动泵的主泵需进行相关的联锁，在需要时系统可以手动或自动停止循环泵工作，保证系统安全。</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15.电动泵下缸体需要采用全封闭密封结构，保证固化剂的正常输送。</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确保输出的油漆压力稳定在±0.5bar，如无法满足需要安稳压塔，在系统的回流管路上装有一个可以拆卸的，带压力表的背压阀，背压阀应是低剪切设计，由不锈钢材料制作，所使用的材料应不会对水性型涂料产生影响，并适合溶剂型涂料，且可以配合PLC实现远程自动控制。</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新增压力表均为防震阻尼压力表，所有压力表安装在方便度数的位置，并在表上标注正常压力范围。在供应管的涂料过滤器前后都装有压力表（刻度显示应符合国际标准），在背压阀上安装有压力表，所有压力表均安装检修阀门便于更换，压力表等计量仪器需附带检定证书。</w:t>
      </w:r>
    </w:p>
    <w:p>
      <w:pPr>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18.循环管路设计要根据用量、循环量和管路长度进行管径匹配设计，确保能实现恒压模式和恒流量模式的独立控制。管道连接采用卡套式结构或焊接，内壁要光滑，不允许有任何积漆的部位。</w:t>
      </w:r>
    </w:p>
    <w:p>
      <w:pPr>
        <w:spacing w:beforeLines="0"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所有安装的油漆管路清洗前需要进行24小时氮气耐压实验，实验压力要达到18bar以上，并全程进行跟踪记录，压力降要求不超过10%。管路泄露实验完成后用树脂和溶剂进行深度清洁并做缩孔实验，确保投入使用不会对漆膜产生影响。</w:t>
      </w:r>
    </w:p>
    <w:p>
      <w:pPr>
        <w:spacing w:beforeLines="0" w:afterLines="0"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20.系统设有过压和失压自动保护装置，当超过或低于设定的压力值时，有声光报警，可手动消除报警，要求供料压力、质量稳定。</w:t>
      </w:r>
    </w:p>
    <w:p>
      <w:pPr>
        <w:pStyle w:val="126"/>
        <w:tabs>
          <w:tab w:val="left" w:pos="0"/>
          <w:tab w:val="left" w:pos="567"/>
          <w:tab w:val="left" w:pos="709"/>
        </w:tabs>
        <w:snapToGrid w:val="0"/>
        <w:spacing w:line="360" w:lineRule="auto"/>
        <w:ind w:left="-2" w:firstLine="480" w:firstLineChars="200"/>
        <w:jc w:val="left"/>
        <w:rPr>
          <w:rFonts w:hint="eastAsia" w:ascii="宋体" w:hAnsi="宋体" w:eastAsia="宋体" w:cs="宋体"/>
          <w:color w:val="auto"/>
          <w:kern w:val="2"/>
          <w:sz w:val="24"/>
          <w:szCs w:val="24"/>
          <w:lang w:val="en-US" w:eastAsia="zh-CN" w:bidi="ar-SA"/>
        </w:rPr>
      </w:pPr>
      <w:bookmarkStart w:id="42" w:name="_Toc501871104"/>
      <w:r>
        <w:rPr>
          <w:rFonts w:hint="eastAsia" w:ascii="宋体" w:hAnsi="宋体" w:eastAsia="宋体" w:cs="宋体"/>
          <w:color w:val="auto"/>
          <w:kern w:val="2"/>
          <w:sz w:val="24"/>
          <w:szCs w:val="24"/>
          <w:lang w:val="en-US" w:eastAsia="zh-CN" w:bidi="ar-SA"/>
        </w:rPr>
        <w:t>21.总体要求</w:t>
      </w:r>
      <w:bookmarkEnd w:id="42"/>
    </w:p>
    <w:p>
      <w:pPr>
        <w:pStyle w:val="126"/>
        <w:tabs>
          <w:tab w:val="left" w:pos="0"/>
          <w:tab w:val="left" w:pos="567"/>
          <w:tab w:val="left" w:pos="709"/>
        </w:tabs>
        <w:snapToGrid w:val="0"/>
        <w:spacing w:line="360" w:lineRule="auto"/>
        <w:ind w:left="-2" w:firstLine="720" w:firstLineChars="300"/>
        <w:jc w:val="left"/>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控制系统构成由主控制柜、现场操作箱、执行机构及现场传感器等部分构成。出口压力异常、循环罐液位异常低时，电动循环泵自动停止。</w:t>
      </w:r>
    </w:p>
    <w:p>
      <w:pPr>
        <w:pStyle w:val="126"/>
        <w:tabs>
          <w:tab w:val="left" w:pos="0"/>
          <w:tab w:val="left" w:pos="567"/>
          <w:tab w:val="left" w:pos="709"/>
        </w:tabs>
        <w:spacing w:line="360" w:lineRule="auto"/>
        <w:ind w:firstLine="480" w:firstLineChars="200"/>
        <w:jc w:val="left"/>
        <w:rPr>
          <w:rFonts w:hint="eastAsia" w:ascii="宋体" w:hAnsi="宋体" w:eastAsia="宋体" w:cs="宋体"/>
          <w:color w:val="auto"/>
          <w:kern w:val="2"/>
          <w:sz w:val="24"/>
          <w:szCs w:val="24"/>
          <w:lang w:val="en-US" w:eastAsia="zh-CN" w:bidi="ar-SA"/>
        </w:rPr>
      </w:pPr>
      <w:bookmarkStart w:id="43" w:name="_Toc501871106"/>
      <w:r>
        <w:rPr>
          <w:rFonts w:hint="eastAsia" w:ascii="宋体" w:hAnsi="宋体" w:eastAsia="宋体" w:cs="宋体"/>
          <w:color w:val="auto"/>
          <w:kern w:val="2"/>
          <w:sz w:val="24"/>
          <w:szCs w:val="24"/>
          <w:lang w:val="en-US" w:eastAsia="zh-CN" w:bidi="ar-SA"/>
        </w:rPr>
        <w:t>21.1搅拌控制：</w:t>
      </w:r>
      <w:bookmarkEnd w:id="43"/>
    </w:p>
    <w:p>
      <w:pPr>
        <w:tabs>
          <w:tab w:val="left" w:pos="0"/>
          <w:tab w:val="left" w:pos="567"/>
        </w:tabs>
        <w:spacing w:line="360" w:lineRule="auto"/>
        <w:ind w:firstLine="480"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21.1.1搅拌器根据油漆罐的液位自动对搅拌速度进行调节，保证油漆的搅拌效果，转速与液位调整为连续调整。 </w:t>
      </w:r>
    </w:p>
    <w:p>
      <w:pPr>
        <w:tabs>
          <w:tab w:val="left" w:pos="0"/>
          <w:tab w:val="left" w:pos="567"/>
        </w:tabs>
        <w:spacing w:line="360" w:lineRule="auto"/>
        <w:ind w:firstLine="480"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21.1.2搅拌器现场操作面板设置手动搅拌模式可以强制启动/停止搅拌器，每个搅拌器的工作状态都可以从现场的操作箱（OPB）的指示灯上可以看到，同时该信息也将送到控制柜上显示，控制柜触摸屏显示。可显示每个罐的液位和搅拌器的频率和转速。</w:t>
      </w:r>
    </w:p>
    <w:p>
      <w:pPr>
        <w:pStyle w:val="126"/>
        <w:tabs>
          <w:tab w:val="left" w:pos="0"/>
          <w:tab w:val="left" w:pos="567"/>
          <w:tab w:val="left" w:pos="709"/>
        </w:tabs>
        <w:spacing w:line="360" w:lineRule="auto"/>
        <w:ind w:firstLine="480" w:firstLineChars="200"/>
        <w:jc w:val="left"/>
        <w:rPr>
          <w:rFonts w:hint="eastAsia" w:ascii="宋体" w:hAnsi="宋体" w:eastAsia="宋体" w:cs="宋体"/>
          <w:color w:val="auto"/>
          <w:kern w:val="2"/>
          <w:sz w:val="24"/>
          <w:szCs w:val="24"/>
          <w:lang w:val="en-US" w:eastAsia="zh-CN" w:bidi="ar-SA"/>
        </w:rPr>
      </w:pPr>
      <w:bookmarkStart w:id="44" w:name="_Toc501871107"/>
      <w:r>
        <w:rPr>
          <w:rFonts w:hint="eastAsia" w:ascii="宋体" w:hAnsi="宋体" w:eastAsia="宋体" w:cs="宋体"/>
          <w:color w:val="auto"/>
          <w:kern w:val="2"/>
          <w:sz w:val="24"/>
          <w:szCs w:val="24"/>
          <w:lang w:val="en-US" w:eastAsia="zh-CN" w:bidi="ar-SA"/>
        </w:rPr>
        <w:t>21.2液位控制：</w:t>
      </w:r>
      <w:bookmarkEnd w:id="44"/>
    </w:p>
    <w:p>
      <w:pPr>
        <w:pStyle w:val="133"/>
        <w:tabs>
          <w:tab w:val="left" w:pos="0"/>
          <w:tab w:val="left" w:pos="567"/>
        </w:tabs>
        <w:spacing w:line="360" w:lineRule="auto"/>
        <w:ind w:firstLine="42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供料管</w:t>
      </w:r>
      <w:r>
        <w:rPr>
          <w:rFonts w:hint="eastAsia" w:ascii="宋体" w:hAnsi="宋体" w:eastAsia="宋体" w:cs="宋体"/>
          <w:sz w:val="24"/>
          <w:szCs w:val="24"/>
        </w:rPr>
        <w:t>罐都配备一个静压式液位计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可监控高低液位。</w:t>
      </w:r>
    </w:p>
    <w:p>
      <w:pPr>
        <w:pStyle w:val="126"/>
        <w:tabs>
          <w:tab w:val="left" w:pos="0"/>
          <w:tab w:val="left" w:pos="567"/>
          <w:tab w:val="left" w:pos="709"/>
        </w:tabs>
        <w:spacing w:line="360" w:lineRule="auto"/>
        <w:ind w:firstLine="480" w:firstLineChars="200"/>
        <w:jc w:val="left"/>
        <w:rPr>
          <w:rFonts w:hint="eastAsia" w:ascii="宋体" w:hAnsi="宋体" w:eastAsia="宋体" w:cs="宋体"/>
          <w:b w:val="0"/>
          <w:sz w:val="24"/>
          <w:szCs w:val="24"/>
        </w:rPr>
      </w:pPr>
      <w:bookmarkStart w:id="45" w:name="_Toc501871108"/>
      <w:r>
        <w:rPr>
          <w:rFonts w:hint="eastAsia" w:ascii="宋体" w:hAnsi="宋体" w:eastAsia="宋体" w:cs="宋体"/>
          <w:b w:val="0"/>
          <w:sz w:val="24"/>
          <w:szCs w:val="24"/>
          <w:lang w:val="en-US" w:eastAsia="zh-CN"/>
        </w:rPr>
        <w:t>21</w:t>
      </w:r>
      <w:r>
        <w:rPr>
          <w:rFonts w:hint="eastAsia" w:ascii="宋体" w:hAnsi="宋体" w:eastAsia="宋体" w:cs="宋体"/>
          <w:b w:val="0"/>
          <w:sz w:val="24"/>
          <w:szCs w:val="24"/>
        </w:rPr>
        <w:t>.</w:t>
      </w:r>
      <w:r>
        <w:rPr>
          <w:rFonts w:hint="eastAsia" w:ascii="宋体" w:hAnsi="宋体" w:eastAsia="宋体" w:cs="宋体"/>
          <w:b w:val="0"/>
          <w:sz w:val="24"/>
          <w:szCs w:val="24"/>
          <w:lang w:val="en-US" w:eastAsia="zh-CN"/>
        </w:rPr>
        <w:t>3</w:t>
      </w:r>
      <w:r>
        <w:rPr>
          <w:rFonts w:hint="eastAsia" w:ascii="宋体" w:hAnsi="宋体" w:eastAsia="宋体" w:cs="宋体"/>
          <w:b w:val="0"/>
          <w:sz w:val="24"/>
          <w:szCs w:val="24"/>
        </w:rPr>
        <w:t>压力报警控制：</w:t>
      </w:r>
      <w:bookmarkEnd w:id="45"/>
    </w:p>
    <w:p>
      <w:pPr>
        <w:tabs>
          <w:tab w:val="left" w:pos="0"/>
          <w:tab w:val="left" w:pos="567"/>
        </w:tabs>
        <w:spacing w:line="360" w:lineRule="auto"/>
        <w:ind w:firstLine="480" w:firstLineChars="200"/>
        <w:jc w:val="left"/>
        <w:rPr>
          <w:rFonts w:hint="eastAsia" w:ascii="宋体" w:hAnsi="宋体" w:eastAsia="宋体" w:cs="宋体"/>
          <w:b w:val="0"/>
          <w:sz w:val="24"/>
          <w:szCs w:val="24"/>
        </w:rPr>
      </w:pPr>
      <w:r>
        <w:rPr>
          <w:rFonts w:hint="eastAsia" w:ascii="宋体" w:hAnsi="宋体" w:eastAsia="宋体" w:cs="宋体"/>
          <w:b w:val="0"/>
          <w:sz w:val="24"/>
          <w:szCs w:val="24"/>
        </w:rPr>
        <w:t>当系统发生故障引起压力异常增高或者管路发生泄漏引起压力长时间低于预先的设定值时，该信号将给到控制柜的PLC中，在HMI触摸屏上给出报警信息，提示操作员处理故障并上传至主控制盘（MCP）。操作人员可以在操作箱上确认，从而防止系统因超压发生爆裂或者因欠压导致</w:t>
      </w:r>
      <w:r>
        <w:rPr>
          <w:rFonts w:hint="eastAsia" w:ascii="宋体" w:hAnsi="宋体" w:eastAsia="宋体" w:cs="宋体"/>
          <w:b w:val="0"/>
          <w:sz w:val="24"/>
          <w:szCs w:val="24"/>
          <w:lang w:val="en-US" w:eastAsia="zh-CN"/>
        </w:rPr>
        <w:t>供料</w:t>
      </w:r>
      <w:r>
        <w:rPr>
          <w:rFonts w:hint="eastAsia" w:ascii="宋体" w:hAnsi="宋体" w:eastAsia="宋体" w:cs="宋体"/>
          <w:b w:val="0"/>
          <w:sz w:val="24"/>
          <w:szCs w:val="24"/>
        </w:rPr>
        <w:t>泵发生空打，使得系统更加安全。</w:t>
      </w:r>
    </w:p>
    <w:p>
      <w:pPr>
        <w:pStyle w:val="126"/>
        <w:tabs>
          <w:tab w:val="left" w:pos="0"/>
          <w:tab w:val="left" w:pos="567"/>
          <w:tab w:val="left" w:pos="709"/>
        </w:tabs>
        <w:spacing w:line="360" w:lineRule="auto"/>
        <w:ind w:firstLine="480" w:firstLineChars="200"/>
        <w:jc w:val="left"/>
        <w:rPr>
          <w:rFonts w:hint="eastAsia" w:ascii="宋体" w:hAnsi="宋体" w:eastAsia="宋体" w:cs="宋体"/>
          <w:b w:val="0"/>
          <w:sz w:val="24"/>
          <w:szCs w:val="24"/>
        </w:rPr>
      </w:pPr>
      <w:bookmarkStart w:id="46" w:name="_Toc501871110"/>
      <w:r>
        <w:rPr>
          <w:rFonts w:hint="eastAsia" w:ascii="宋体" w:hAnsi="宋体" w:eastAsia="宋体" w:cs="宋体"/>
          <w:b w:val="0"/>
          <w:sz w:val="24"/>
          <w:szCs w:val="24"/>
          <w:lang w:val="en-US" w:eastAsia="zh-CN"/>
        </w:rPr>
        <w:t>21</w:t>
      </w:r>
      <w:r>
        <w:rPr>
          <w:rFonts w:hint="eastAsia" w:ascii="宋体" w:hAnsi="宋体" w:eastAsia="宋体" w:cs="宋体"/>
          <w:b w:val="0"/>
          <w:sz w:val="24"/>
          <w:szCs w:val="24"/>
        </w:rPr>
        <w:t>.</w:t>
      </w:r>
      <w:r>
        <w:rPr>
          <w:rFonts w:hint="eastAsia" w:ascii="宋体" w:hAnsi="宋体" w:eastAsia="宋体" w:cs="宋体"/>
          <w:b w:val="0"/>
          <w:sz w:val="24"/>
          <w:szCs w:val="24"/>
          <w:lang w:val="en-US" w:eastAsia="zh-CN"/>
        </w:rPr>
        <w:t>4</w:t>
      </w:r>
      <w:r>
        <w:rPr>
          <w:rFonts w:hint="eastAsia" w:ascii="宋体" w:hAnsi="宋体" w:eastAsia="宋体" w:cs="宋体"/>
          <w:b w:val="0"/>
          <w:sz w:val="24"/>
          <w:szCs w:val="24"/>
        </w:rPr>
        <w:t>废溶剂回收系统控制</w:t>
      </w:r>
      <w:bookmarkEnd w:id="46"/>
    </w:p>
    <w:p>
      <w:pPr>
        <w:tabs>
          <w:tab w:val="left" w:pos="0"/>
          <w:tab w:val="left" w:pos="567"/>
        </w:tabs>
        <w:spacing w:line="360" w:lineRule="auto"/>
        <w:ind w:firstLine="480" w:firstLineChars="200"/>
        <w:jc w:val="left"/>
        <w:rPr>
          <w:rFonts w:hint="eastAsia" w:ascii="宋体" w:hAnsi="宋体" w:eastAsia="宋体" w:cs="宋体"/>
          <w:b w:val="0"/>
          <w:sz w:val="24"/>
          <w:szCs w:val="24"/>
        </w:rPr>
      </w:pPr>
      <w:r>
        <w:rPr>
          <w:rFonts w:hint="eastAsia" w:ascii="宋体" w:hAnsi="宋体" w:eastAsia="宋体" w:cs="宋体"/>
          <w:b w:val="0"/>
          <w:sz w:val="24"/>
          <w:szCs w:val="24"/>
        </w:rPr>
        <w:t>通过现场的操作箱（OPB），操作者可选择两种工作方式：手动和自动。</w:t>
      </w:r>
    </w:p>
    <w:p>
      <w:pPr>
        <w:tabs>
          <w:tab w:val="left" w:pos="0"/>
          <w:tab w:val="left" w:pos="567"/>
        </w:tabs>
        <w:spacing w:line="360" w:lineRule="auto"/>
        <w:ind w:firstLine="480" w:firstLineChars="200"/>
        <w:jc w:val="left"/>
        <w:rPr>
          <w:rFonts w:hint="eastAsia" w:ascii="宋体" w:hAnsi="宋体" w:eastAsia="宋体" w:cs="宋体"/>
          <w:b w:val="0"/>
          <w:sz w:val="24"/>
          <w:szCs w:val="24"/>
        </w:rPr>
      </w:pPr>
      <w:r>
        <w:rPr>
          <w:rFonts w:hint="eastAsia" w:ascii="宋体" w:hAnsi="宋体" w:eastAsia="宋体" w:cs="宋体"/>
          <w:b w:val="0"/>
          <w:sz w:val="24"/>
          <w:szCs w:val="24"/>
        </w:rPr>
        <w:t>自动方式时，废溶剂回收阀均处于开启状态，当液位处于高液位时，隔膜泵自动启动，把废溶剂输送到调漆间废溶剂的收集罐中。</w:t>
      </w:r>
    </w:p>
    <w:p>
      <w:pPr>
        <w:tabs>
          <w:tab w:val="left" w:pos="0"/>
          <w:tab w:val="left" w:pos="567"/>
        </w:tabs>
        <w:spacing w:line="360" w:lineRule="auto"/>
        <w:ind w:firstLine="480" w:firstLineChars="200"/>
        <w:jc w:val="left"/>
        <w:rPr>
          <w:rFonts w:hint="default" w:ascii="宋体" w:hAnsi="宋体" w:eastAsia="宋体" w:cs="宋体"/>
          <w:b w:val="0"/>
          <w:sz w:val="24"/>
          <w:szCs w:val="24"/>
          <w:lang w:val="en-US" w:eastAsia="zh-CN"/>
        </w:rPr>
      </w:pPr>
      <w:r>
        <w:rPr>
          <w:rFonts w:hint="eastAsia" w:ascii="宋体" w:hAnsi="宋体" w:eastAsia="宋体" w:cs="宋体"/>
          <w:b w:val="0"/>
          <w:sz w:val="24"/>
          <w:szCs w:val="24"/>
        </w:rPr>
        <w:t>手动方式时，操作者通过现场操作箱（OPB）手动开关强制控制回收阀和隔膜泵，把废溶剂输送到调漆间，不受液位的控制</w:t>
      </w:r>
      <w:r>
        <w:rPr>
          <w:rFonts w:hint="eastAsia" w:ascii="宋体" w:hAnsi="宋体" w:eastAsia="宋体" w:cs="宋体"/>
          <w:b w:val="0"/>
          <w:sz w:val="24"/>
          <w:szCs w:val="24"/>
          <w:lang w:eastAsia="zh-CN"/>
        </w:rPr>
        <w:t>。</w:t>
      </w:r>
    </w:p>
    <w:p>
      <w:pPr>
        <w:numPr>
          <w:ilvl w:val="0"/>
          <w:numId w:val="0"/>
        </w:numPr>
        <w:tabs>
          <w:tab w:val="left" w:pos="0"/>
          <w:tab w:val="left" w:pos="567"/>
        </w:tabs>
        <w:spacing w:line="360" w:lineRule="auto"/>
        <w:ind w:firstLine="480" w:firstLineChars="200"/>
        <w:jc w:val="left"/>
        <w:rPr>
          <w:rFonts w:hint="eastAsia" w:ascii="宋体" w:hAnsi="宋体" w:eastAsia="宋体" w:cs="宋体"/>
          <w:b w:val="0"/>
          <w:sz w:val="24"/>
          <w:szCs w:val="24"/>
          <w:highlight w:val="yellow"/>
          <w:lang w:val="en-US" w:eastAsia="zh-CN"/>
        </w:rPr>
      </w:pPr>
      <w:r>
        <w:rPr>
          <w:rFonts w:hint="eastAsia" w:ascii="宋体" w:hAnsi="宋体" w:eastAsia="宋体" w:cs="宋体"/>
          <w:b w:val="0"/>
          <w:sz w:val="24"/>
          <w:szCs w:val="24"/>
          <w:highlight w:val="yellow"/>
          <w:lang w:val="en-US" w:eastAsia="zh-CN"/>
        </w:rPr>
        <w:t>22.设备功能</w:t>
      </w:r>
    </w:p>
    <w:p>
      <w:pPr>
        <w:numPr>
          <w:ilvl w:val="0"/>
          <w:numId w:val="0"/>
        </w:numPr>
        <w:tabs>
          <w:tab w:val="left" w:pos="0"/>
          <w:tab w:val="left" w:pos="567"/>
        </w:tabs>
        <w:spacing w:line="360" w:lineRule="auto"/>
        <w:ind w:firstLine="240" w:firstLineChars="100"/>
        <w:jc w:val="left"/>
        <w:rPr>
          <w:rFonts w:hint="eastAsia" w:ascii="宋体" w:hAnsi="宋体" w:eastAsia="宋体" w:cs="宋体"/>
          <w:b w:val="0"/>
          <w:sz w:val="24"/>
          <w:szCs w:val="24"/>
          <w:highlight w:val="yellow"/>
          <w:lang w:val="en-US" w:eastAsia="zh-CN"/>
        </w:rPr>
      </w:pPr>
      <w:r>
        <w:rPr>
          <w:rFonts w:hint="eastAsia" w:ascii="宋体" w:hAnsi="宋体" w:eastAsia="宋体" w:cs="宋体"/>
          <w:b w:val="0"/>
          <w:sz w:val="24"/>
          <w:szCs w:val="24"/>
          <w:highlight w:val="yellow"/>
          <w:lang w:val="en-US" w:eastAsia="zh-CN"/>
        </w:rPr>
        <w:t xml:space="preserve">  设备改造后底漆机器人喷涂站，具备1k及2K导电底漆清洗、喷涂、切换能力，线边2KS供漆系统具备2K导电底漆清洗、喷涂能力；</w:t>
      </w:r>
    </w:p>
    <w:p>
      <w:pPr>
        <w:numPr>
          <w:ilvl w:val="0"/>
          <w:numId w:val="0"/>
        </w:numPr>
        <w:tabs>
          <w:tab w:val="left" w:pos="0"/>
          <w:tab w:val="left" w:pos="567"/>
        </w:tabs>
        <w:spacing w:line="360" w:lineRule="auto"/>
        <w:ind w:firstLine="480" w:firstLineChars="200"/>
        <w:jc w:val="left"/>
        <w:rPr>
          <w:rFonts w:hint="default" w:ascii="宋体" w:hAnsi="宋体" w:eastAsia="宋体" w:cs="宋体"/>
          <w:b w:val="0"/>
          <w:sz w:val="24"/>
          <w:szCs w:val="24"/>
          <w:highlight w:val="yellow"/>
          <w:lang w:val="en-US" w:eastAsia="zh-CN"/>
        </w:rPr>
      </w:pPr>
      <w:r>
        <w:rPr>
          <w:rFonts w:hint="eastAsia" w:ascii="宋体" w:hAnsi="宋体" w:eastAsia="宋体" w:cs="宋体"/>
          <w:b w:val="0"/>
          <w:sz w:val="24"/>
          <w:szCs w:val="24"/>
          <w:highlight w:val="yellow"/>
          <w:lang w:val="en-US" w:eastAsia="zh-CN"/>
        </w:rPr>
        <w:t>22.1设备清洗具备</w:t>
      </w:r>
      <w:r>
        <w:rPr>
          <w:rFonts w:hint="default" w:ascii="宋体" w:hAnsi="宋体" w:eastAsia="宋体" w:cs="宋体"/>
          <w:b w:val="0"/>
          <w:sz w:val="24"/>
          <w:szCs w:val="24"/>
          <w:highlight w:val="yellow"/>
          <w:lang w:val="en-US" w:eastAsia="zh-CN"/>
        </w:rPr>
        <w:t>压缩空气排空混合段涂料</w:t>
      </w:r>
      <w:r>
        <w:rPr>
          <w:rFonts w:hint="eastAsia" w:ascii="宋体" w:hAnsi="宋体" w:eastAsia="宋体" w:cs="宋体"/>
          <w:b w:val="0"/>
          <w:sz w:val="24"/>
          <w:szCs w:val="24"/>
          <w:highlight w:val="yellow"/>
          <w:lang w:val="en-US" w:eastAsia="zh-CN"/>
        </w:rPr>
        <w:t>、</w:t>
      </w:r>
      <w:r>
        <w:rPr>
          <w:rFonts w:hint="default" w:ascii="宋体" w:hAnsi="宋体" w:eastAsia="宋体" w:cs="宋体"/>
          <w:b w:val="0"/>
          <w:sz w:val="24"/>
          <w:szCs w:val="24"/>
          <w:highlight w:val="yellow"/>
          <w:lang w:val="en-US" w:eastAsia="zh-CN"/>
        </w:rPr>
        <w:t>水性溶剂清洗混合段</w:t>
      </w:r>
      <w:r>
        <w:rPr>
          <w:rFonts w:hint="eastAsia" w:ascii="宋体" w:hAnsi="宋体" w:eastAsia="宋体" w:cs="宋体"/>
          <w:b w:val="0"/>
          <w:sz w:val="24"/>
          <w:szCs w:val="24"/>
          <w:highlight w:val="yellow"/>
          <w:lang w:val="en-US" w:eastAsia="zh-CN"/>
        </w:rPr>
        <w:t>、新增溶剂</w:t>
      </w:r>
      <w:r>
        <w:rPr>
          <w:rFonts w:hint="default" w:ascii="宋体" w:hAnsi="宋体" w:eastAsia="宋体" w:cs="宋体"/>
          <w:b w:val="0"/>
          <w:sz w:val="24"/>
          <w:szCs w:val="24"/>
          <w:highlight w:val="yellow"/>
          <w:lang w:val="en-US" w:eastAsia="zh-CN"/>
        </w:rPr>
        <w:t>清洗固化剂末端至枪口排出</w:t>
      </w:r>
      <w:r>
        <w:rPr>
          <w:rFonts w:hint="eastAsia" w:ascii="宋体" w:hAnsi="宋体" w:eastAsia="宋体" w:cs="宋体"/>
          <w:b w:val="0"/>
          <w:sz w:val="24"/>
          <w:szCs w:val="24"/>
          <w:highlight w:val="yellow"/>
          <w:lang w:val="en-US" w:eastAsia="zh-CN"/>
        </w:rPr>
        <w:t>功能</w:t>
      </w:r>
      <w:r>
        <w:rPr>
          <w:rFonts w:hint="default" w:ascii="宋体" w:hAnsi="宋体" w:eastAsia="宋体" w:cs="宋体"/>
          <w:b w:val="0"/>
          <w:sz w:val="24"/>
          <w:szCs w:val="24"/>
          <w:highlight w:val="yellow"/>
          <w:lang w:val="en-US" w:eastAsia="zh-CN"/>
        </w:rPr>
        <w:t>（</w:t>
      </w:r>
      <w:r>
        <w:rPr>
          <w:rFonts w:hint="eastAsia" w:ascii="宋体" w:hAnsi="宋体" w:eastAsia="宋体" w:cs="宋体"/>
          <w:b w:val="0"/>
          <w:sz w:val="24"/>
          <w:szCs w:val="24"/>
          <w:highlight w:val="yellow"/>
          <w:lang w:val="en-US" w:eastAsia="zh-CN"/>
        </w:rPr>
        <w:t>为</w:t>
      </w:r>
      <w:r>
        <w:rPr>
          <w:rFonts w:hint="default" w:ascii="宋体" w:hAnsi="宋体" w:eastAsia="宋体" w:cs="宋体"/>
          <w:b w:val="0"/>
          <w:sz w:val="24"/>
          <w:szCs w:val="24"/>
          <w:highlight w:val="yellow"/>
          <w:lang w:val="en-US" w:eastAsia="zh-CN"/>
        </w:rPr>
        <w:t>固化剂封闭性溶剂）</w:t>
      </w:r>
      <w:r>
        <w:rPr>
          <w:rFonts w:hint="eastAsia" w:ascii="宋体" w:hAnsi="宋体" w:eastAsia="宋体" w:cs="宋体"/>
          <w:b w:val="0"/>
          <w:sz w:val="24"/>
          <w:szCs w:val="24"/>
          <w:highlight w:val="yellow"/>
          <w:lang w:val="en-US" w:eastAsia="zh-CN"/>
        </w:rPr>
        <w:t>，在溶剂清洗能力满足情况下，清洗后系统可保证稳定喷涂、无漆料残留，</w:t>
      </w:r>
    </w:p>
    <w:p>
      <w:pPr>
        <w:numPr>
          <w:ilvl w:val="0"/>
          <w:numId w:val="0"/>
        </w:numPr>
        <w:tabs>
          <w:tab w:val="left" w:pos="0"/>
          <w:tab w:val="left" w:pos="567"/>
        </w:tabs>
        <w:spacing w:line="360" w:lineRule="auto"/>
        <w:ind w:firstLine="480" w:firstLineChars="200"/>
        <w:jc w:val="left"/>
        <w:rPr>
          <w:rFonts w:hint="eastAsia" w:ascii="宋体" w:hAnsi="宋体" w:eastAsia="宋体" w:cs="宋体"/>
          <w:b w:val="0"/>
          <w:sz w:val="24"/>
          <w:szCs w:val="24"/>
          <w:highlight w:val="yellow"/>
          <w:lang w:val="en-US" w:eastAsia="zh-CN"/>
        </w:rPr>
      </w:pPr>
      <w:r>
        <w:rPr>
          <w:rFonts w:hint="eastAsia" w:ascii="宋体" w:hAnsi="宋体" w:eastAsia="宋体" w:cs="宋体"/>
          <w:b w:val="0"/>
          <w:sz w:val="24"/>
          <w:szCs w:val="24"/>
          <w:highlight w:val="yellow"/>
          <w:lang w:val="en-US" w:eastAsia="zh-CN"/>
        </w:rPr>
        <w:t>22.2新增溶剂回收系统可实现清洗固化剂后废液收集，并具备反冲洗功能，保证运行过程中无管路堵塞风险。</w:t>
      </w:r>
    </w:p>
    <w:p>
      <w:pPr>
        <w:numPr>
          <w:ilvl w:val="0"/>
          <w:numId w:val="0"/>
        </w:numPr>
        <w:tabs>
          <w:tab w:val="left" w:pos="0"/>
          <w:tab w:val="left" w:pos="567"/>
        </w:tabs>
        <w:spacing w:line="360" w:lineRule="auto"/>
        <w:ind w:firstLine="480" w:firstLineChars="200"/>
        <w:jc w:val="left"/>
        <w:rPr>
          <w:rFonts w:hint="eastAsia" w:ascii="宋体" w:hAnsi="宋体" w:eastAsia="宋体" w:cs="宋体"/>
          <w:b w:val="0"/>
          <w:sz w:val="24"/>
          <w:szCs w:val="24"/>
          <w:highlight w:val="yellow"/>
          <w:lang w:val="en-US" w:eastAsia="zh-CN"/>
        </w:rPr>
      </w:pPr>
      <w:r>
        <w:rPr>
          <w:rFonts w:hint="eastAsia" w:ascii="宋体" w:hAnsi="宋体" w:eastAsia="宋体" w:cs="宋体"/>
          <w:b w:val="0"/>
          <w:sz w:val="24"/>
          <w:szCs w:val="24"/>
          <w:highlight w:val="yellow"/>
          <w:lang w:val="en-US" w:eastAsia="zh-CN"/>
        </w:rPr>
        <w:t>22.3清洗及回收模式如下：</w:t>
      </w:r>
    </w:p>
    <w:tbl>
      <w:tblPr>
        <w:tblStyle w:val="36"/>
        <w:tblW w:w="949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3266"/>
        <w:gridCol w:w="1482"/>
        <w:gridCol w:w="3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4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机器人清洗路径--1K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清洗方式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溶剂种类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排放路径（回收至哪个罐）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短清洗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长清洗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马桶清洗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换色清洗（油漆段）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换色清洗（固化剂段）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换色清洗（混合段）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bl>
    <w:p>
      <w:pPr>
        <w:numPr>
          <w:ilvl w:val="0"/>
          <w:numId w:val="0"/>
        </w:numPr>
        <w:tabs>
          <w:tab w:val="left" w:pos="0"/>
          <w:tab w:val="left" w:pos="567"/>
        </w:tabs>
        <w:spacing w:line="360" w:lineRule="auto"/>
        <w:ind w:firstLine="240" w:firstLineChars="100"/>
        <w:jc w:val="left"/>
        <w:rPr>
          <w:rFonts w:hint="default" w:ascii="宋体" w:hAnsi="宋体" w:eastAsia="宋体" w:cs="宋体"/>
          <w:b w:val="0"/>
          <w:sz w:val="24"/>
          <w:szCs w:val="24"/>
          <w:highlight w:val="yellow"/>
          <w:lang w:val="en-US" w:eastAsia="zh-CN"/>
        </w:rPr>
      </w:pPr>
    </w:p>
    <w:p>
      <w:pPr>
        <w:numPr>
          <w:ilvl w:val="0"/>
          <w:numId w:val="0"/>
        </w:numPr>
        <w:tabs>
          <w:tab w:val="left" w:pos="0"/>
          <w:tab w:val="left" w:pos="567"/>
        </w:tabs>
        <w:spacing w:line="360" w:lineRule="auto"/>
        <w:ind w:firstLine="240" w:firstLineChars="100"/>
        <w:jc w:val="left"/>
        <w:rPr>
          <w:rFonts w:hint="default" w:ascii="宋体" w:hAnsi="宋体" w:eastAsia="宋体" w:cs="宋体"/>
          <w:b w:val="0"/>
          <w:sz w:val="24"/>
          <w:szCs w:val="24"/>
          <w:highlight w:val="yellow"/>
          <w:lang w:val="en-US" w:eastAsia="zh-CN"/>
        </w:rPr>
      </w:pPr>
    </w:p>
    <w:tbl>
      <w:tblPr>
        <w:tblStyle w:val="36"/>
        <w:tblW w:w="9495"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3266"/>
        <w:gridCol w:w="1482"/>
        <w:gridCol w:w="3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4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2KS清洗路径--1K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清洗方式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溶剂种类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排放路径（回收至哪个罐）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换色清洗（油漆段）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换色清洗（固化剂段）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换色清洗（混合段）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bl>
    <w:p>
      <w:pPr>
        <w:numPr>
          <w:ilvl w:val="0"/>
          <w:numId w:val="0"/>
        </w:numPr>
        <w:tabs>
          <w:tab w:val="left" w:pos="0"/>
          <w:tab w:val="left" w:pos="567"/>
        </w:tabs>
        <w:spacing w:line="360" w:lineRule="auto"/>
        <w:ind w:firstLine="240" w:firstLineChars="100"/>
        <w:jc w:val="left"/>
        <w:rPr>
          <w:rFonts w:hint="default" w:ascii="宋体" w:hAnsi="宋体" w:eastAsia="宋体" w:cs="宋体"/>
          <w:b w:val="0"/>
          <w:sz w:val="24"/>
          <w:szCs w:val="24"/>
          <w:highlight w:val="yellow"/>
          <w:lang w:val="en-US" w:eastAsia="zh-CN"/>
        </w:rPr>
      </w:pPr>
    </w:p>
    <w:tbl>
      <w:tblPr>
        <w:tblStyle w:val="36"/>
        <w:tblW w:w="1009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8"/>
        <w:gridCol w:w="2644"/>
        <w:gridCol w:w="3607"/>
        <w:gridCol w:w="3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0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机器人清洗路径--2K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清洗方式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溶剂种类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排放路径（回收至哪个罐）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短清洗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长清洗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封闭溶剂（丙二醇甲醚醋酸酯）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溶剂型回收罐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马桶清洗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换色清洗（油漆段）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换色清洗（固化剂段）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封闭溶剂（丙二醇甲醚醋酸酯）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溶剂型回收罐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换色清洗（混合段）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bl>
    <w:p>
      <w:pPr>
        <w:numPr>
          <w:ilvl w:val="0"/>
          <w:numId w:val="0"/>
        </w:numPr>
        <w:tabs>
          <w:tab w:val="left" w:pos="0"/>
          <w:tab w:val="left" w:pos="567"/>
        </w:tabs>
        <w:spacing w:line="360" w:lineRule="auto"/>
        <w:ind w:firstLine="240" w:firstLineChars="100"/>
        <w:jc w:val="left"/>
        <w:rPr>
          <w:rFonts w:hint="default" w:ascii="宋体" w:hAnsi="宋体" w:eastAsia="宋体" w:cs="宋体"/>
          <w:b w:val="0"/>
          <w:sz w:val="24"/>
          <w:szCs w:val="24"/>
          <w:highlight w:val="yellow"/>
          <w:lang w:val="en-US" w:eastAsia="zh-CN"/>
        </w:rPr>
      </w:pPr>
    </w:p>
    <w:tbl>
      <w:tblPr>
        <w:tblStyle w:val="36"/>
        <w:tblW w:w="10095"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8"/>
        <w:gridCol w:w="2644"/>
        <w:gridCol w:w="3607"/>
        <w:gridCol w:w="3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0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2KS清洗路径--2K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清洗方式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溶剂种类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排放路径（回收至哪个罐）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换色清洗（油漆段）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水性溶剂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换色清洗（固化剂段）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封闭溶剂（丙二醇甲醚醋酸酯）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溶剂型回收罐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换色清洗（混合段）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压缩空气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封闭溶剂（丙二醇甲醚醋酸酯）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水性回收罐</w:t>
            </w:r>
          </w:p>
        </w:tc>
      </w:tr>
    </w:tbl>
    <w:p>
      <w:pPr>
        <w:numPr>
          <w:ilvl w:val="0"/>
          <w:numId w:val="0"/>
        </w:numPr>
        <w:tabs>
          <w:tab w:val="left" w:pos="0"/>
          <w:tab w:val="left" w:pos="567"/>
        </w:tabs>
        <w:spacing w:line="360" w:lineRule="auto"/>
        <w:ind w:firstLine="240" w:firstLineChars="100"/>
        <w:jc w:val="left"/>
        <w:rPr>
          <w:rFonts w:hint="default" w:ascii="宋体" w:hAnsi="宋体" w:eastAsia="宋体" w:cs="宋体"/>
          <w:b w:val="0"/>
          <w:sz w:val="24"/>
          <w:szCs w:val="24"/>
          <w:highlight w:val="yellow"/>
          <w:lang w:val="en-US" w:eastAsia="zh-CN"/>
        </w:rPr>
      </w:pPr>
    </w:p>
    <w:p>
      <w:pPr>
        <w:numPr>
          <w:ilvl w:val="0"/>
          <w:numId w:val="0"/>
        </w:numPr>
        <w:tabs>
          <w:tab w:val="left" w:pos="0"/>
          <w:tab w:val="left" w:pos="567"/>
        </w:tabs>
        <w:spacing w:line="360" w:lineRule="auto"/>
        <w:ind w:firstLine="480" w:firstLineChars="200"/>
        <w:jc w:val="left"/>
        <w:rPr>
          <w:rFonts w:hint="default" w:ascii="宋体" w:hAnsi="宋体" w:eastAsia="宋体" w:cs="宋体"/>
          <w:b w:val="0"/>
          <w:sz w:val="24"/>
          <w:szCs w:val="24"/>
          <w:highlight w:val="yellow"/>
          <w:lang w:val="en-US" w:eastAsia="zh-CN"/>
        </w:rPr>
      </w:pPr>
    </w:p>
    <w:p>
      <w:pPr>
        <w:jc w:val="center"/>
        <w:rPr>
          <w:rFonts w:hint="eastAsia" w:ascii="宋体" w:hAnsi="宋体" w:eastAsia="宋体" w:cs="宋体"/>
          <w:b/>
          <w:bCs/>
          <w:kern w:val="44"/>
          <w:sz w:val="24"/>
          <w:szCs w:val="24"/>
        </w:rPr>
      </w:pPr>
      <w:r>
        <w:rPr>
          <w:rFonts w:hint="eastAsia" w:ascii="Calibri" w:hAnsi="Calibri" w:eastAsia="宋体" w:cs="Times New Roman"/>
          <w:b/>
          <w:bCs/>
          <w:kern w:val="44"/>
          <w:sz w:val="28"/>
          <w:szCs w:val="28"/>
        </w:rPr>
        <w:t>第</w:t>
      </w:r>
      <w:r>
        <w:rPr>
          <w:rFonts w:hint="eastAsia" w:ascii="宋体" w:hAnsi="宋体" w:eastAsia="宋体" w:cs="宋体"/>
          <w:b/>
          <w:bCs/>
          <w:kern w:val="44"/>
          <w:sz w:val="24"/>
          <w:szCs w:val="24"/>
          <w:lang w:val="en-US" w:eastAsia="zh-CN"/>
        </w:rPr>
        <w:t>三</w:t>
      </w:r>
      <w:r>
        <w:rPr>
          <w:rFonts w:hint="eastAsia" w:ascii="宋体" w:hAnsi="宋体" w:eastAsia="宋体" w:cs="宋体"/>
          <w:b/>
          <w:bCs/>
          <w:kern w:val="44"/>
          <w:sz w:val="24"/>
          <w:szCs w:val="24"/>
        </w:rPr>
        <w:t>章  供货范围及供货方式</w:t>
      </w:r>
    </w:p>
    <w:p>
      <w:pPr>
        <w:rPr>
          <w:rFonts w:hint="eastAsia" w:ascii="宋体" w:hAnsi="宋体" w:eastAsia="宋体" w:cs="宋体"/>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第一节  供货范围</w:t>
      </w:r>
    </w:p>
    <w:p>
      <w:pPr>
        <w:spacing w:line="420" w:lineRule="exact"/>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一、供货范围</w:t>
      </w:r>
    </w:p>
    <w:tbl>
      <w:tblPr>
        <w:tblStyle w:val="36"/>
        <w:tblW w:w="9286" w:type="dxa"/>
        <w:jc w:val="center"/>
        <w:tblLayout w:type="fixed"/>
        <w:tblCellMar>
          <w:top w:w="0" w:type="dxa"/>
          <w:left w:w="108" w:type="dxa"/>
          <w:bottom w:w="0" w:type="dxa"/>
          <w:right w:w="108" w:type="dxa"/>
        </w:tblCellMar>
      </w:tblPr>
      <w:tblGrid>
        <w:gridCol w:w="555"/>
        <w:gridCol w:w="1071"/>
        <w:gridCol w:w="1407"/>
        <w:gridCol w:w="3616"/>
        <w:gridCol w:w="2637"/>
      </w:tblGrid>
      <w:tr>
        <w:tblPrEx>
          <w:tblCellMar>
            <w:top w:w="0" w:type="dxa"/>
            <w:left w:w="108" w:type="dxa"/>
            <w:bottom w:w="0" w:type="dxa"/>
            <w:right w:w="108" w:type="dxa"/>
          </w:tblCellMar>
        </w:tblPrEx>
        <w:trPr>
          <w:trHeight w:val="384"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478"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油漆</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底漆溶剂</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废溶剂回收</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2478"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（溶剂型）</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384" w:hRule="atLeast"/>
          <w:jc w:val="center"/>
        </w:trPr>
        <w:tc>
          <w:tcPr>
            <w:tcW w:w="5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478"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油漆数量</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r>
      <w:tr>
        <w:tblPrEx>
          <w:tblCellMar>
            <w:top w:w="0" w:type="dxa"/>
            <w:left w:w="108" w:type="dxa"/>
            <w:bottom w:w="0" w:type="dxa"/>
            <w:right w:w="108" w:type="dxa"/>
          </w:tblCellMar>
        </w:tblPrEx>
        <w:trPr>
          <w:trHeight w:val="384" w:hRule="atLeast"/>
          <w:jc w:val="center"/>
        </w:trPr>
        <w:tc>
          <w:tcPr>
            <w:tcW w:w="5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478"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循环形式</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主管</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384"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0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泵</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循环</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GRACO E-FLO DC电动泵</w:t>
            </w:r>
            <w:r>
              <w:rPr>
                <w:rFonts w:hint="eastAsia" w:ascii="宋体" w:hAnsi="宋体" w:eastAsia="宋体" w:cs="宋体"/>
                <w:color w:val="000000"/>
                <w:kern w:val="0"/>
                <w:sz w:val="24"/>
                <w:szCs w:val="24"/>
                <w:lang w:val="en-US" w:eastAsia="zh-CN" w:bidi="ar"/>
              </w:rPr>
              <w:t>等</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HUSKY1050</w:t>
            </w:r>
            <w:r>
              <w:rPr>
                <w:rFonts w:hint="eastAsia" w:ascii="宋体" w:hAnsi="宋体" w:eastAsia="宋体" w:cs="宋体"/>
                <w:color w:val="000000"/>
                <w:sz w:val="24"/>
                <w:szCs w:val="24"/>
                <w:highlight w:val="yellow"/>
                <w:lang w:val="en-US" w:eastAsia="zh-CN"/>
              </w:rPr>
              <w:t>等</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输送</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GRACO隔膜泵HUSKY716</w:t>
            </w:r>
            <w:r>
              <w:rPr>
                <w:rFonts w:hint="eastAsia" w:ascii="宋体" w:hAnsi="宋体" w:eastAsia="宋体" w:cs="宋体"/>
                <w:color w:val="000000"/>
                <w:kern w:val="0"/>
                <w:sz w:val="24"/>
                <w:szCs w:val="24"/>
                <w:lang w:val="en-US" w:eastAsia="zh-CN" w:bidi="ar"/>
              </w:rPr>
              <w:t>等</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HUSKY1050</w:t>
            </w:r>
            <w:r>
              <w:rPr>
                <w:rFonts w:hint="eastAsia" w:ascii="宋体" w:hAnsi="宋体" w:eastAsia="宋体" w:cs="宋体"/>
                <w:color w:val="000000"/>
                <w:sz w:val="24"/>
                <w:szCs w:val="24"/>
                <w:highlight w:val="yellow"/>
                <w:lang w:val="en-US" w:eastAsia="zh-CN"/>
              </w:rPr>
              <w:t>等</w:t>
            </w:r>
          </w:p>
        </w:tc>
      </w:tr>
      <w:tr>
        <w:tblPrEx>
          <w:tblCellMar>
            <w:top w:w="0" w:type="dxa"/>
            <w:left w:w="108" w:type="dxa"/>
            <w:bottom w:w="0" w:type="dxa"/>
            <w:right w:w="108" w:type="dxa"/>
          </w:tblCellMar>
        </w:tblPrEx>
        <w:trPr>
          <w:trHeight w:val="384"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0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桶</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highlight w:val="yellow"/>
              </w:rPr>
            </w:pPr>
            <w:r>
              <w:rPr>
                <w:rFonts w:hint="eastAsia" w:ascii="宋体" w:hAnsi="宋体" w:eastAsia="宋体" w:cs="宋体"/>
                <w:color w:val="000000"/>
                <w:kern w:val="0"/>
                <w:sz w:val="24"/>
                <w:szCs w:val="24"/>
                <w:highlight w:val="yellow"/>
                <w:lang w:bidi="ar"/>
              </w:rPr>
              <w:t>循环桶</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highlight w:val="yellow"/>
              </w:rPr>
            </w:pPr>
            <w:r>
              <w:rPr>
                <w:rFonts w:hint="eastAsia" w:ascii="宋体" w:hAnsi="宋体" w:eastAsia="宋体" w:cs="宋体"/>
                <w:color w:val="000000"/>
                <w:kern w:val="0"/>
                <w:sz w:val="24"/>
                <w:szCs w:val="24"/>
                <w:highlight w:val="yellow"/>
                <w:lang w:bidi="ar"/>
              </w:rPr>
              <w:t>200L SST</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highlight w:val="yellow"/>
              </w:rPr>
            </w:pPr>
            <w:r>
              <w:rPr>
                <w:rFonts w:hint="eastAsia" w:ascii="宋体" w:hAnsi="宋体" w:eastAsia="宋体" w:cs="宋体"/>
                <w:color w:val="000000"/>
                <w:kern w:val="0"/>
                <w:sz w:val="24"/>
                <w:szCs w:val="24"/>
                <w:highlight w:val="yellow"/>
                <w:lang w:bidi="ar"/>
              </w:rPr>
              <w:t>200L SST</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搅拌桶</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CellMar>
            <w:top w:w="0" w:type="dxa"/>
            <w:left w:w="108" w:type="dxa"/>
            <w:bottom w:w="0" w:type="dxa"/>
            <w:right w:w="108" w:type="dxa"/>
          </w:tblCellMar>
        </w:tblPrEx>
        <w:trPr>
          <w:trHeight w:val="384"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0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搅拌器</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循环桶</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63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SEW 电动低剪切</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搅拌桶</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63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384"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0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液位控制</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循环桶</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静压式液位计E+H</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静压式液位计E+H</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搅拌桶</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CellMar>
            <w:top w:w="0" w:type="dxa"/>
            <w:left w:w="108" w:type="dxa"/>
            <w:bottom w:w="0" w:type="dxa"/>
            <w:right w:w="108" w:type="dxa"/>
          </w:tblCellMar>
        </w:tblPrEx>
        <w:trPr>
          <w:trHeight w:val="384"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10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油漆供给</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自动</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手动</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从原料桶至循环桶</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CellMar>
            <w:top w:w="0" w:type="dxa"/>
            <w:left w:w="108" w:type="dxa"/>
            <w:bottom w:w="0" w:type="dxa"/>
            <w:right w:w="108" w:type="dxa"/>
          </w:tblCellMar>
        </w:tblPrEx>
        <w:trPr>
          <w:trHeight w:val="384" w:hRule="atLeast"/>
          <w:jc w:val="center"/>
        </w:trPr>
        <w:tc>
          <w:tcPr>
            <w:tcW w:w="5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10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稳压器</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隔膜式</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highlight w:val="yellow"/>
                <w:lang w:bidi="ar"/>
              </w:rPr>
              <w:t>GRACO</w:t>
            </w:r>
            <w:r>
              <w:rPr>
                <w:rFonts w:hint="eastAsia" w:ascii="宋体" w:hAnsi="宋体" w:eastAsia="宋体" w:cs="宋体"/>
                <w:color w:val="000000"/>
                <w:kern w:val="0"/>
                <w:sz w:val="24"/>
                <w:szCs w:val="24"/>
                <w:highlight w:val="yellow"/>
                <w:lang w:val="en-US" w:eastAsia="zh-CN" w:bidi="ar"/>
              </w:rPr>
              <w:t>等</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CellMar>
            <w:top w:w="0" w:type="dxa"/>
            <w:left w:w="108" w:type="dxa"/>
            <w:bottom w:w="0" w:type="dxa"/>
            <w:right w:w="108" w:type="dxa"/>
          </w:tblCellMar>
        </w:tblPrEx>
        <w:trPr>
          <w:trHeight w:val="384"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0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过滤器</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供给</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2x袋式ROSEDALE</w:t>
            </w:r>
            <w:r>
              <w:rPr>
                <w:rFonts w:hint="eastAsia" w:ascii="宋体" w:hAnsi="宋体" w:eastAsia="宋体" w:cs="宋体"/>
                <w:color w:val="000000"/>
                <w:kern w:val="0"/>
                <w:sz w:val="24"/>
                <w:szCs w:val="24"/>
                <w:highlight w:val="yellow"/>
                <w:lang w:val="en-US" w:eastAsia="zh-CN" w:bidi="ar"/>
              </w:rPr>
              <w:t>等</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加料/回流</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1x袋式ROSEDALE</w:t>
            </w:r>
            <w:r>
              <w:rPr>
                <w:rFonts w:hint="eastAsia" w:ascii="宋体" w:hAnsi="宋体" w:eastAsia="宋体" w:cs="宋体"/>
                <w:color w:val="000000"/>
                <w:kern w:val="0"/>
                <w:sz w:val="24"/>
                <w:szCs w:val="24"/>
                <w:highlight w:val="yellow"/>
                <w:lang w:val="en-US" w:eastAsia="zh-CN" w:bidi="ar"/>
              </w:rPr>
              <w:t>等</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1x袋式ROSEDALE</w:t>
            </w:r>
            <w:r>
              <w:rPr>
                <w:rFonts w:hint="eastAsia" w:ascii="宋体" w:hAnsi="宋体" w:eastAsia="宋体" w:cs="宋体"/>
                <w:color w:val="000000"/>
                <w:kern w:val="0"/>
                <w:sz w:val="24"/>
                <w:szCs w:val="24"/>
                <w:highlight w:val="yellow"/>
                <w:lang w:val="en-US" w:eastAsia="zh-CN" w:bidi="ar"/>
              </w:rPr>
              <w:t>等</w:t>
            </w:r>
          </w:p>
        </w:tc>
      </w:tr>
      <w:tr>
        <w:tblPrEx>
          <w:tblCellMar>
            <w:top w:w="0" w:type="dxa"/>
            <w:left w:w="108" w:type="dxa"/>
            <w:bottom w:w="0" w:type="dxa"/>
            <w:right w:w="108" w:type="dxa"/>
          </w:tblCellMar>
        </w:tblPrEx>
        <w:trPr>
          <w:trHeight w:val="384" w:hRule="atLeast"/>
          <w:jc w:val="center"/>
        </w:trPr>
        <w:tc>
          <w:tcPr>
            <w:tcW w:w="55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val="en-US" w:eastAsia="zh-CN" w:bidi="ar"/>
              </w:rPr>
              <w:t>1</w:t>
            </w:r>
          </w:p>
        </w:tc>
        <w:tc>
          <w:tcPr>
            <w:tcW w:w="10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温度控制</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384"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1</w:t>
            </w:r>
            <w:r>
              <w:rPr>
                <w:rFonts w:hint="eastAsia" w:ascii="宋体" w:hAnsi="宋体" w:eastAsia="宋体" w:cs="宋体"/>
                <w:color w:val="000000"/>
                <w:kern w:val="0"/>
                <w:sz w:val="24"/>
                <w:szCs w:val="24"/>
                <w:lang w:val="en-US" w:eastAsia="zh-CN" w:bidi="ar"/>
              </w:rPr>
              <w:t>2</w:t>
            </w:r>
          </w:p>
        </w:tc>
        <w:tc>
          <w:tcPr>
            <w:tcW w:w="107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材质</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泵</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SST</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SST</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管路</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304L</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highlight w:val="yellow"/>
                <w:lang w:bidi="ar"/>
              </w:rPr>
              <w:t>304</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接头</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SST</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SST</w:t>
            </w:r>
          </w:p>
        </w:tc>
      </w:tr>
      <w:tr>
        <w:tblPrEx>
          <w:tblCellMar>
            <w:top w:w="0" w:type="dxa"/>
            <w:left w:w="108" w:type="dxa"/>
            <w:bottom w:w="0" w:type="dxa"/>
            <w:right w:w="108" w:type="dxa"/>
          </w:tblCellMar>
        </w:tblPrEx>
        <w:trPr>
          <w:trHeight w:val="384"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部件</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SST</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SST</w:t>
            </w:r>
          </w:p>
        </w:tc>
      </w:tr>
      <w:tr>
        <w:tblPrEx>
          <w:tblCellMar>
            <w:top w:w="0" w:type="dxa"/>
            <w:left w:w="108" w:type="dxa"/>
            <w:bottom w:w="0" w:type="dxa"/>
            <w:right w:w="108" w:type="dxa"/>
          </w:tblCellMar>
        </w:tblPrEx>
        <w:trPr>
          <w:trHeight w:val="395"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07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软管</w:t>
            </w:r>
          </w:p>
        </w:tc>
        <w:tc>
          <w:tcPr>
            <w:tcW w:w="3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TEFLON</w:t>
            </w:r>
          </w:p>
        </w:tc>
        <w:tc>
          <w:tcPr>
            <w:tcW w:w="263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TEFLON</w:t>
            </w:r>
          </w:p>
        </w:tc>
      </w:tr>
      <w:tr>
        <w:tblPrEx>
          <w:tblCellMar>
            <w:top w:w="0" w:type="dxa"/>
            <w:left w:w="108" w:type="dxa"/>
            <w:bottom w:w="0" w:type="dxa"/>
            <w:right w:w="108" w:type="dxa"/>
          </w:tblCellMar>
        </w:tblPrEx>
        <w:trPr>
          <w:trHeight w:val="395" w:hRule="atLeast"/>
          <w:jc w:val="center"/>
        </w:trPr>
        <w:tc>
          <w:tcPr>
            <w:tcW w:w="5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highlight w:val="green"/>
              </w:rPr>
              <w:t>1</w:t>
            </w:r>
            <w:r>
              <w:rPr>
                <w:rFonts w:hint="eastAsia" w:ascii="宋体" w:hAnsi="宋体" w:eastAsia="宋体" w:cs="宋体"/>
                <w:color w:val="000000"/>
                <w:sz w:val="24"/>
                <w:szCs w:val="24"/>
                <w:highlight w:val="green"/>
                <w:lang w:val="en-US" w:eastAsia="zh-CN"/>
              </w:rPr>
              <w:t>3</w:t>
            </w:r>
          </w:p>
        </w:tc>
        <w:tc>
          <w:tcPr>
            <w:tcW w:w="1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green"/>
                <w:lang w:val="en-US" w:eastAsia="zh-CN"/>
              </w:rPr>
              <w:t>废溶剂回收设备</w:t>
            </w:r>
          </w:p>
        </w:tc>
        <w:tc>
          <w:tcPr>
            <w:tcW w:w="7660"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highlight w:val="green"/>
                <w:lang w:bidi="ar"/>
              </w:rPr>
              <w:t>每台机器人增加一套</w:t>
            </w:r>
            <w:r>
              <w:rPr>
                <w:rFonts w:hint="eastAsia" w:ascii="宋体" w:hAnsi="宋体" w:eastAsia="宋体" w:cs="宋体"/>
                <w:color w:val="000000"/>
                <w:kern w:val="0"/>
                <w:sz w:val="24"/>
                <w:szCs w:val="24"/>
                <w:highlight w:val="green"/>
                <w:lang w:val="en-US" w:eastAsia="zh-CN" w:bidi="ar"/>
              </w:rPr>
              <w:t>废溶剂回收设备</w:t>
            </w:r>
            <w:r>
              <w:rPr>
                <w:rFonts w:hint="eastAsia" w:ascii="宋体" w:hAnsi="宋体" w:eastAsia="宋体" w:cs="宋体"/>
                <w:color w:val="000000"/>
                <w:kern w:val="0"/>
                <w:sz w:val="24"/>
                <w:szCs w:val="24"/>
                <w:highlight w:val="green"/>
                <w:lang w:bidi="ar"/>
              </w:rPr>
              <w:t>，用于回收</w:t>
            </w:r>
            <w:r>
              <w:rPr>
                <w:rFonts w:hint="eastAsia" w:ascii="宋体" w:hAnsi="宋体" w:eastAsia="宋体" w:cs="宋体"/>
                <w:color w:val="000000"/>
                <w:kern w:val="0"/>
                <w:sz w:val="24"/>
                <w:szCs w:val="24"/>
                <w:highlight w:val="green"/>
                <w:lang w:val="en-US" w:eastAsia="zh-CN" w:bidi="ar"/>
              </w:rPr>
              <w:t>废溶剂</w:t>
            </w:r>
            <w:r>
              <w:rPr>
                <w:rFonts w:hint="eastAsia" w:ascii="宋体" w:hAnsi="宋体" w:eastAsia="宋体" w:cs="宋体"/>
                <w:color w:val="000000"/>
                <w:kern w:val="0"/>
                <w:sz w:val="24"/>
                <w:szCs w:val="24"/>
                <w:highlight w:val="green"/>
                <w:lang w:bidi="ar"/>
              </w:rPr>
              <w:t>，防止堵塞漏斗，并减少清洗漆雾对喷涂质量的影响</w:t>
            </w:r>
          </w:p>
        </w:tc>
      </w:tr>
      <w:tr>
        <w:tblPrEx>
          <w:tblCellMar>
            <w:top w:w="0" w:type="dxa"/>
            <w:left w:w="108" w:type="dxa"/>
            <w:bottom w:w="0" w:type="dxa"/>
            <w:right w:w="108" w:type="dxa"/>
          </w:tblCellMar>
        </w:tblPrEx>
        <w:trPr>
          <w:trHeight w:val="395" w:hRule="atLeast"/>
          <w:jc w:val="center"/>
        </w:trPr>
        <w:tc>
          <w:tcPr>
            <w:tcW w:w="5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highlight w:val="green"/>
              </w:rPr>
              <w:t>1</w:t>
            </w:r>
            <w:r>
              <w:rPr>
                <w:rFonts w:hint="eastAsia" w:ascii="宋体" w:hAnsi="宋体" w:eastAsia="宋体" w:cs="宋体"/>
                <w:color w:val="000000"/>
                <w:sz w:val="24"/>
                <w:szCs w:val="24"/>
                <w:highlight w:val="green"/>
                <w:lang w:val="en-US" w:eastAsia="zh-CN"/>
              </w:rPr>
              <w:t>4</w:t>
            </w:r>
          </w:p>
        </w:tc>
        <w:tc>
          <w:tcPr>
            <w:tcW w:w="107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highlight w:val="green"/>
              </w:rPr>
              <w:t>机器人安装调试</w:t>
            </w:r>
          </w:p>
        </w:tc>
        <w:tc>
          <w:tcPr>
            <w:tcW w:w="7660"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highlight w:val="green"/>
                <w:lang w:bidi="ar"/>
              </w:rPr>
              <w:t>增加单独的固化剂清洗装置后，对清洗程序和喷涂参数设定的调试验证</w:t>
            </w:r>
          </w:p>
        </w:tc>
      </w:tr>
    </w:tbl>
    <w:p>
      <w:pPr>
        <w:rPr>
          <w:rFonts w:hint="eastAsia" w:ascii="宋体" w:hAnsi="宋体" w:eastAsia="宋体" w:cs="宋体"/>
          <w:sz w:val="24"/>
          <w:szCs w:val="24"/>
          <w:highlight w:val="green"/>
        </w:rPr>
      </w:pPr>
      <w:r>
        <w:rPr>
          <w:rFonts w:hint="eastAsia" w:ascii="宋体" w:hAnsi="宋体" w:eastAsia="宋体" w:cs="宋体"/>
          <w:sz w:val="24"/>
          <w:szCs w:val="24"/>
          <w:highlight w:val="green"/>
        </w:rPr>
        <w:t>注：招标方需保证两种溶剂对机器人的清洗能力，特别是雾化器2K混合器的清洗。</w:t>
      </w:r>
    </w:p>
    <w:bookmarkEnd w:id="33"/>
    <w:p>
      <w:pPr>
        <w:spacing w:line="420" w:lineRule="exact"/>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（一）一般界定</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1、投标方须负责在终验收后、终验收后的第一笔货款支付日之前，提供包括操作维护手册，保养维修手册、操作和安全事项的使用说明书。【针对于非标产品】</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、投标方须负责在终验收后、终验收后的第一笔货款支付日之前，提供包括设计总图、安装基础图、维修图等有关的资料；【针对于非标产品】</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、本“技术资料范围”所列的技术资料、图等，投标方应各提供3套，每份技术文件应装有目录清单；【针对于非标产品】</w:t>
      </w:r>
    </w:p>
    <w:p>
      <w:pPr>
        <w:spacing w:line="420" w:lineRule="exact"/>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（二）供货范围边界界定</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1、买方提供货物所需的建筑物（如厂房等）和构筑物（如混凝土池、砼基础等），包含正常安装施工所需的预埋件（如穿管、预埋螺栓、螺母及垫片）。</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4、以“交钥匙”方式采购的货物，在满足技术标书本节上述要求之外，同时包括货物正常运行、使用所需要的过桥、护栏、防护网、盖板等辅助设施。</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二、备品备件、易损件和专用耗材供货范围</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1、质保期之内正常需要的备品备件、易损件和专用耗材全部包括在供货范围之内而不属于本条款界定的范围（应有明细）。</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2、供货范围包括易损件和专用耗材的制造图纸及其技术要求等资料，如涉及专有技术或无法提供，应在投标文件中予以澄清或说明。</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三、技术资料供货范围</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技术资料供货范围包括：</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1、在终验收</w:t>
      </w:r>
      <w:r>
        <w:rPr>
          <w:rFonts w:hint="eastAsia" w:ascii="宋体" w:hAnsi="宋体" w:eastAsia="宋体" w:cs="宋体"/>
          <w:color w:val="000000"/>
          <w:sz w:val="24"/>
          <w:szCs w:val="24"/>
          <w:highlight w:val="none"/>
          <w:lang w:val="en-US" w:eastAsia="zh-CN"/>
        </w:rPr>
        <w:t>前</w:t>
      </w:r>
      <w:r>
        <w:rPr>
          <w:rFonts w:hint="eastAsia" w:ascii="宋体" w:hAnsi="宋体" w:eastAsia="宋体" w:cs="宋体"/>
          <w:color w:val="000000"/>
          <w:sz w:val="24"/>
          <w:szCs w:val="24"/>
          <w:highlight w:val="none"/>
        </w:rPr>
        <w:t>，提供包括货物的备品备件、易损件和专用耗材的图纸及技术参数、技术要求等资料。</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、本条款所列的技术资料、图片、影像等，投标方应各提供5套，其中2套为电子版光（U）盘；每份技术文件应装有目录清单。</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9、本条款所列要求，如招标方认为投标方提供的资料不能满足要求时，有权要求投标方免费补充或增加。</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四、供货范围特别提示</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如果投标方认为本节所列的供货范围难以满足，则仍需要按照本要求提供，但该部分货物应当在投标报价中单独列明货物名称及品质、货值。</w:t>
      </w:r>
    </w:p>
    <w:p>
      <w:pPr>
        <w:keepNext/>
        <w:keepLines/>
        <w:jc w:val="center"/>
        <w:outlineLvl w:val="1"/>
        <w:rPr>
          <w:rFonts w:hint="eastAsia" w:ascii="宋体" w:hAnsi="宋体" w:eastAsia="宋体" w:cs="宋体"/>
          <w:bCs/>
          <w:sz w:val="24"/>
          <w:szCs w:val="24"/>
          <w:highlight w:val="none"/>
        </w:rPr>
      </w:pPr>
    </w:p>
    <w:p>
      <w:pPr>
        <w:keepNext/>
        <w:keepLines/>
        <w:jc w:val="center"/>
        <w:outlineLvl w:val="1"/>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第二节  供货方式</w:t>
      </w:r>
    </w:p>
    <w:p>
      <w:pPr>
        <w:spacing w:line="420" w:lineRule="exact"/>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一、供货方式</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二、供货地点：本项目建设工地。</w:t>
      </w:r>
    </w:p>
    <w:p>
      <w:pPr>
        <w:spacing w:line="42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三、供货时间</w:t>
      </w:r>
    </w:p>
    <w:p>
      <w:pPr>
        <w:pStyle w:val="17"/>
        <w:ind w:left="479" w:leftChars="228" w:firstLine="0" w:firstLineChars="0"/>
        <w:rPr>
          <w:rFonts w:hint="eastAsia" w:ascii="宋体" w:hAnsi="宋体" w:eastAsia="宋体" w:cs="宋体"/>
          <w:sz w:val="24"/>
          <w:szCs w:val="24"/>
          <w:highlight w:val="green"/>
          <w:lang w:eastAsia="zh-CN"/>
        </w:rPr>
      </w:pPr>
      <w:r>
        <w:rPr>
          <w:rFonts w:ascii="宋体" w:hAnsi="宋体" w:eastAsia="宋体" w:cs="宋体"/>
          <w:sz w:val="24"/>
          <w:szCs w:val="24"/>
          <w:highlight w:val="green"/>
        </w:rPr>
        <w:t>自中标通知书下发之日起，60个日历日之内交货至供货地点。</w:t>
      </w:r>
    </w:p>
    <w:p>
      <w:pPr>
        <w:pStyle w:val="17"/>
        <w:ind w:left="479" w:leftChars="228" w:firstLine="0" w:firstLineChars="0"/>
        <w:rPr>
          <w:rFonts w:hint="eastAsia" w:ascii="宋体" w:hAnsi="宋体" w:eastAsia="宋体" w:cs="宋体"/>
          <w:sz w:val="24"/>
          <w:szCs w:val="24"/>
          <w:highlight w:val="green"/>
          <w:lang w:eastAsia="zh-CN"/>
        </w:rPr>
      </w:pPr>
      <w:r>
        <w:rPr>
          <w:rFonts w:ascii="宋体" w:hAnsi="宋体" w:eastAsia="宋体" w:cs="宋体"/>
          <w:sz w:val="24"/>
          <w:szCs w:val="24"/>
          <w:highlight w:val="green"/>
        </w:rPr>
        <w:t>自中标通知书下发之日起，90个日历日之内安装调试完毕，并投入使用。</w:t>
      </w:r>
    </w:p>
    <w:p>
      <w:pPr>
        <w:pStyle w:val="17"/>
        <w:ind w:left="479" w:leftChars="228" w:firstLine="0" w:firstLineChars="0"/>
        <w:rPr>
          <w:rFonts w:hint="eastAsia" w:ascii="宋体" w:hAnsi="宋体" w:eastAsia="宋体" w:cs="宋体"/>
          <w:sz w:val="24"/>
          <w:szCs w:val="24"/>
          <w:highlight w:val="green"/>
          <w:lang w:eastAsia="zh-CN"/>
        </w:rPr>
      </w:pPr>
      <w:r>
        <w:rPr>
          <w:rFonts w:ascii="宋体" w:hAnsi="宋体" w:eastAsia="宋体" w:cs="宋体"/>
          <w:sz w:val="24"/>
          <w:szCs w:val="24"/>
          <w:highlight w:val="green"/>
        </w:rPr>
        <w:t>自中标通知书下发之日起，120个日历日之内试运行。</w:t>
      </w:r>
    </w:p>
    <w:p>
      <w:pPr>
        <w:pStyle w:val="17"/>
        <w:ind w:left="479" w:leftChars="228" w:firstLine="0" w:firstLineChars="0"/>
        <w:rPr>
          <w:rFonts w:hint="eastAsia" w:ascii="宋体" w:hAnsi="宋体" w:eastAsia="宋体" w:cs="宋体"/>
          <w:color w:val="000000"/>
          <w:sz w:val="24"/>
          <w:szCs w:val="24"/>
          <w:highlight w:val="green"/>
        </w:rPr>
      </w:pPr>
      <w:r>
        <w:rPr>
          <w:rFonts w:ascii="宋体" w:hAnsi="宋体" w:eastAsia="宋体" w:cs="宋体"/>
          <w:sz w:val="24"/>
          <w:szCs w:val="24"/>
          <w:highlight w:val="green"/>
        </w:rPr>
        <w:t>自中标通知书下发之日起，180个日历日之内完成终验收。</w:t>
      </w:r>
    </w:p>
    <w:p>
      <w:pPr>
        <w:pStyle w:val="11"/>
        <w:rPr>
          <w:rFonts w:hint="eastAsia" w:ascii="宋体" w:hAnsi="宋体" w:eastAsia="宋体" w:cs="宋体"/>
          <w:sz w:val="24"/>
          <w:szCs w:val="24"/>
          <w:highlight w:val="green"/>
        </w:rPr>
      </w:pPr>
      <w:r>
        <w:rPr>
          <w:rFonts w:hint="eastAsia" w:ascii="宋体" w:hAnsi="宋体" w:eastAsia="宋体" w:cs="宋体"/>
          <w:color w:val="000000"/>
          <w:sz w:val="24"/>
          <w:szCs w:val="24"/>
          <w:highlight w:val="green"/>
        </w:rPr>
        <w:t>安装调试工期超过</w:t>
      </w:r>
      <w:r>
        <w:rPr>
          <w:rFonts w:hint="eastAsia" w:ascii="宋体" w:hAnsi="宋体" w:eastAsia="宋体" w:cs="宋体"/>
          <w:color w:val="000000"/>
          <w:sz w:val="24"/>
          <w:szCs w:val="24"/>
          <w:highlight w:val="green"/>
          <w:u w:val="single"/>
        </w:rPr>
        <w:t>5个日历日</w:t>
      </w:r>
      <w:r>
        <w:rPr>
          <w:rFonts w:hint="eastAsia" w:ascii="宋体" w:hAnsi="宋体" w:eastAsia="宋体" w:cs="宋体"/>
          <w:color w:val="000000"/>
          <w:sz w:val="24"/>
          <w:szCs w:val="24"/>
          <w:highlight w:val="green"/>
        </w:rPr>
        <w:t>的，投标人应当随标书提供详细的工期计划。</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四、包装</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1、所提供货物（或设备）的包装，应遵照国家标准和有关包装、包皮的技术条件，或按照最好的商业惯例进行包装。</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3、所提供货物（或设备）的包装，应能防止其一般性被窃或受外力破坏；一般不得采用有大缝隙的板条包装。</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4、应对包装件做必要的加固和固定，以防止运输可能造成的损坏。</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8、包装箱应连续编号，不应出现重复编号。</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9、在不受到外界破坏情况下，包装应保证自交货日起一年内货物（或设备）完好无损。</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五、运输</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1、应负责将货物（或设备）运到目的地，并必须做到货物（或设备）在任何运输过程中不受损坏和遗失。</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2、同批货物（或设备）应统一包装、编号运输。</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3、一般情况下，经由铁路、公路运输的包装件尺寸和重量不应超过国家所规定的尺寸限制。特殊情况应予以说明。</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5、货物（或设备）运抵交货地点后，应负责货物（或设备）的卸货、搬运、保管等事宜；或按照合同约定。</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p>
    <w:p>
      <w:pPr>
        <w:keepNext/>
        <w:keepLines/>
        <w:jc w:val="center"/>
        <w:outlineLvl w:val="0"/>
        <w:rPr>
          <w:rFonts w:hint="eastAsia" w:ascii="宋体" w:hAnsi="宋体" w:eastAsia="宋体" w:cs="宋体"/>
          <w:b/>
          <w:color w:val="000000"/>
          <w:kern w:val="44"/>
          <w:sz w:val="24"/>
          <w:szCs w:val="24"/>
          <w:highlight w:val="none"/>
        </w:rPr>
      </w:pPr>
      <w:r>
        <w:rPr>
          <w:rFonts w:hint="eastAsia" w:ascii="宋体" w:hAnsi="宋体" w:eastAsia="宋体" w:cs="宋体"/>
          <w:bCs/>
          <w:color w:val="000000"/>
          <w:kern w:val="44"/>
          <w:sz w:val="24"/>
          <w:szCs w:val="24"/>
          <w:highlight w:val="green"/>
        </w:rPr>
        <w:br w:type="page"/>
      </w:r>
      <w:r>
        <w:rPr>
          <w:rFonts w:hint="eastAsia" w:ascii="宋体" w:hAnsi="宋体" w:eastAsia="宋体" w:cs="宋体"/>
          <w:b/>
          <w:color w:val="000000"/>
          <w:kern w:val="44"/>
          <w:sz w:val="24"/>
          <w:szCs w:val="24"/>
          <w:highlight w:val="none"/>
        </w:rPr>
        <w:t>第四章  质保期及售后服务</w:t>
      </w:r>
    </w:p>
    <w:p>
      <w:pPr>
        <w:spacing w:line="42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一、质保期及质保要求</w:t>
      </w:r>
    </w:p>
    <w:p>
      <w:pPr>
        <w:spacing w:line="420" w:lineRule="exact"/>
        <w:ind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1、全部供货范围内的设备、材料、零配件和工器具等，除合同特别约定外，其质保期均自终验收签字生效之日起</w:t>
      </w:r>
      <w:r>
        <w:rPr>
          <w:rFonts w:hint="eastAsia" w:ascii="宋体" w:hAnsi="宋体" w:eastAsia="宋体" w:cs="宋体"/>
          <w:b/>
          <w:bCs/>
          <w:color w:val="000000"/>
          <w:sz w:val="24"/>
          <w:szCs w:val="24"/>
          <w:highlight w:val="none"/>
          <w:u w:val="single"/>
        </w:rPr>
        <w:t>12</w:t>
      </w:r>
      <w:r>
        <w:rPr>
          <w:rFonts w:hint="eastAsia" w:ascii="宋体" w:hAnsi="宋体" w:eastAsia="宋体" w:cs="宋体"/>
          <w:b/>
          <w:bCs/>
          <w:color w:val="000000"/>
          <w:sz w:val="24"/>
          <w:szCs w:val="24"/>
          <w:highlight w:val="none"/>
        </w:rPr>
        <w:t>个月。</w:t>
      </w:r>
    </w:p>
    <w:p>
      <w:pPr>
        <w:spacing w:line="42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投标货物或涉及的关键总成和零件，如果有更长时间质保期，允许更改并说明，此将有利于投标方。</w:t>
      </w:r>
    </w:p>
    <w:p>
      <w:pPr>
        <w:spacing w:line="42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设计使用寿命短于质保期的易损件除外，但属于易损件的，应当有明确说明。</w:t>
      </w:r>
    </w:p>
    <w:p>
      <w:pPr>
        <w:spacing w:line="42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3、质保期内免费提供零部件和及时有效的服务。质保期内因货物本身缺陷造成的各种故障，卖方应负责免费维修和服务。</w:t>
      </w:r>
    </w:p>
    <w:p>
      <w:pPr>
        <w:spacing w:line="42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4、质保期终止之日起一年内重复出现的质保期之内出现的故障，仍属质保范围而且应当免费。</w:t>
      </w:r>
    </w:p>
    <w:p>
      <w:pPr>
        <w:spacing w:line="420" w:lineRule="exact"/>
        <w:ind w:firstLine="480" w:firstLineChars="200"/>
        <w:jc w:val="left"/>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5、用户享有软件升级知情权，验收之日起投标方1年内免费对软件进行升级，1年以后的升级费用不高于用户或其他用户的供货价格，并确保升级软件与硬件的兼容性。</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二、技术及培训服务</w:t>
      </w:r>
    </w:p>
    <w:p>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sz w:val="24"/>
          <w:szCs w:val="24"/>
          <w:highlight w:val="none"/>
          <w:u w:val="single"/>
        </w:rPr>
        <w:t>5</w:t>
      </w:r>
      <w:r>
        <w:rPr>
          <w:rFonts w:hint="eastAsia" w:ascii="宋体" w:hAnsi="宋体" w:eastAsia="宋体" w:cs="宋体"/>
          <w:sz w:val="24"/>
          <w:szCs w:val="24"/>
          <w:highlight w:val="none"/>
        </w:rPr>
        <w:t>个工作日。</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2、应免费提供一定数量的培训资料。</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三、安装调试及验收服务</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5、卖方应当向买方提供货物试验、验收的有关标准、规范和方法，同时提供货物涉及并使用的软件合法性证明。</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四、售后服务</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2、如发现所提供的货物存在问题，需要卖方解决或配合解决时：在质保期之内，应在接到通知后</w:t>
      </w:r>
      <w:r>
        <w:rPr>
          <w:rFonts w:hint="eastAsia" w:ascii="宋体" w:hAnsi="宋体" w:eastAsia="宋体" w:cs="宋体"/>
          <w:color w:val="000000"/>
          <w:sz w:val="24"/>
          <w:szCs w:val="24"/>
          <w:highlight w:val="none"/>
          <w:u w:val="single"/>
          <w:shd w:val="pct10" w:color="auto" w:fill="FFFFFF"/>
        </w:rPr>
        <w:t xml:space="preserve">  24   </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rPr>
        <w:t xml:space="preserve">  72   </w:t>
      </w:r>
      <w:r>
        <w:rPr>
          <w:rFonts w:hint="eastAsia" w:ascii="宋体" w:hAnsi="宋体" w:eastAsia="宋体" w:cs="宋体"/>
          <w:color w:val="000000"/>
          <w:sz w:val="24"/>
          <w:szCs w:val="24"/>
          <w:highlight w:val="none"/>
        </w:rPr>
        <w:t>小时内派有关人员到达现场。</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五、其它服务</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1、若卖方所提供货物有需要进口的，卖方一般应自行、自费办理；必要时，买卖双方共同办理。</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2、除招标文件、投标文件、答疑文件、技术协议、合同等约定之外，卖方应免费负责必要的或强制性的货物的检验、试验、化验等直接费用。</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3、本章节条款所列“免费”，并非指定不可收费，而是指招标文件、投标文件、答疑文件、技术交流文件、技术协议书和合同等范围之外，投标方不可另行收取的费用。</w:t>
      </w:r>
    </w:p>
    <w:p>
      <w:pPr>
        <w:keepNext/>
        <w:keepLines/>
        <w:jc w:val="center"/>
        <w:outlineLvl w:val="0"/>
        <w:rPr>
          <w:rFonts w:hint="eastAsia" w:ascii="宋体" w:hAnsi="宋体" w:eastAsia="宋体" w:cs="宋体"/>
          <w:b/>
          <w:color w:val="000000"/>
          <w:kern w:val="44"/>
          <w:sz w:val="24"/>
          <w:szCs w:val="24"/>
          <w:highlight w:val="none"/>
        </w:rPr>
      </w:pPr>
      <w:r>
        <w:rPr>
          <w:rFonts w:hint="eastAsia" w:ascii="宋体" w:hAnsi="宋体" w:eastAsia="宋体" w:cs="宋体"/>
          <w:bCs/>
          <w:color w:val="000000"/>
          <w:kern w:val="44"/>
          <w:sz w:val="24"/>
          <w:szCs w:val="24"/>
          <w:highlight w:val="none"/>
        </w:rPr>
        <w:br w:type="page"/>
      </w:r>
      <w:r>
        <w:rPr>
          <w:rFonts w:hint="eastAsia" w:ascii="宋体" w:hAnsi="宋体" w:eastAsia="宋体" w:cs="宋体"/>
          <w:b/>
          <w:color w:val="000000"/>
          <w:kern w:val="44"/>
          <w:sz w:val="24"/>
          <w:szCs w:val="24"/>
          <w:highlight w:val="none"/>
        </w:rPr>
        <w:t>第五章  预验收和终验收</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一、验收依据和验收标准</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二、检验</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2、进口货物的检验，卖方需要按照下述要求进行：</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应依据合同规定的要求，提供买卖双方达成一致的货物的验收标准和装箱单，作为买方检验的依据。</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三、验收基本条件</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1、预验收一般条件（本项目无需预验收）</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  卖方已经按照“供货范围”要求提供了预验收资料，并且资料齐全、完整和有效。</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  一般情况下，所有的管路和线缆等，接头应完全正确、可靠地联接；应排列有序（正确、牢固、整齐），有必要的防护，无皱褶、收缩和裂缝等不良现象。</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  使用的压力容器、电气等应具备合格证（如果有压力容器）。</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  货物的油漆质量应饱满、有光泽，无掉漆、无色差、无“桔皮”等不良现象（特殊标志除外）。</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  货物标牌完整、清晰、明确。</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  货物的安全要求符合中国最新的相关法律、法规、标准和规范以及合同要求。</w:t>
      </w:r>
    </w:p>
    <w:p>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2、预验收基本要求</w:t>
      </w:r>
    </w:p>
    <w:p>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  设备构成、备件齐全</w:t>
      </w:r>
    </w:p>
    <w:p>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  设备技术原理符合标书要求</w:t>
      </w:r>
    </w:p>
    <w:p>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  预验收原则上要求一次完成。若一次验收不成功，最多允许两次；如果出现第三次验收失败，重新作价或退货；</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3、终验收一般条件</w:t>
      </w:r>
    </w:p>
    <w:p>
      <w:pPr>
        <w:spacing w:line="520" w:lineRule="exact"/>
        <w:ind w:firstLine="360" w:firstLineChars="15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 xml:space="preserve">3.1  </w:t>
      </w:r>
      <w:r>
        <w:rPr>
          <w:rFonts w:hint="eastAsia" w:ascii="宋体" w:hAnsi="宋体" w:eastAsia="宋体" w:cs="宋体"/>
          <w:sz w:val="24"/>
          <w:szCs w:val="24"/>
          <w:highlight w:val="none"/>
        </w:rPr>
        <w:t>依据招标文件、投标文件、答疑文件、技术交流文件等形成并达成一致的技术协议书和合同规定的终验收条件验收。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3.2 出现下列问题之一，视作验收失败：</w:t>
      </w:r>
    </w:p>
    <w:p>
      <w:pPr>
        <w:adjustRightInd w:val="0"/>
        <w:snapToGrid w:val="0"/>
        <w:spacing w:line="360" w:lineRule="auto"/>
        <w:ind w:firstLine="480" w:firstLineChars="200"/>
        <w:rPr>
          <w:rFonts w:hint="eastAsia" w:ascii="宋体" w:hAnsi="宋体" w:eastAsia="宋体" w:cs="宋体"/>
          <w:sz w:val="24"/>
          <w:szCs w:val="24"/>
          <w:highlight w:val="green"/>
        </w:rPr>
      </w:pPr>
      <w:r>
        <w:rPr>
          <w:rFonts w:hint="eastAsia" w:ascii="宋体" w:hAnsi="宋体" w:eastAsia="宋体" w:cs="宋体"/>
          <w:sz w:val="24"/>
          <w:szCs w:val="24"/>
          <w:highlight w:val="green"/>
        </w:rPr>
        <w:t>3.2.1 设备验收时，其参数无法满足招标书中的技术要求。</w:t>
      </w:r>
    </w:p>
    <w:p>
      <w:pPr>
        <w:adjustRightInd w:val="0"/>
        <w:snapToGrid w:val="0"/>
        <w:spacing w:line="360" w:lineRule="auto"/>
        <w:ind w:firstLine="480" w:firstLineChars="200"/>
        <w:rPr>
          <w:rFonts w:hint="eastAsia" w:ascii="宋体" w:hAnsi="宋体" w:eastAsia="宋体" w:cs="宋体"/>
          <w:sz w:val="24"/>
          <w:szCs w:val="24"/>
          <w:highlight w:val="green"/>
        </w:rPr>
      </w:pPr>
      <w:r>
        <w:rPr>
          <w:rFonts w:hint="eastAsia" w:ascii="宋体" w:hAnsi="宋体" w:eastAsia="宋体" w:cs="宋体"/>
          <w:sz w:val="24"/>
          <w:szCs w:val="24"/>
          <w:highlight w:val="green"/>
        </w:rPr>
        <w:t>3.2.2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highlight w:val="green"/>
        </w:rPr>
      </w:pPr>
      <w:r>
        <w:rPr>
          <w:rFonts w:hint="eastAsia" w:ascii="宋体" w:hAnsi="宋体" w:eastAsia="宋体" w:cs="宋体"/>
          <w:sz w:val="24"/>
          <w:szCs w:val="24"/>
          <w:highlight w:val="green"/>
        </w:rPr>
        <w:t>3.2.3 更换的零部件货值超过总货值的</w:t>
      </w:r>
      <w:r>
        <w:rPr>
          <w:rFonts w:hint="eastAsia" w:ascii="宋体" w:hAnsi="宋体" w:eastAsia="宋体" w:cs="宋体"/>
          <w:sz w:val="24"/>
          <w:szCs w:val="24"/>
          <w:highlight w:val="green"/>
          <w:u w:val="single"/>
          <w:shd w:val="pct10" w:color="auto" w:fill="FFFFFF"/>
        </w:rPr>
        <w:t>1</w:t>
      </w:r>
      <w:r>
        <w:rPr>
          <w:rFonts w:hint="eastAsia" w:ascii="宋体" w:hAnsi="宋体" w:eastAsia="宋体" w:cs="宋体"/>
          <w:sz w:val="24"/>
          <w:szCs w:val="24"/>
          <w:highlight w:val="green"/>
        </w:rPr>
        <w:t>%。</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3.5 终验收通过后买卖双方共同签署终验收报告，并移交、核对全部供货范围内物品。</w:t>
      </w:r>
    </w:p>
    <w:p>
      <w:pPr>
        <w:keepNext/>
        <w:keepLines/>
        <w:jc w:val="center"/>
        <w:outlineLvl w:val="0"/>
        <w:rPr>
          <w:rFonts w:hint="eastAsia" w:ascii="宋体" w:hAnsi="宋体" w:eastAsia="宋体" w:cs="宋体"/>
          <w:b/>
          <w:color w:val="000000"/>
          <w:kern w:val="44"/>
          <w:sz w:val="24"/>
          <w:szCs w:val="24"/>
          <w:highlight w:val="none"/>
        </w:rPr>
      </w:pPr>
    </w:p>
    <w:p>
      <w:pPr>
        <w:pStyle w:val="11"/>
        <w:rPr>
          <w:rFonts w:hint="eastAsia" w:ascii="宋体" w:hAnsi="宋体" w:eastAsia="宋体" w:cs="宋体"/>
          <w:sz w:val="24"/>
          <w:szCs w:val="24"/>
          <w:highlight w:val="none"/>
        </w:rPr>
      </w:pPr>
    </w:p>
    <w:p>
      <w:pPr>
        <w:keepNext/>
        <w:keepLines/>
        <w:jc w:val="center"/>
        <w:outlineLvl w:val="0"/>
        <w:rPr>
          <w:rFonts w:hint="eastAsia" w:ascii="宋体" w:hAnsi="宋体" w:eastAsia="宋体" w:cs="宋体"/>
          <w:b/>
          <w:color w:val="000000"/>
          <w:kern w:val="44"/>
          <w:sz w:val="24"/>
          <w:szCs w:val="24"/>
          <w:highlight w:val="none"/>
        </w:rPr>
      </w:pPr>
      <w:r>
        <w:rPr>
          <w:rFonts w:hint="eastAsia" w:ascii="宋体" w:hAnsi="宋体" w:eastAsia="宋体" w:cs="宋体"/>
          <w:b/>
          <w:color w:val="000000"/>
          <w:kern w:val="44"/>
          <w:sz w:val="24"/>
          <w:szCs w:val="24"/>
          <w:highlight w:val="none"/>
        </w:rPr>
        <w:t>第六章  投标技术文件一般要求</w:t>
      </w:r>
    </w:p>
    <w:p>
      <w:pPr>
        <w:keepNext/>
        <w:keepLines/>
        <w:jc w:val="left"/>
        <w:outlineLvl w:val="1"/>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一、技术文件一般内容要求</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1、投标方应认真阅读招标文件和本技术标书，并按要求编写投标技术文件。</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2、投标技术文件至少应对投标货物的功能用途、技术性能、质量标准、技术参数等作出详细说明。</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3、投标技术文件至少应根据投标货物的关键设备、总成、零部件或系统作出满足或优于招标文件要求的详细说明。</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4、投标技术文件至少应按照招标文件要求（或投标方建议）列明备品备件、易损件和专用耗材明细。</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5、投标方应当而且必须分别说明所列备品备件、易损件和专用耗材的使用寿命（以有效工作小时数说明）。</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6、“开标一览表”和“明细表”仅作为投标方编制投标技术文件的一般格式。其中序号编写应当便于招标方了解分类或分项货物之间的所属关系，如1、1.1、1.2。</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7、应当尽可能将货物的配置列全、列细，这将有助于投标方胜出。</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8、单价与总价之间、总价与分类小计价之间、分类小计价与合计价之间数据应当齐全而且准确。</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9、本条款表格中的制造商，应当为全称或公认的简称。</w:t>
      </w:r>
    </w:p>
    <w:p>
      <w:pPr>
        <w:keepNext/>
        <w:keepLines/>
        <w:jc w:val="left"/>
        <w:outlineLvl w:val="1"/>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二、技术文件中货物报价格式要求</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2、如果投标总报价与其它价格出现错误或不一致，将有可能导致废标。</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4、要求投标总报价、分项报价、明细报价之间应当具有相互间对应关系以及填报分项和明细报价，仅为便于评标而不妨碍投标人以最合适的形式签署合同。</w:t>
      </w:r>
    </w:p>
    <w:p>
      <w:pPr>
        <w:keepNext/>
        <w:keepLines/>
        <w:jc w:val="left"/>
        <w:outlineLvl w:val="1"/>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三、验收标准及内容要求</w:t>
      </w:r>
    </w:p>
    <w:p>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pPr>
        <w:keepNext/>
        <w:keepLines/>
        <w:spacing w:before="120" w:after="120" w:line="480" w:lineRule="exact"/>
        <w:jc w:val="center"/>
        <w:outlineLvl w:val="0"/>
        <w:rPr>
          <w:rFonts w:hint="eastAsia" w:ascii="宋体" w:hAnsi="宋体" w:eastAsia="宋体" w:cs="宋体"/>
          <w:bCs/>
          <w:color w:val="000000"/>
          <w:kern w:val="44"/>
          <w:sz w:val="24"/>
          <w:szCs w:val="24"/>
          <w:highlight w:val="none"/>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keepNext/>
        <w:keepLines/>
        <w:jc w:val="center"/>
        <w:outlineLvl w:val="0"/>
        <w:rPr>
          <w:rFonts w:hint="eastAsia" w:ascii="宋体" w:hAnsi="宋体" w:eastAsia="宋体" w:cs="宋体"/>
          <w:b/>
          <w:color w:val="000000"/>
          <w:kern w:val="44"/>
          <w:sz w:val="24"/>
          <w:szCs w:val="24"/>
          <w:highlight w:val="none"/>
        </w:rPr>
      </w:pPr>
      <w:r>
        <w:rPr>
          <w:rFonts w:hint="eastAsia" w:ascii="宋体" w:hAnsi="宋体" w:eastAsia="宋体" w:cs="宋体"/>
          <w:b/>
          <w:color w:val="000000"/>
          <w:kern w:val="44"/>
          <w:sz w:val="24"/>
          <w:szCs w:val="24"/>
          <w:highlight w:val="none"/>
        </w:rPr>
        <w:t>第七章  其它要求及说明</w:t>
      </w:r>
    </w:p>
    <w:p>
      <w:pPr>
        <w:keepNext/>
        <w:keepLines/>
        <w:jc w:val="left"/>
        <w:outlineLvl w:val="1"/>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一、要求</w:t>
      </w:r>
    </w:p>
    <w:p>
      <w:pPr>
        <w:spacing w:after="120" w:line="420" w:lineRule="exact"/>
        <w:ind w:left="420" w:left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为保证本技术标书所列采购货物的质量以及先进性、可靠性、经济性和实用性，要求投标方在投标文件中，至少应具备以下资格证明文件或资料：</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2、投标方应当是通过有关资格认证的法人。应当在投标文件中提供有效期内的资格认证证书，如：ISO9001、VDA6.1、QS9000等。</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3、国产设备应附有采购货物（或设备）涉及的由“中国质量认证中心”颁发的《中国国家强制性产品认证证书》（CCC证书）。</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4、应附有其它与投标单位、采购货物有关的荣誉证书或资料。</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5.1  国家相关机构颁发的有效期之内所必需的《生产许可证》。</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5.2  产品（或技术）鉴定报告/证书、专利证书或专利许可证书、新技术成果证书等。</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5.3  产品相关检验、试验报告，如：型式试验检验报告、安全试验检验报告、电弧效应试验报告、噪声检测报告等</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5.4  其它能够证明所供货物的质量水平、技术水平、安全性水平、节能性水平、环保性水平等相关的其它证明文件或资料、报告等。</w:t>
      </w:r>
    </w:p>
    <w:p>
      <w:pPr>
        <w:spacing w:line="420" w:lineRule="exact"/>
        <w:ind w:firstLine="477" w:firstLineChars="19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5.5  该类报告或证明材料对于投标方胜出乃至中标极为重要！</w:t>
      </w:r>
    </w:p>
    <w:p>
      <w:pPr>
        <w:spacing w:line="420" w:lineRule="exact"/>
        <w:ind w:firstLine="479" w:firstLineChars="199"/>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6、必须附有：2020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keepNext/>
        <w:keepLines/>
        <w:jc w:val="left"/>
        <w:outlineLvl w:val="1"/>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二、说明</w:t>
      </w:r>
    </w:p>
    <w:p>
      <w:pPr>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宋体" w:hAnsi="宋体" w:eastAsia="宋体" w:cs="宋体"/>
          <w:color w:val="000000"/>
          <w:sz w:val="24"/>
          <w:szCs w:val="24"/>
          <w:highlight w:val="none"/>
        </w:rPr>
        <w:t>2、即使有建议意见或建议方案，仍应依据招标文件和本技术标书要求，编写符合</w:t>
      </w:r>
      <w:r>
        <w:rPr>
          <w:rFonts w:ascii="Times New Roman" w:hAnsi="Times New Roman" w:eastAsia="宋体" w:cs="Times New Roman"/>
          <w:color w:val="000000"/>
          <w:sz w:val="24"/>
          <w:szCs w:val="20"/>
          <w:highlight w:val="none"/>
        </w:rPr>
        <w:t>要求的投标文件。建议方案或建议意见，应以单独篇章或文件，予以说明和报价。</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w:t>
      </w:r>
      <w:r>
        <w:rPr>
          <w:rFonts w:ascii="Times New Roman" w:hAnsi="Times New Roman" w:eastAsia="宋体" w:cs="Times New Roman"/>
          <w:color w:val="000000"/>
          <w:sz w:val="24"/>
          <w:szCs w:val="20"/>
          <w:highlight w:val="none"/>
        </w:rPr>
        <w:t>、招标文件、投标文件、答疑文件、技术交流文件、技术协议书等，在采购过程全部为有效文件，如有差异，以对招标方最有利的条款为准。</w:t>
      </w:r>
    </w:p>
    <w:p>
      <w:pPr>
        <w:adjustRightInd w:val="0"/>
        <w:snapToGrid w:val="0"/>
        <w:spacing w:line="420" w:lineRule="exact"/>
        <w:ind w:firstLine="480" w:firstLineChars="200"/>
        <w:rPr>
          <w:rFonts w:ascii="宋体" w:hAnsi="宋体" w:eastAsia="宋体" w:cs="宋体"/>
          <w:b w:val="0"/>
          <w:sz w:val="24"/>
          <w:szCs w:val="24"/>
          <w:highlight w:val="none"/>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r>
        <w:rPr>
          <w:rFonts w:hint="eastAsia" w:ascii="Times New Roman" w:hAnsi="Times New Roman" w:eastAsia="宋体" w:cs="Times New Roman"/>
          <w:color w:val="000000"/>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p>
    <w:p>
      <w:pPr>
        <w:adjustRightInd w:val="0"/>
        <w:snapToGrid w:val="0"/>
        <w:spacing w:line="240" w:lineRule="auto"/>
        <w:jc w:val="left"/>
        <w:rPr>
          <w:rFonts w:hAnsi="宋体" w:eastAsia="宋体" w:cs="Times New Roman"/>
          <w:b/>
          <w:color w:val="000000"/>
          <w:sz w:val="24"/>
          <w:szCs w:val="24"/>
        </w:rPr>
      </w:pPr>
    </w:p>
    <w:p>
      <w:pPr>
        <w:pStyle w:val="17"/>
      </w:pPr>
    </w:p>
    <w:p>
      <w:pPr>
        <w:spacing w:line="360" w:lineRule="auto"/>
        <w:jc w:val="center"/>
        <w:outlineLvl w:val="0"/>
        <w:rPr>
          <w:rFonts w:ascii="宋体" w:hAnsi="Calibri" w:eastAsia="宋体" w:cs="Times New Roman"/>
          <w:b/>
          <w:sz w:val="36"/>
          <w:szCs w:val="36"/>
        </w:rPr>
      </w:pPr>
      <w:bookmarkStart w:id="47"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7"/>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8"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9" w:name="_Toc11823"/>
      <w:bookmarkStart w:id="50" w:name="_Toc16330018"/>
      <w:bookmarkStart w:id="51" w:name="_Toc11930"/>
      <w:bookmarkStart w:id="52" w:name="_Toc17619"/>
      <w:r>
        <w:rPr>
          <w:rFonts w:hint="eastAsia" w:ascii="黑体" w:hAnsi="黑体" w:eastAsia="黑体" w:cstheme="minorEastAsia"/>
          <w:b w:val="0"/>
          <w:sz w:val="28"/>
          <w:szCs w:val="28"/>
        </w:rPr>
        <w:t>1 合同设备</w:t>
      </w:r>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3" w:name="_Toc29026"/>
      <w:bookmarkStart w:id="54" w:name="_Toc22800"/>
      <w:bookmarkStart w:id="55"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w:t>
      </w:r>
      <w:r>
        <w:rPr>
          <w:rFonts w:ascii="仿宋_GB2312" w:eastAsia="仿宋_GB2312" w:hAnsiTheme="minorEastAsia" w:cstheme="minorEastAsia"/>
          <w:sz w:val="24"/>
          <w:szCs w:val="24"/>
        </w:rPr>
        <w:t>图纸、程序权限及接口协议要求</w:t>
      </w:r>
      <w:r>
        <w:rPr>
          <w:rFonts w:hint="eastAsia" w:ascii="仿宋_GB2312" w:eastAsia="仿宋_GB2312" w:hAnsiTheme="minorEastAsia" w:cstheme="minorEastAsia"/>
          <w:sz w:val="24"/>
          <w:szCs w:val="24"/>
        </w:rPr>
        <w:t>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16330019"/>
      <w:r>
        <w:rPr>
          <w:rFonts w:hint="eastAsia" w:ascii="黑体" w:hAnsi="黑体" w:eastAsia="黑体" w:cstheme="minorEastAsia"/>
          <w:b w:val="0"/>
          <w:sz w:val="28"/>
          <w:szCs w:val="28"/>
        </w:rPr>
        <w:t>2 包装</w:t>
      </w:r>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2833"/>
      <w:bookmarkStart w:id="58" w:name="_Toc16330020"/>
      <w:bookmarkStart w:id="59" w:name="_Toc27144"/>
      <w:bookmarkStart w:id="60" w:name="_Toc27453"/>
      <w:r>
        <w:rPr>
          <w:rFonts w:hint="eastAsia" w:ascii="黑体" w:hAnsi="黑体" w:eastAsia="黑体" w:cstheme="minorEastAsia"/>
          <w:b w:val="0"/>
          <w:sz w:val="28"/>
          <w:szCs w:val="28"/>
        </w:rPr>
        <w:t>3 运输标记</w:t>
      </w:r>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16330021"/>
      <w:bookmarkStart w:id="62" w:name="_Toc16133"/>
      <w:bookmarkStart w:id="63" w:name="_Toc7431"/>
      <w:bookmarkStart w:id="64" w:name="_Toc10630"/>
      <w:r>
        <w:rPr>
          <w:rFonts w:hint="eastAsia" w:ascii="黑体" w:hAnsi="黑体" w:eastAsia="黑体" w:cstheme="minorEastAsia"/>
          <w:b w:val="0"/>
          <w:sz w:val="28"/>
          <w:szCs w:val="28"/>
        </w:rPr>
        <w:t>4 检验</w:t>
      </w:r>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6330022"/>
      <w:bookmarkStart w:id="66" w:name="_Toc19850"/>
      <w:bookmarkStart w:id="67" w:name="_Toc24467"/>
      <w:bookmarkStart w:id="68" w:name="_Toc11217"/>
      <w:r>
        <w:rPr>
          <w:rFonts w:hint="eastAsia" w:ascii="黑体" w:hAnsi="黑体" w:eastAsia="黑体" w:cstheme="minorEastAsia"/>
          <w:b w:val="0"/>
          <w:sz w:val="28"/>
          <w:szCs w:val="28"/>
        </w:rPr>
        <w:t>5 权利担保</w:t>
      </w:r>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11759"/>
      <w:bookmarkStart w:id="70" w:name="_Toc16330023"/>
      <w:bookmarkStart w:id="71" w:name="_Toc27500"/>
      <w:bookmarkStart w:id="72" w:name="_Toc14809"/>
      <w:r>
        <w:rPr>
          <w:rFonts w:hint="eastAsia" w:ascii="黑体" w:hAnsi="黑体" w:eastAsia="黑体" w:cstheme="minorEastAsia"/>
          <w:b w:val="0"/>
          <w:sz w:val="28"/>
          <w:szCs w:val="28"/>
        </w:rPr>
        <w:t>6 交货</w:t>
      </w:r>
      <w:bookmarkEnd w:id="69"/>
      <w:bookmarkEnd w:id="70"/>
      <w:bookmarkEnd w:id="71"/>
      <w:bookmarkEnd w:id="7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2984"/>
      <w:bookmarkStart w:id="74" w:name="_Toc25510"/>
      <w:bookmarkStart w:id="75" w:name="_Toc8024"/>
      <w:bookmarkStart w:id="76" w:name="_Toc16330024"/>
      <w:r>
        <w:rPr>
          <w:rFonts w:hint="eastAsia" w:ascii="黑体" w:hAnsi="黑体" w:eastAsia="黑体" w:cstheme="minorEastAsia"/>
          <w:b w:val="0"/>
          <w:sz w:val="28"/>
          <w:szCs w:val="28"/>
        </w:rPr>
        <w:t>7 安装、调试</w:t>
      </w:r>
      <w:bookmarkEnd w:id="73"/>
      <w:bookmarkEnd w:id="74"/>
      <w:bookmarkEnd w:id="75"/>
      <w:bookmarkEnd w:id="76"/>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6330025"/>
      <w:bookmarkStart w:id="78" w:name="_Toc14260"/>
      <w:bookmarkStart w:id="79" w:name="_Toc6350"/>
      <w:bookmarkStart w:id="80" w:name="_Toc14098"/>
      <w:r>
        <w:rPr>
          <w:rFonts w:hint="eastAsia" w:ascii="黑体" w:hAnsi="黑体" w:eastAsia="黑体" w:cstheme="minorEastAsia"/>
          <w:b w:val="0"/>
          <w:sz w:val="28"/>
          <w:szCs w:val="28"/>
        </w:rPr>
        <w:t>8 价款与支付</w:t>
      </w:r>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1" w:name="_Toc14531628"/>
      <w:bookmarkStart w:id="82"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1"/>
      <w:bookmarkEnd w:id="82"/>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6726"/>
      <w:bookmarkStart w:id="84" w:name="_Toc16330026"/>
      <w:bookmarkStart w:id="85" w:name="_Toc24085"/>
      <w:bookmarkStart w:id="86" w:name="_Toc25708"/>
      <w:r>
        <w:rPr>
          <w:rFonts w:hint="eastAsia" w:ascii="黑体" w:hAnsi="黑体" w:eastAsia="黑体" w:cstheme="minorEastAsia"/>
          <w:b w:val="0"/>
          <w:sz w:val="28"/>
          <w:szCs w:val="28"/>
        </w:rPr>
        <w:t>9 质量保证及售后服务</w:t>
      </w:r>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16330027"/>
      <w:bookmarkStart w:id="88" w:name="_Toc12927"/>
      <w:bookmarkStart w:id="89" w:name="_Toc15570"/>
      <w:bookmarkStart w:id="90" w:name="_Toc10359"/>
      <w:r>
        <w:rPr>
          <w:rFonts w:hint="eastAsia" w:ascii="黑体" w:hAnsi="黑体" w:eastAsia="黑体" w:cstheme="minorEastAsia"/>
          <w:b w:val="0"/>
          <w:sz w:val="28"/>
          <w:szCs w:val="28"/>
        </w:rPr>
        <w:t>10法定责任</w:t>
      </w:r>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30381"/>
      <w:bookmarkStart w:id="92" w:name="_Toc16330028"/>
      <w:bookmarkStart w:id="93" w:name="_Toc27314"/>
      <w:bookmarkStart w:id="94" w:name="_Toc9708"/>
      <w:r>
        <w:rPr>
          <w:rFonts w:hint="eastAsia" w:ascii="黑体" w:hAnsi="黑体" w:eastAsia="黑体" w:cstheme="minorEastAsia"/>
          <w:b w:val="0"/>
          <w:sz w:val="28"/>
          <w:szCs w:val="28"/>
        </w:rPr>
        <w:t>11 违约责任</w:t>
      </w:r>
      <w:bookmarkEnd w:id="91"/>
      <w:bookmarkEnd w:id="92"/>
      <w:bookmarkEnd w:id="93"/>
      <w:bookmarkEnd w:id="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9172"/>
      <w:bookmarkStart w:id="96" w:name="_Toc31554"/>
      <w:bookmarkStart w:id="97" w:name="_Toc1827"/>
      <w:bookmarkStart w:id="98" w:name="_Toc16330029"/>
      <w:r>
        <w:rPr>
          <w:rFonts w:hint="eastAsia" w:ascii="黑体" w:hAnsi="黑体" w:eastAsia="黑体" w:cstheme="minorEastAsia"/>
          <w:b w:val="0"/>
          <w:sz w:val="28"/>
          <w:szCs w:val="28"/>
        </w:rPr>
        <w:t>12 合同的终止与解除</w:t>
      </w:r>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16330030"/>
      <w:bookmarkStart w:id="100" w:name="_Toc31945"/>
      <w:bookmarkStart w:id="101" w:name="_Toc13671"/>
      <w:bookmarkStart w:id="102" w:name="_Toc8620"/>
      <w:r>
        <w:rPr>
          <w:rFonts w:hint="eastAsia" w:ascii="黑体" w:hAnsi="黑体" w:eastAsia="黑体" w:cstheme="minorEastAsia"/>
          <w:b w:val="0"/>
          <w:sz w:val="28"/>
          <w:szCs w:val="28"/>
        </w:rPr>
        <w:t>13 不可抗力</w:t>
      </w:r>
      <w:bookmarkEnd w:id="99"/>
      <w:bookmarkEnd w:id="100"/>
      <w:bookmarkEnd w:id="101"/>
      <w:bookmarkEnd w:id="1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30389"/>
      <w:bookmarkStart w:id="104" w:name="_Toc637"/>
      <w:bookmarkStart w:id="105" w:name="_Toc16330031"/>
      <w:bookmarkStart w:id="106" w:name="_Toc31243"/>
      <w:r>
        <w:rPr>
          <w:rFonts w:hint="eastAsia" w:ascii="黑体" w:hAnsi="黑体" w:eastAsia="黑体" w:cstheme="minorEastAsia"/>
          <w:b w:val="0"/>
          <w:sz w:val="28"/>
          <w:szCs w:val="28"/>
        </w:rPr>
        <w:t>14 通讯</w:t>
      </w:r>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bookmarkStart w:id="107" w:name="_Toc12984"/>
      <w:bookmarkStart w:id="108" w:name="_Toc9915"/>
      <w:bookmarkStart w:id="109" w:name="_Toc11290"/>
      <w:bookmarkStart w:id="110" w:name="_Toc16330032"/>
      <w:r>
        <w:rPr>
          <w:rFonts w:hint="eastAsia" w:ascii="黑体" w:hAnsi="黑体" w:eastAsia="黑体" w:cstheme="minorEastAsia"/>
          <w:b w:val="0"/>
          <w:sz w:val="28"/>
          <w:szCs w:val="28"/>
        </w:rPr>
        <w:t>15 适用法律及争议解决</w:t>
      </w:r>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23906"/>
      <w:bookmarkStart w:id="112" w:name="_Toc16330033"/>
      <w:bookmarkStart w:id="113" w:name="_Toc18207"/>
      <w:bookmarkStart w:id="114" w:name="_Toc23765"/>
      <w:r>
        <w:rPr>
          <w:rFonts w:hint="eastAsia" w:ascii="黑体" w:hAnsi="黑体" w:eastAsia="黑体" w:cstheme="minorEastAsia"/>
          <w:b w:val="0"/>
          <w:sz w:val="28"/>
          <w:szCs w:val="28"/>
        </w:rPr>
        <w:t>16 附件</w:t>
      </w:r>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17656"/>
      <w:bookmarkStart w:id="116" w:name="_Toc16330034"/>
      <w:bookmarkStart w:id="117" w:name="_Toc27202"/>
      <w:bookmarkStart w:id="118" w:name="_Toc31331"/>
      <w:r>
        <w:rPr>
          <w:rFonts w:hint="eastAsia" w:ascii="黑体" w:hAnsi="黑体" w:eastAsia="黑体" w:cstheme="minorEastAsia"/>
          <w:b w:val="0"/>
          <w:sz w:val="28"/>
          <w:szCs w:val="28"/>
        </w:rPr>
        <w:t>17 其他规定</w:t>
      </w:r>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9" w:name="_Toc29136"/>
      <w:bookmarkStart w:id="120" w:name="_Toc17952"/>
      <w:bookmarkStart w:id="121" w:name="_Toc19077"/>
      <w:bookmarkStart w:id="122"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23" w:name="_Toc16330037"/>
      <w:bookmarkStart w:id="124" w:name="_Toc24623"/>
      <w:bookmarkStart w:id="125" w:name="_Toc25120"/>
      <w:bookmarkStart w:id="126" w:name="_Toc5379"/>
      <w:bookmarkStart w:id="127" w:name="_Toc3778"/>
      <w:r>
        <w:rPr>
          <w:rFonts w:hint="eastAsia" w:asciiTheme="minorEastAsia" w:hAnsiTheme="minorEastAsia" w:eastAsiaTheme="minorEastAsia" w:cstheme="minorEastAsia"/>
          <w:sz w:val="20"/>
          <w:szCs w:val="20"/>
        </w:rPr>
        <w:br w:type="page"/>
      </w:r>
    </w:p>
    <w:p>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3"/>
      <w:bookmarkEnd w:id="124"/>
      <w:bookmarkEnd w:id="125"/>
      <w:bookmarkEnd w:id="126"/>
      <w:bookmarkEnd w:id="127"/>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8" w:name="_Toc14341849"/>
    </w:p>
    <w:p>
      <w:pPr>
        <w:ind w:right="480"/>
        <w:jc w:val="center"/>
        <w:rPr>
          <w:sz w:val="24"/>
          <w:szCs w:val="24"/>
        </w:rPr>
      </w:pPr>
      <w:r>
        <w:rPr>
          <w:rFonts w:hint="eastAsia" w:ascii="楷体_GB2312" w:hAnsi="宋体" w:eastAsia="楷体_GB2312"/>
          <w:sz w:val="24"/>
        </w:rPr>
        <w:t xml:space="preserve">                                    </w:t>
      </w:r>
    </w:p>
    <w:bookmarkEnd w:id="128"/>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0" w:type="first"/>
          <w:headerReference r:id="rId18" w:type="default"/>
          <w:footerReference r:id="rId19"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8"/>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3" w:type="first"/>
          <w:headerReference r:id="rId21" w:type="defaul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9" w:name="_Toc212369550"/>
      <w:bookmarkStart w:id="130" w:name="_Toc353881012"/>
      <w:bookmarkStart w:id="131" w:name="_Toc639004"/>
      <w:bookmarkStart w:id="13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9"/>
      <w:bookmarkEnd w:id="130"/>
      <w:bookmarkEnd w:id="131"/>
      <w:bookmarkEnd w:id="13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莱芜工厂车身外饰件底涂清洗系统改造项目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莱芜工厂车身外饰件底涂清洗系统改造项目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CGZX2024070068</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莱芜工厂车身外饰件底涂清洗系统改造项目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莱芜工厂车身外饰件底涂清洗系统改造项目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莱芜工厂车身外饰件底涂清洗系统改造项目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莱芜工厂车身外饰件底涂清洗系统改造项目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莱芜工厂车身外饰件底涂清洗系统改造项目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莱芜工厂车身外饰件底涂清洗系统改造项目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28"/>
        <w:tblpPr w:leftFromText="180" w:rightFromText="180" w:vertAnchor="text" w:horzAnchor="page" w:tblpX="1471" w:tblpY="258"/>
        <w:tblOverlap w:val="never"/>
        <w:tblW w:w="139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vAlign w:val="center"/>
          </w:tcPr>
          <w:p>
            <w:pPr>
              <w:jc w:val="center"/>
              <w:rPr>
                <w:rFonts w:ascii="宋体" w:hAnsi="宋体" w:eastAsia="宋体" w:cs="宋体"/>
                <w:kern w:val="0"/>
                <w:sz w:val="20"/>
                <w:szCs w:val="21"/>
              </w:rPr>
            </w:pPr>
            <w:r>
              <w:rPr>
                <w:rFonts w:ascii="宋体" w:hAnsi="宋体" w:eastAsia="宋体" w:cs="宋体"/>
                <w:kern w:val="0"/>
                <w:sz w:val="20"/>
                <w:szCs w:val="21"/>
                <w14:textOutline w14:w="3835" w14:cap="flat" w14:cmpd="sng" w14:algn="ctr">
                  <w14:solidFill>
                    <w14:srgbClr w14:val="000000"/>
                  </w14:solidFill>
                  <w14:prstDash w14:val="solid"/>
                  <w14:miter w14:val="0"/>
                </w14:textOutline>
              </w:rPr>
              <w:t>1</w:t>
            </w:r>
          </w:p>
        </w:tc>
        <w:tc>
          <w:tcPr>
            <w:tcW w:w="2865"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2</w:t>
            </w:r>
          </w:p>
        </w:tc>
        <w:tc>
          <w:tcPr>
            <w:tcW w:w="1658"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3</w:t>
            </w:r>
          </w:p>
        </w:tc>
        <w:tc>
          <w:tcPr>
            <w:tcW w:w="977"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4</w:t>
            </w:r>
          </w:p>
        </w:tc>
        <w:tc>
          <w:tcPr>
            <w:tcW w:w="942"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5</w:t>
            </w:r>
          </w:p>
        </w:tc>
        <w:tc>
          <w:tcPr>
            <w:tcW w:w="1889"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6</w:t>
            </w:r>
          </w:p>
        </w:tc>
        <w:tc>
          <w:tcPr>
            <w:tcW w:w="1602" w:type="dxa"/>
            <w:tcBorders>
              <w:right w:val="single" w:color="000000" w:sz="4" w:space="0"/>
            </w:tcBorders>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7</w:t>
            </w:r>
          </w:p>
        </w:tc>
        <w:tc>
          <w:tcPr>
            <w:tcW w:w="1864" w:type="dxa"/>
            <w:tcBorders>
              <w:left w:val="single" w:color="000000" w:sz="4" w:space="0"/>
            </w:tcBorders>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8</w:t>
            </w:r>
          </w:p>
        </w:tc>
        <w:tc>
          <w:tcPr>
            <w:tcW w:w="1642" w:type="dxa"/>
            <w:vAlign w:val="center"/>
          </w:tcPr>
          <w:p>
            <w:pPr>
              <w:jc w:val="center"/>
              <w:rPr>
                <w:rFonts w:hint="default"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号</w:t>
            </w:r>
          </w:p>
        </w:tc>
        <w:tc>
          <w:tcPr>
            <w:tcW w:w="2865"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称</w:t>
            </w:r>
          </w:p>
        </w:tc>
        <w:tc>
          <w:tcPr>
            <w:tcW w:w="1658"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规格</w:t>
            </w:r>
          </w:p>
        </w:tc>
        <w:tc>
          <w:tcPr>
            <w:tcW w:w="977" w:type="dxa"/>
            <w:vAlign w:val="center"/>
          </w:tcPr>
          <w:p>
            <w:pPr>
              <w:jc w:val="center"/>
              <w:rPr>
                <w:rFonts w:ascii="宋体" w:hAnsi="宋体" w:eastAsia="宋体" w:cs="宋体"/>
                <w:spacing w:val="-2"/>
                <w:kern w:val="0"/>
                <w:sz w:val="20"/>
                <w:szCs w:val="21"/>
              </w:rPr>
            </w:pPr>
            <w:r>
              <w:rPr>
                <w:rFonts w:hint="eastAsia" w:ascii="宋体" w:hAnsi="宋体" w:eastAsia="宋体" w:cs="宋体"/>
                <w:spacing w:val="-2"/>
                <w:kern w:val="0"/>
                <w:sz w:val="20"/>
                <w:szCs w:val="21"/>
                <w14:textOutline w14:w="3835" w14:cap="flat" w14:cmpd="sng" w14:algn="ctr">
                  <w14:solidFill>
                    <w14:srgbClr w14:val="000000"/>
                  </w14:solidFill>
                  <w14:prstDash w14:val="solid"/>
                  <w14:miter w14:val="0"/>
                </w14:textOutline>
              </w:rPr>
              <w:t>单位</w:t>
            </w:r>
          </w:p>
        </w:tc>
        <w:tc>
          <w:tcPr>
            <w:tcW w:w="942"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数量</w:t>
            </w:r>
          </w:p>
        </w:tc>
        <w:tc>
          <w:tcPr>
            <w:tcW w:w="1889" w:type="dxa"/>
            <w:vAlign w:val="center"/>
          </w:tcPr>
          <w:p>
            <w:pPr>
              <w:jc w:val="center"/>
              <w:rPr>
                <w:rFonts w:ascii="宋体" w:hAnsi="宋体" w:eastAsia="宋体" w:cs="宋体"/>
                <w:kern w:val="0"/>
                <w:sz w:val="20"/>
                <w:szCs w:val="21"/>
              </w:rPr>
            </w:pPr>
            <w:r>
              <w:rPr>
                <w:rFonts w:ascii="宋体" w:hAnsi="宋体" w:eastAsia="宋体" w:cs="宋体"/>
                <w:spacing w:val="-3"/>
                <w:kern w:val="0"/>
                <w:sz w:val="20"/>
                <w:szCs w:val="21"/>
                <w14:textOutline w14:w="3835" w14:cap="flat" w14:cmpd="sng" w14:algn="ctr">
                  <w14:solidFill>
                    <w14:srgbClr w14:val="000000"/>
                  </w14:solidFill>
                  <w14:prstDash w14:val="solid"/>
                  <w14:miter w14:val="0"/>
                </w14:textOutline>
              </w:rPr>
              <w:t>原</w:t>
            </w: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制造商名</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称</w:t>
            </w:r>
          </w:p>
        </w:tc>
        <w:tc>
          <w:tcPr>
            <w:tcW w:w="1602" w:type="dxa"/>
            <w:tcBorders>
              <w:right w:val="single" w:color="000000" w:sz="4" w:space="0"/>
            </w:tcBorders>
            <w:vAlign w:val="center"/>
          </w:tcPr>
          <w:p>
            <w:pPr>
              <w:jc w:val="center"/>
              <w:rPr>
                <w:rFonts w:ascii="宋体" w:hAnsi="宋体" w:eastAsia="宋体" w:cs="宋体"/>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单</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pPr>
              <w:jc w:val="center"/>
              <w:rPr>
                <w:rFonts w:ascii="宋体" w:hAnsi="宋体" w:eastAsia="宋体" w:cs="宋体"/>
                <w:kern w:val="0"/>
                <w:sz w:val="20"/>
                <w:szCs w:val="21"/>
              </w:rPr>
            </w:pPr>
            <w:r>
              <w:rPr>
                <w:rFonts w:ascii="宋体" w:hAnsi="宋体" w:eastAsia="宋体" w:cs="宋体"/>
                <w:spacing w:val="-16"/>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0"/>
                <w:szCs w:val="21"/>
                <w14:textOutline w14:w="3835" w14:cap="flat" w14:cmpd="sng" w14:algn="ctr">
                  <w14:solidFill>
                    <w14:srgbClr w14:val="000000"/>
                  </w14:solidFill>
                  <w14:prstDash w14:val="solid"/>
                  <w14:miter w14:val="0"/>
                </w14:textOutline>
              </w:rPr>
              <w:t>元)</w:t>
            </w:r>
          </w:p>
        </w:tc>
        <w:tc>
          <w:tcPr>
            <w:tcW w:w="1864" w:type="dxa"/>
            <w:tcBorders>
              <w:left w:val="single" w:color="000000" w:sz="4" w:space="0"/>
            </w:tcBorders>
            <w:vAlign w:val="center"/>
          </w:tcPr>
          <w:p>
            <w:pPr>
              <w:jc w:val="center"/>
              <w:rPr>
                <w:rFonts w:ascii="宋体" w:hAnsi="宋体" w:eastAsia="宋体" w:cs="宋体"/>
                <w:spacing w:val="-3"/>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kern w:val="0"/>
                <w:sz w:val="20"/>
                <w:szCs w:val="21"/>
                <w14:textOutline w14:w="3835" w14:cap="flat" w14:cmpd="sng" w14:algn="ctr">
                  <w14:solidFill>
                    <w14:srgbClr w14:val="000000"/>
                  </w14:solidFill>
                  <w14:prstDash w14:val="solid"/>
                  <w14:miter w14:val="0"/>
                </w14:textOutline>
              </w:rPr>
              <w:t>6</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kern w:val="0"/>
                <w:sz w:val="20"/>
                <w:szCs w:val="21"/>
                <w14:textOutline w14:w="3835" w14:cap="flat" w14:cmpd="sng" w14:algn="ctr">
                  <w14:solidFill>
                    <w14:srgbClr w14:val="000000"/>
                  </w14:solidFill>
                  <w14:prstDash w14:val="solid"/>
                  <w14:miter w14:val="0"/>
                </w14:textOutline>
              </w:rPr>
              <w:t>8</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pPr>
              <w:jc w:val="center"/>
              <w:rPr>
                <w:rFonts w:ascii="宋体" w:hAnsi="宋体" w:eastAsia="宋体" w:cs="宋体"/>
                <w:kern w:val="0"/>
                <w:sz w:val="20"/>
                <w:szCs w:val="21"/>
              </w:rPr>
            </w:pPr>
            <w:r>
              <w:rPr>
                <w:rFonts w:ascii="宋体" w:hAnsi="宋体" w:eastAsia="宋体" w:cs="宋体"/>
                <w:spacing w:val="27"/>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0"/>
                <w:szCs w:val="21"/>
                <w14:textOutline w14:w="3835" w14:cap="flat" w14:cmpd="sng" w14:algn="ctr">
                  <w14:solidFill>
                    <w14:srgbClr w14:val="000000"/>
                  </w14:solidFill>
                  <w14:prstDash w14:val="solid"/>
                  <w14:miter w14:val="0"/>
                </w14:textOutline>
              </w:rPr>
              <w:t>元)</w:t>
            </w:r>
          </w:p>
        </w:tc>
        <w:tc>
          <w:tcPr>
            <w:tcW w:w="1642" w:type="dxa"/>
            <w:vAlign w:val="center"/>
          </w:tcPr>
          <w:p>
            <w:pPr>
              <w:jc w:val="cente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vAlign w:val="center"/>
          </w:tcPr>
          <w:p>
            <w:pPr>
              <w:widowControl/>
              <w:jc w:val="center"/>
              <w:textAlignment w:val="center"/>
              <w:rPr>
                <w:rFonts w:hint="eastAsia" w:ascii="宋体" w:hAnsi="宋体" w:cs="宋体" w:eastAsiaTheme="minorEastAsia"/>
                <w:color w:val="000000"/>
                <w:sz w:val="22"/>
                <w:lang w:val="en-US" w:eastAsia="zh-CN"/>
              </w:rPr>
            </w:pPr>
            <w:r>
              <w:rPr>
                <w:rFonts w:hint="eastAsia" w:ascii="宋体" w:hAnsi="宋体" w:cs="宋体"/>
                <w:color w:val="000000"/>
                <w:sz w:val="22"/>
                <w:lang w:val="en-US" w:eastAsia="zh-CN"/>
              </w:rPr>
              <w:t>1</w:t>
            </w:r>
          </w:p>
        </w:tc>
        <w:tc>
          <w:tcPr>
            <w:tcW w:w="2865" w:type="dxa"/>
            <w:vAlign w:val="center"/>
          </w:tcPr>
          <w:p>
            <w:pPr>
              <w:keepNext w:val="0"/>
              <w:keepLines w:val="0"/>
              <w:widowControl/>
              <w:suppressLineNumbers w:val="0"/>
              <w:jc w:val="left"/>
              <w:textAlignment w:val="center"/>
              <w:rPr>
                <w:rFonts w:hint="eastAsia" w:ascii="宋体" w:hAnsi="宋体" w:eastAsia="宋体"/>
                <w:sz w:val="22"/>
                <w:szCs w:val="22"/>
                <w:lang w:bidi="ar"/>
              </w:rPr>
            </w:pPr>
            <w:r>
              <w:rPr>
                <w:rFonts w:hint="eastAsia" w:ascii="微软雅黑" w:hAnsi="微软雅黑" w:eastAsia="微软雅黑" w:cs="微软雅黑"/>
                <w:i w:val="0"/>
                <w:iCs w:val="0"/>
                <w:color w:val="000000"/>
                <w:kern w:val="0"/>
                <w:sz w:val="18"/>
                <w:szCs w:val="18"/>
                <w:u w:val="none"/>
                <w:lang w:val="en-US" w:eastAsia="zh-CN" w:bidi="ar"/>
              </w:rPr>
              <w:t>循环罐</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200L SUS304</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仿宋" w:hAnsi="仿宋" w:eastAsia="仿宋" w:cs="仿宋"/>
                <w:color w:val="000000"/>
                <w:sz w:val="24"/>
                <w:szCs w:val="24"/>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eastAsia" w:ascii="宋体" w:hAnsi="宋体" w:cs="宋体" w:eastAsiaTheme="minorEastAsia"/>
                <w:color w:val="000000"/>
                <w:sz w:val="22"/>
                <w:lang w:val="en-US" w:eastAsia="zh-CN"/>
              </w:rPr>
            </w:pPr>
            <w:r>
              <w:rPr>
                <w:rFonts w:hint="eastAsia" w:ascii="宋体" w:hAnsi="宋体" w:cs="宋体"/>
                <w:color w:val="000000"/>
                <w:sz w:val="22"/>
                <w:lang w:val="en-US" w:eastAsia="zh-CN"/>
              </w:rPr>
              <w:t>2</w:t>
            </w:r>
          </w:p>
        </w:tc>
        <w:tc>
          <w:tcPr>
            <w:tcW w:w="2865" w:type="dxa"/>
            <w:vAlign w:val="center"/>
          </w:tcPr>
          <w:p>
            <w:pPr>
              <w:keepNext w:val="0"/>
              <w:keepLines w:val="0"/>
              <w:widowControl/>
              <w:suppressLineNumbers w:val="0"/>
              <w:jc w:val="left"/>
              <w:textAlignment w:val="center"/>
              <w:rPr>
                <w:rFonts w:hint="eastAsia" w:ascii="宋体" w:hAnsi="宋体" w:eastAsia="宋体"/>
                <w:sz w:val="22"/>
                <w:szCs w:val="22"/>
                <w:lang w:bidi="ar"/>
              </w:rPr>
            </w:pPr>
            <w:r>
              <w:rPr>
                <w:rStyle w:val="134"/>
                <w:lang w:val="en-US" w:eastAsia="zh-CN" w:bidi="ar"/>
              </w:rPr>
              <w:t>电动供漆泵</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400 21 EU, DN25</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eastAsia" w:ascii="宋体" w:hAnsi="宋体" w:cs="宋体" w:eastAsiaTheme="minorEastAsia"/>
                <w:color w:val="000000"/>
                <w:sz w:val="22"/>
                <w:lang w:val="en-US" w:eastAsia="zh-CN"/>
              </w:rPr>
            </w:pPr>
            <w:r>
              <w:rPr>
                <w:rFonts w:hint="eastAsia" w:ascii="宋体" w:hAnsi="宋体" w:cs="宋体"/>
                <w:color w:val="000000"/>
                <w:sz w:val="22"/>
                <w:lang w:val="en-US" w:eastAsia="zh-CN"/>
              </w:rPr>
              <w:t>3</w:t>
            </w:r>
          </w:p>
        </w:tc>
        <w:tc>
          <w:tcPr>
            <w:tcW w:w="2865" w:type="dxa"/>
            <w:vAlign w:val="center"/>
          </w:tcPr>
          <w:p>
            <w:pPr>
              <w:keepNext w:val="0"/>
              <w:keepLines w:val="0"/>
              <w:widowControl/>
              <w:suppressLineNumbers w:val="0"/>
              <w:jc w:val="left"/>
              <w:textAlignment w:val="center"/>
              <w:rPr>
                <w:rFonts w:hint="eastAsia" w:ascii="宋体" w:hAnsi="宋体" w:eastAsia="宋体"/>
                <w:sz w:val="22"/>
                <w:szCs w:val="22"/>
                <w:lang w:bidi="ar"/>
              </w:rPr>
            </w:pPr>
            <w:r>
              <w:rPr>
                <w:rFonts w:hint="eastAsia" w:ascii="微软雅黑" w:hAnsi="微软雅黑" w:eastAsia="微软雅黑" w:cs="微软雅黑"/>
                <w:i w:val="0"/>
                <w:iCs w:val="0"/>
                <w:color w:val="000000"/>
                <w:kern w:val="0"/>
                <w:sz w:val="18"/>
                <w:szCs w:val="18"/>
                <w:u w:val="none"/>
                <w:lang w:val="en-US" w:eastAsia="zh-CN" w:bidi="ar"/>
              </w:rPr>
              <w:t>静压式液位计</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G1-1/2"(male)  100mbar</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个</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4</w:t>
            </w:r>
          </w:p>
        </w:tc>
        <w:tc>
          <w:tcPr>
            <w:tcW w:w="2865" w:type="dxa"/>
            <w:vAlign w:val="center"/>
          </w:tcPr>
          <w:p>
            <w:pPr>
              <w:keepNext w:val="0"/>
              <w:keepLines w:val="0"/>
              <w:widowControl/>
              <w:suppressLineNumbers w:val="0"/>
              <w:jc w:val="left"/>
              <w:textAlignment w:val="center"/>
              <w:rPr>
                <w:rFonts w:hint="eastAsia" w:ascii="宋体" w:hAnsi="宋体" w:eastAsia="宋体"/>
                <w:sz w:val="22"/>
                <w:szCs w:val="22"/>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气动隔膜泵及组件</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 xml:space="preserve">  SST PTFE 1", 44LPM</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eastAsia="宋体" w:cs="宋体"/>
                <w:color w:val="000000"/>
                <w:kern w:val="2"/>
                <w:sz w:val="24"/>
                <w:szCs w:val="24"/>
                <w:lang w:val="en-US" w:eastAsia="zh-CN" w:bidi="ar-SA"/>
              </w:rPr>
            </w:pPr>
          </w:p>
        </w:tc>
        <w:tc>
          <w:tcPr>
            <w:tcW w:w="1602" w:type="dxa"/>
            <w:tcBorders>
              <w:right w:val="single" w:color="000000" w:sz="4" w:space="0"/>
            </w:tcBorders>
            <w:vAlign w:val="center"/>
          </w:tcPr>
          <w:p>
            <w:pPr>
              <w:widowControl/>
              <w:jc w:val="center"/>
              <w:textAlignment w:val="center"/>
              <w:rPr>
                <w:rFonts w:ascii="宋体" w:hAnsi="宋体" w:eastAsia="宋体" w:cstheme="minorBidi"/>
                <w:kern w:val="2"/>
                <w:sz w:val="24"/>
                <w:szCs w:val="24"/>
                <w:lang w:val="en-US" w:eastAsia="zh-CN" w:bidi="ar-SA"/>
              </w:rPr>
            </w:pPr>
          </w:p>
        </w:tc>
        <w:tc>
          <w:tcPr>
            <w:tcW w:w="1864" w:type="dxa"/>
            <w:tcBorders>
              <w:left w:val="single" w:color="000000" w:sz="4" w:space="0"/>
            </w:tcBorders>
            <w:vAlign w:val="center"/>
          </w:tcPr>
          <w:p>
            <w:pPr>
              <w:widowControl/>
              <w:jc w:val="left"/>
              <w:textAlignment w:val="center"/>
              <w:rPr>
                <w:rFonts w:ascii="宋体" w:hAnsi="宋体" w:eastAsia="宋体" w:cstheme="minorBidi"/>
                <w:kern w:val="2"/>
                <w:sz w:val="24"/>
                <w:szCs w:val="24"/>
                <w:lang w:val="en-US" w:eastAsia="zh-CN" w:bidi="ar"/>
              </w:rPr>
            </w:pPr>
          </w:p>
        </w:tc>
        <w:tc>
          <w:tcPr>
            <w:tcW w:w="1642" w:type="dxa"/>
            <w:vAlign w:val="center"/>
          </w:tcPr>
          <w:p>
            <w:pPr>
              <w:jc w:val="center"/>
              <w:textAlignment w:val="center"/>
              <w:rPr>
                <w:rFonts w:ascii="宋体" w:hAnsi="宋体" w:eastAsia="宋体" w:cstheme="minorBidi"/>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5</w:t>
            </w:r>
          </w:p>
        </w:tc>
        <w:tc>
          <w:tcPr>
            <w:tcW w:w="2865" w:type="dxa"/>
            <w:vAlign w:val="center"/>
          </w:tcPr>
          <w:p>
            <w:pPr>
              <w:keepNext w:val="0"/>
              <w:keepLines w:val="0"/>
              <w:widowControl/>
              <w:suppressLineNumbers w:val="0"/>
              <w:jc w:val="left"/>
              <w:textAlignment w:val="center"/>
              <w:rPr>
                <w:rFonts w:hint="eastAsia" w:ascii="宋体" w:hAnsi="宋体" w:eastAsia="宋体" w:cstheme="minorBidi"/>
                <w:kern w:val="2"/>
                <w:sz w:val="22"/>
                <w:szCs w:val="22"/>
                <w:lang w:val="en-US" w:eastAsia="zh-CN" w:bidi="ar"/>
              </w:rPr>
            </w:pPr>
            <w:r>
              <w:rPr>
                <w:rFonts w:hint="default" w:ascii="Arial" w:hAnsi="Arial" w:eastAsia="宋体" w:cs="Arial"/>
                <w:i w:val="0"/>
                <w:iCs w:val="0"/>
                <w:color w:val="000000"/>
                <w:kern w:val="0"/>
                <w:sz w:val="18"/>
                <w:szCs w:val="18"/>
                <w:u w:val="none"/>
                <w:lang w:val="en-US" w:eastAsia="zh-CN" w:bidi="ar"/>
              </w:rPr>
              <w:t>油漆过滤器</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DN32 GR4 T-BAR PN25</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6</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default" w:ascii="Arial" w:hAnsi="Arial" w:eastAsia="宋体" w:cs="Arial"/>
                <w:i w:val="0"/>
                <w:iCs w:val="0"/>
                <w:color w:val="000000"/>
                <w:kern w:val="0"/>
                <w:sz w:val="18"/>
                <w:szCs w:val="18"/>
                <w:u w:val="none"/>
                <w:lang w:val="en-US" w:eastAsia="zh-CN" w:bidi="ar"/>
              </w:rPr>
              <w:t>四通球阀</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SK 325-32-0.1 4/2 WEGE, X-BOHRUNG</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7</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default" w:ascii="Arial" w:hAnsi="Arial" w:eastAsia="宋体" w:cs="Arial"/>
                <w:i w:val="0"/>
                <w:iCs w:val="0"/>
                <w:color w:val="000000"/>
                <w:kern w:val="0"/>
                <w:sz w:val="18"/>
                <w:szCs w:val="18"/>
                <w:u w:val="none"/>
                <w:lang w:val="en-US" w:eastAsia="zh-CN" w:bidi="ar"/>
              </w:rPr>
              <w:t>气动低剪切背压阀</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P 16 25 DN25 SST</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8</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default" w:ascii="Arial" w:hAnsi="Arial" w:eastAsia="宋体" w:cs="Arial"/>
                <w:i w:val="0"/>
                <w:iCs w:val="0"/>
                <w:color w:val="000000"/>
                <w:kern w:val="0"/>
                <w:sz w:val="18"/>
                <w:szCs w:val="18"/>
                <w:u w:val="none"/>
                <w:lang w:val="en-US" w:eastAsia="zh-CN" w:bidi="ar"/>
              </w:rPr>
              <w:t>压力传感器</w:t>
            </w:r>
          </w:p>
        </w:tc>
        <w:tc>
          <w:tcPr>
            <w:tcW w:w="1658" w:type="dxa"/>
            <w:vAlign w:val="center"/>
          </w:tcPr>
          <w:p>
            <w:pPr>
              <w:jc w:val="center"/>
              <w:rPr>
                <w:rFonts w:ascii="宋体" w:hAnsi="宋体" w:cs="宋体"/>
                <w:color w:val="000000"/>
                <w:kern w:val="0"/>
                <w:sz w:val="22"/>
                <w:lang w:bidi="ar"/>
              </w:rPr>
            </w:pP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9</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default" w:ascii="Arial" w:hAnsi="Arial" w:eastAsia="宋体" w:cs="Arial"/>
                <w:i w:val="0"/>
                <w:iCs w:val="0"/>
                <w:color w:val="000000"/>
                <w:kern w:val="0"/>
                <w:sz w:val="18"/>
                <w:szCs w:val="18"/>
                <w:u w:val="none"/>
                <w:lang w:val="en-US" w:eastAsia="zh-CN" w:bidi="ar"/>
              </w:rPr>
              <w:t>安全阀</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21bar DN25 SST</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10</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双组份配比器</w:t>
            </w:r>
          </w:p>
        </w:tc>
        <w:tc>
          <w:tcPr>
            <w:tcW w:w="1658" w:type="dxa"/>
            <w:vAlign w:val="center"/>
          </w:tcPr>
          <w:p>
            <w:pPr>
              <w:jc w:val="center"/>
              <w:rPr>
                <w:rFonts w:ascii="宋体" w:hAnsi="宋体" w:cs="宋体"/>
                <w:color w:val="000000"/>
                <w:kern w:val="0"/>
                <w:sz w:val="22"/>
                <w:lang w:bidi="ar"/>
              </w:rPr>
            </w:pP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11</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油漆管路接头及保温</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SUS304L</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12</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模组管件球阀</w:t>
            </w:r>
          </w:p>
        </w:tc>
        <w:tc>
          <w:tcPr>
            <w:tcW w:w="1658" w:type="dxa"/>
            <w:vAlign w:val="center"/>
          </w:tcPr>
          <w:p>
            <w:pPr>
              <w:jc w:val="center"/>
              <w:rPr>
                <w:rFonts w:hint="eastAsia" w:ascii="宋体" w:hAnsi="宋体" w:eastAsia="宋体"/>
                <w:sz w:val="22"/>
                <w:szCs w:val="22"/>
                <w:lang w:val="en-US" w:eastAsia="zh-CN" w:bidi="ar"/>
              </w:rPr>
            </w:pP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7"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13</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压力表温度计等</w:t>
            </w:r>
          </w:p>
        </w:tc>
        <w:tc>
          <w:tcPr>
            <w:tcW w:w="1658" w:type="dxa"/>
            <w:vAlign w:val="center"/>
          </w:tcPr>
          <w:p>
            <w:pPr>
              <w:keepNext w:val="0"/>
              <w:keepLines w:val="0"/>
              <w:widowControl/>
              <w:suppressLineNumbers w:val="0"/>
              <w:jc w:val="center"/>
              <w:textAlignment w:val="center"/>
              <w:rPr>
                <w:rFonts w:hint="eastAsia" w:ascii="宋体" w:hAnsi="宋体" w:eastAsia="宋体"/>
                <w:sz w:val="22"/>
                <w:szCs w:val="22"/>
                <w:lang w:bidi="ar"/>
              </w:rPr>
            </w:pPr>
            <w:r>
              <w:rPr>
                <w:rFonts w:hint="default" w:ascii="Arial" w:hAnsi="Arial" w:eastAsia="宋体" w:cs="Arial"/>
                <w:i w:val="0"/>
                <w:iCs w:val="0"/>
                <w:color w:val="000000"/>
                <w:kern w:val="0"/>
                <w:sz w:val="18"/>
                <w:szCs w:val="18"/>
                <w:u w:val="none"/>
                <w:lang w:val="en-US" w:eastAsia="zh-CN" w:bidi="ar"/>
              </w:rPr>
              <w:t>TGE53-A ，82266198</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14</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模组支架</w:t>
            </w:r>
          </w:p>
        </w:tc>
        <w:tc>
          <w:tcPr>
            <w:tcW w:w="1658" w:type="dxa"/>
            <w:vAlign w:val="center"/>
          </w:tcPr>
          <w:p>
            <w:pPr>
              <w:keepNext w:val="0"/>
              <w:keepLines w:val="0"/>
              <w:widowControl/>
              <w:suppressLineNumbers w:val="0"/>
              <w:jc w:val="center"/>
              <w:textAlignment w:val="center"/>
              <w:rPr>
                <w:rFonts w:hint="eastAsia" w:ascii="宋体" w:hAnsi="宋体" w:eastAsia="宋体"/>
                <w:sz w:val="22"/>
                <w:szCs w:val="22"/>
                <w:lang w:bidi="ar"/>
              </w:rPr>
            </w:pPr>
            <w:r>
              <w:rPr>
                <w:rFonts w:hint="eastAsia" w:ascii="宋体" w:hAnsi="宋体" w:eastAsia="宋体" w:cs="宋体"/>
                <w:i w:val="0"/>
                <w:iCs w:val="0"/>
                <w:color w:val="000000"/>
                <w:kern w:val="0"/>
                <w:sz w:val="22"/>
                <w:szCs w:val="22"/>
                <w:u w:val="none"/>
                <w:lang w:val="en-US" w:eastAsia="zh-CN" w:bidi="ar"/>
              </w:rPr>
              <w:t>模组不锈钢框架</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15</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循环罐</w:t>
            </w:r>
          </w:p>
        </w:tc>
        <w:tc>
          <w:tcPr>
            <w:tcW w:w="1658" w:type="dxa"/>
            <w:vAlign w:val="center"/>
          </w:tcPr>
          <w:p>
            <w:pPr>
              <w:keepNext w:val="0"/>
              <w:keepLines w:val="0"/>
              <w:widowControl/>
              <w:suppressLineNumbers w:val="0"/>
              <w:jc w:val="center"/>
              <w:textAlignment w:val="center"/>
              <w:rPr>
                <w:rFonts w:hint="eastAsia" w:ascii="宋体" w:hAnsi="宋体" w:eastAsia="宋体"/>
                <w:sz w:val="22"/>
                <w:szCs w:val="22"/>
                <w:lang w:bidi="ar"/>
              </w:rPr>
            </w:pPr>
            <w:r>
              <w:rPr>
                <w:rFonts w:hint="default" w:ascii="Arial" w:hAnsi="Arial" w:eastAsia="宋体" w:cs="Arial"/>
                <w:i w:val="0"/>
                <w:iCs w:val="0"/>
                <w:color w:val="000000"/>
                <w:kern w:val="0"/>
                <w:sz w:val="18"/>
                <w:szCs w:val="18"/>
                <w:u w:val="none"/>
                <w:lang w:val="en-US" w:eastAsia="zh-CN" w:bidi="ar"/>
              </w:rPr>
              <w:t>200L SUS304</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16</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气动隔膜泵及组件</w:t>
            </w:r>
          </w:p>
        </w:tc>
        <w:tc>
          <w:tcPr>
            <w:tcW w:w="1658" w:type="dxa"/>
            <w:vAlign w:val="center"/>
          </w:tcPr>
          <w:p>
            <w:pPr>
              <w:keepNext w:val="0"/>
              <w:keepLines w:val="0"/>
              <w:widowControl/>
              <w:suppressLineNumbers w:val="0"/>
              <w:jc w:val="center"/>
              <w:textAlignment w:val="center"/>
              <w:rPr>
                <w:rFonts w:hint="eastAsia" w:ascii="宋体" w:hAnsi="宋体" w:eastAsia="宋体"/>
                <w:sz w:val="22"/>
                <w:szCs w:val="22"/>
                <w:lang w:bidi="ar"/>
              </w:rPr>
            </w:pPr>
            <w:r>
              <w:rPr>
                <w:rFonts w:hint="default" w:ascii="Arial" w:hAnsi="Arial" w:eastAsia="宋体" w:cs="Arial"/>
                <w:i w:val="0"/>
                <w:iCs w:val="0"/>
                <w:color w:val="000000"/>
                <w:kern w:val="0"/>
                <w:sz w:val="18"/>
                <w:szCs w:val="18"/>
                <w:u w:val="none"/>
                <w:lang w:val="en-US" w:eastAsia="zh-CN" w:bidi="ar"/>
              </w:rPr>
              <w:t xml:space="preserve">  SST PTFE 1", 44LPM</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17</w:t>
            </w:r>
          </w:p>
        </w:tc>
        <w:tc>
          <w:tcPr>
            <w:tcW w:w="2865" w:type="dxa"/>
            <w:vAlign w:val="center"/>
          </w:tcPr>
          <w:p>
            <w:pPr>
              <w:keepNext w:val="0"/>
              <w:keepLines w:val="0"/>
              <w:widowControl/>
              <w:suppressLineNumbers w:val="0"/>
              <w:jc w:val="left"/>
              <w:textAlignment w:val="center"/>
              <w:rPr>
                <w:rFonts w:hint="eastAsia" w:ascii="宋体" w:hAnsi="宋体" w:eastAsia="宋体"/>
                <w:sz w:val="21"/>
                <w:szCs w:val="21"/>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电动搅拌器</w:t>
            </w:r>
          </w:p>
        </w:tc>
        <w:tc>
          <w:tcPr>
            <w:tcW w:w="1658" w:type="dxa"/>
            <w:vAlign w:val="center"/>
          </w:tcPr>
          <w:p>
            <w:pPr>
              <w:keepNext w:val="0"/>
              <w:keepLines w:val="0"/>
              <w:widowControl/>
              <w:suppressLineNumbers w:val="0"/>
              <w:jc w:val="center"/>
              <w:textAlignment w:val="center"/>
              <w:rPr>
                <w:rFonts w:hint="eastAsia" w:ascii="宋体" w:hAnsi="宋体" w:eastAsia="宋体"/>
                <w:sz w:val="22"/>
                <w:szCs w:val="22"/>
                <w:lang w:bidi="ar"/>
              </w:rPr>
            </w:pPr>
            <w:r>
              <w:rPr>
                <w:rFonts w:hint="default" w:ascii="Arial" w:hAnsi="Arial" w:eastAsia="宋体" w:cs="Arial"/>
                <w:i w:val="0"/>
                <w:iCs w:val="0"/>
                <w:color w:val="000000"/>
                <w:kern w:val="0"/>
                <w:sz w:val="18"/>
                <w:szCs w:val="18"/>
                <w:u w:val="none"/>
                <w:lang w:val="en-US" w:eastAsia="zh-CN" w:bidi="ar"/>
              </w:rPr>
              <w:t>RF37/II2GD EDRS71M4/2G/KCC/TF/C</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18</w:t>
            </w:r>
          </w:p>
        </w:tc>
        <w:tc>
          <w:tcPr>
            <w:tcW w:w="2865" w:type="dxa"/>
            <w:vAlign w:val="center"/>
          </w:tcPr>
          <w:p>
            <w:pPr>
              <w:keepNext w:val="0"/>
              <w:keepLines w:val="0"/>
              <w:widowControl/>
              <w:suppressLineNumbers w:val="0"/>
              <w:jc w:val="left"/>
              <w:textAlignment w:val="center"/>
              <w:rPr>
                <w:rFonts w:ascii="微软雅黑" w:hAnsi="微软雅黑" w:eastAsia="微软雅黑" w:cs="微软雅黑"/>
                <w:i w:val="0"/>
                <w:iCs w:val="0"/>
                <w:color w:val="000000"/>
                <w:kern w:val="2"/>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静压式液位计</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G1-1/2"(male)  100mbar</w:t>
            </w:r>
          </w:p>
        </w:tc>
        <w:tc>
          <w:tcPr>
            <w:tcW w:w="977"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42" w:type="dxa"/>
            <w:vAlign w:val="center"/>
          </w:tcPr>
          <w:p>
            <w:pPr>
              <w:keepNext w:val="0"/>
              <w:keepLines w:val="0"/>
              <w:widowControl/>
              <w:suppressLineNumbers w:val="0"/>
              <w:jc w:val="center"/>
              <w:textAlignment w:val="center"/>
              <w:rPr>
                <w:rFonts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19</w:t>
            </w:r>
          </w:p>
        </w:tc>
        <w:tc>
          <w:tcPr>
            <w:tcW w:w="2865" w:type="dxa"/>
            <w:vAlign w:val="center"/>
          </w:tcPr>
          <w:p>
            <w:pPr>
              <w:keepNext w:val="0"/>
              <w:keepLines w:val="0"/>
              <w:widowControl/>
              <w:suppressLineNumbers w:val="0"/>
              <w:jc w:val="left"/>
              <w:textAlignment w:val="center"/>
              <w:rPr>
                <w:rFonts w:ascii="微软雅黑" w:hAnsi="微软雅黑" w:eastAsia="微软雅黑" w:cs="微软雅黑"/>
                <w:i w:val="0"/>
                <w:iCs w:val="0"/>
                <w:color w:val="000000"/>
                <w:kern w:val="2"/>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管件接头</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SST304</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台</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20</w:t>
            </w:r>
          </w:p>
        </w:tc>
        <w:tc>
          <w:tcPr>
            <w:tcW w:w="2865" w:type="dxa"/>
            <w:vAlign w:val="center"/>
          </w:tcPr>
          <w:p>
            <w:pPr>
              <w:keepNext w:val="0"/>
              <w:keepLines w:val="0"/>
              <w:widowControl/>
              <w:suppressLineNumbers w:val="0"/>
              <w:jc w:val="left"/>
              <w:textAlignment w:val="center"/>
              <w:rPr>
                <w:rFonts w:ascii="微软雅黑" w:hAnsi="微软雅黑" w:eastAsia="微软雅黑" w:cs="微软雅黑"/>
                <w:i w:val="0"/>
                <w:iCs w:val="0"/>
                <w:color w:val="000000"/>
                <w:kern w:val="2"/>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管路</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default" w:ascii="Arial" w:hAnsi="Arial" w:eastAsia="宋体" w:cs="Arial"/>
                <w:i w:val="0"/>
                <w:iCs w:val="0"/>
                <w:color w:val="000000"/>
                <w:kern w:val="0"/>
                <w:sz w:val="18"/>
                <w:szCs w:val="18"/>
                <w:u w:val="none"/>
                <w:lang w:val="en-US" w:eastAsia="zh-CN" w:bidi="ar"/>
              </w:rPr>
              <w:t>SST304</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21</w:t>
            </w:r>
          </w:p>
        </w:tc>
        <w:tc>
          <w:tcPr>
            <w:tcW w:w="2865" w:type="dxa"/>
            <w:vAlign w:val="center"/>
          </w:tcPr>
          <w:p>
            <w:pPr>
              <w:keepNext w:val="0"/>
              <w:keepLines w:val="0"/>
              <w:widowControl/>
              <w:suppressLineNumbers w:val="0"/>
              <w:jc w:val="left"/>
              <w:textAlignment w:val="center"/>
              <w:rPr>
                <w:rFonts w:ascii="微软雅黑" w:hAnsi="微软雅黑" w:eastAsia="微软雅黑" w:cs="微软雅黑"/>
                <w:i w:val="0"/>
                <w:iCs w:val="0"/>
                <w:color w:val="000000"/>
                <w:kern w:val="2"/>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模组管件球阀</w:t>
            </w:r>
          </w:p>
        </w:tc>
        <w:tc>
          <w:tcPr>
            <w:tcW w:w="1658" w:type="dxa"/>
            <w:vAlign w:val="center"/>
          </w:tcPr>
          <w:p>
            <w:pPr>
              <w:keepNext w:val="0"/>
              <w:keepLines w:val="0"/>
              <w:widowControl/>
              <w:suppressLineNumbers w:val="0"/>
              <w:jc w:val="center"/>
              <w:textAlignment w:val="center"/>
              <w:rPr>
                <w:rFonts w:ascii="Arial" w:hAnsi="Arial" w:cs="Arial" w:eastAsiaTheme="minorEastAsia"/>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3/8-1-1/4</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22</w:t>
            </w:r>
          </w:p>
        </w:tc>
        <w:tc>
          <w:tcPr>
            <w:tcW w:w="2865" w:type="dxa"/>
            <w:vAlign w:val="center"/>
          </w:tcPr>
          <w:p>
            <w:pPr>
              <w:keepNext w:val="0"/>
              <w:keepLines w:val="0"/>
              <w:widowControl/>
              <w:suppressLineNumbers w:val="0"/>
              <w:jc w:val="left"/>
              <w:textAlignment w:val="center"/>
              <w:rPr>
                <w:rFonts w:ascii="微软雅黑" w:hAnsi="微软雅黑" w:eastAsia="微软雅黑" w:cs="微软雅黑"/>
                <w:i w:val="0"/>
                <w:iCs w:val="0"/>
                <w:color w:val="000000"/>
                <w:kern w:val="2"/>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模组支架</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模组不锈钢框架</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23</w:t>
            </w:r>
          </w:p>
        </w:tc>
        <w:tc>
          <w:tcPr>
            <w:tcW w:w="2865" w:type="dxa"/>
            <w:vAlign w:val="center"/>
          </w:tcPr>
          <w:p>
            <w:pPr>
              <w:keepNext w:val="0"/>
              <w:keepLines w:val="0"/>
              <w:widowControl/>
              <w:suppressLineNumbers w:val="0"/>
              <w:jc w:val="left"/>
              <w:textAlignment w:val="center"/>
              <w:rPr>
                <w:rFonts w:ascii="微软雅黑" w:hAnsi="微软雅黑" w:eastAsia="微软雅黑" w:cs="微软雅黑"/>
                <w:i w:val="0"/>
                <w:iCs w:val="0"/>
                <w:color w:val="000000"/>
                <w:kern w:val="2"/>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清洗装置Purge box</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Purge box—durr</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24</w:t>
            </w:r>
          </w:p>
        </w:tc>
        <w:tc>
          <w:tcPr>
            <w:tcW w:w="2865" w:type="dxa"/>
            <w:vAlign w:val="center"/>
          </w:tcPr>
          <w:p>
            <w:pPr>
              <w:keepNext w:val="0"/>
              <w:keepLines w:val="0"/>
              <w:widowControl/>
              <w:suppressLineNumbers w:val="0"/>
              <w:jc w:val="left"/>
              <w:textAlignment w:val="center"/>
              <w:rPr>
                <w:rFonts w:ascii="微软雅黑" w:hAnsi="微软雅黑" w:eastAsia="微软雅黑" w:cs="微软雅黑"/>
                <w:i w:val="0"/>
                <w:iCs w:val="0"/>
                <w:color w:val="000000"/>
                <w:kern w:val="2"/>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球阀</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SST304</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8</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25</w:t>
            </w:r>
          </w:p>
        </w:tc>
        <w:tc>
          <w:tcPr>
            <w:tcW w:w="2865" w:type="dxa"/>
            <w:vAlign w:val="center"/>
          </w:tcPr>
          <w:p>
            <w:pPr>
              <w:keepNext w:val="0"/>
              <w:keepLines w:val="0"/>
              <w:widowControl/>
              <w:suppressLineNumbers w:val="0"/>
              <w:jc w:val="left"/>
              <w:textAlignment w:val="center"/>
              <w:rPr>
                <w:rStyle w:val="135"/>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管道以及接头</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SST304</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米</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80</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26</w:t>
            </w:r>
          </w:p>
        </w:tc>
        <w:tc>
          <w:tcPr>
            <w:tcW w:w="2865" w:type="dxa"/>
            <w:vAlign w:val="center"/>
          </w:tcPr>
          <w:p>
            <w:pPr>
              <w:keepNext w:val="0"/>
              <w:keepLines w:val="0"/>
              <w:widowControl/>
              <w:suppressLineNumbers w:val="0"/>
              <w:jc w:val="left"/>
              <w:textAlignment w:val="center"/>
              <w:rPr>
                <w:rStyle w:val="135"/>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变频器</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G120C</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27</w:t>
            </w:r>
          </w:p>
        </w:tc>
        <w:tc>
          <w:tcPr>
            <w:tcW w:w="2865" w:type="dxa"/>
            <w:vAlign w:val="center"/>
          </w:tcPr>
          <w:p>
            <w:pPr>
              <w:keepNext w:val="0"/>
              <w:keepLines w:val="0"/>
              <w:widowControl/>
              <w:suppressLineNumbers w:val="0"/>
              <w:jc w:val="left"/>
              <w:textAlignment w:val="center"/>
              <w:rPr>
                <w:rStyle w:val="135"/>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远程模块</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ET200SP</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28</w:t>
            </w:r>
          </w:p>
        </w:tc>
        <w:tc>
          <w:tcPr>
            <w:tcW w:w="2865" w:type="dxa"/>
            <w:vAlign w:val="center"/>
          </w:tcPr>
          <w:p>
            <w:pPr>
              <w:keepNext w:val="0"/>
              <w:keepLines w:val="0"/>
              <w:widowControl/>
              <w:suppressLineNumbers w:val="0"/>
              <w:jc w:val="left"/>
              <w:textAlignment w:val="center"/>
              <w:rPr>
                <w:rStyle w:val="135"/>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安全栅</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KCD</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29</w:t>
            </w:r>
          </w:p>
        </w:tc>
        <w:tc>
          <w:tcPr>
            <w:tcW w:w="2865" w:type="dxa"/>
            <w:vAlign w:val="center"/>
          </w:tcPr>
          <w:p>
            <w:pPr>
              <w:keepNext w:val="0"/>
              <w:keepLines w:val="0"/>
              <w:widowControl/>
              <w:suppressLineNumbers w:val="0"/>
              <w:jc w:val="left"/>
              <w:textAlignment w:val="center"/>
              <w:rPr>
                <w:rStyle w:val="135"/>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电缆</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CLASSIC 100</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米</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600</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30</w:t>
            </w:r>
          </w:p>
        </w:tc>
        <w:tc>
          <w:tcPr>
            <w:tcW w:w="2865" w:type="dxa"/>
            <w:vAlign w:val="center"/>
          </w:tcPr>
          <w:p>
            <w:pPr>
              <w:keepNext w:val="0"/>
              <w:keepLines w:val="0"/>
              <w:widowControl/>
              <w:suppressLineNumbers w:val="0"/>
              <w:jc w:val="left"/>
              <w:textAlignment w:val="center"/>
              <w:rPr>
                <w:rStyle w:val="135"/>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桥架</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线槽桥架，镀锌，400*200*1.5mm</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米</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250</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558" w:type="dxa"/>
            <w:vAlign w:val="center"/>
          </w:tcPr>
          <w:p>
            <w:pPr>
              <w:widowControl/>
              <w:jc w:val="center"/>
              <w:textAlignment w:val="center"/>
              <w:rPr>
                <w:rFonts w:hint="default"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31</w:t>
            </w:r>
          </w:p>
        </w:tc>
        <w:tc>
          <w:tcPr>
            <w:tcW w:w="2865" w:type="dxa"/>
            <w:vAlign w:val="center"/>
          </w:tcPr>
          <w:p>
            <w:pPr>
              <w:keepNext w:val="0"/>
              <w:keepLines w:val="0"/>
              <w:widowControl/>
              <w:suppressLineNumbers w:val="0"/>
              <w:jc w:val="left"/>
              <w:textAlignment w:val="center"/>
              <w:rPr>
                <w:rStyle w:val="135"/>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桥架</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r>
              <w:rPr>
                <w:rFonts w:hint="eastAsia" w:ascii="宋体" w:hAnsi="宋体" w:eastAsia="宋体" w:cs="宋体"/>
                <w:i w:val="0"/>
                <w:iCs w:val="0"/>
                <w:color w:val="000000"/>
                <w:kern w:val="0"/>
                <w:sz w:val="22"/>
                <w:szCs w:val="22"/>
                <w:u w:val="none"/>
                <w:lang w:val="en-US" w:eastAsia="zh-CN" w:bidi="ar"/>
              </w:rPr>
              <w:t>型材支架T&amp;L及夹板,41标准型材</w:t>
            </w: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米</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300</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right w:val="single" w:color="000000" w:sz="4" w:space="0"/>
            </w:tcBorders>
            <w:vAlign w:val="center"/>
          </w:tcPr>
          <w:p>
            <w:pPr>
              <w:jc w:val="left"/>
              <w:rPr>
                <w:rFonts w:ascii="宋体" w:hAnsi="宋体" w:eastAsia="宋体" w:cs="宋体"/>
                <w:spacing w:val="-6"/>
                <w:kern w:val="0"/>
                <w:sz w:val="20"/>
                <w:szCs w:val="21"/>
              </w:rPr>
            </w:pPr>
          </w:p>
        </w:tc>
        <w:tc>
          <w:tcPr>
            <w:tcW w:w="9933" w:type="dxa"/>
            <w:gridSpan w:val="6"/>
            <w:tcBorders>
              <w:right w:val="single" w:color="000000" w:sz="4" w:space="0"/>
            </w:tcBorders>
            <w:vAlign w:val="center"/>
          </w:tcPr>
          <w:p>
            <w:pPr>
              <w:jc w:val="center"/>
              <w:rPr>
                <w:rFonts w:ascii="Arial" w:hAnsi="Times New Roman" w:eastAsia="宋体" w:cs="Times New Roman"/>
                <w:kern w:val="0"/>
                <w:sz w:val="20"/>
                <w:szCs w:val="20"/>
              </w:rPr>
            </w:pPr>
            <w:r>
              <w:rPr>
                <w:rFonts w:ascii="宋体" w:hAnsi="宋体" w:eastAsia="宋体" w:cs="宋体"/>
                <w:spacing w:val="-6"/>
                <w:kern w:val="0"/>
                <w:sz w:val="20"/>
                <w:szCs w:val="21"/>
              </w:rPr>
              <w:t>总</w:t>
            </w:r>
            <w:r>
              <w:rPr>
                <w:rFonts w:ascii="宋体" w:hAnsi="宋体" w:eastAsia="宋体" w:cs="宋体"/>
                <w:spacing w:val="-4"/>
                <w:kern w:val="0"/>
                <w:sz w:val="20"/>
                <w:szCs w:val="21"/>
              </w:rPr>
              <w:t xml:space="preserve">价合计列入价格汇总表 </w:t>
            </w:r>
            <w:r>
              <w:rPr>
                <w:rFonts w:hint="eastAsia" w:ascii="宋体" w:hAnsi="宋体" w:eastAsia="宋体" w:cs="宋体"/>
                <w:spacing w:val="-4"/>
                <w:kern w:val="0"/>
                <w:sz w:val="20"/>
                <w:szCs w:val="21"/>
              </w:rPr>
              <w:t>9-5</w:t>
            </w: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bl>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p>
    <w:p>
      <w:pPr>
        <w:spacing w:before="52" w:line="221" w:lineRule="auto"/>
        <w:ind w:left="9"/>
        <w:jc w:val="center"/>
        <w:rPr>
          <w:rFonts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3" w:type="default"/>
          <w:pgSz w:w="16841" w:h="11907" w:orient="landscape"/>
          <w:pgMar w:top="400" w:right="1387" w:bottom="1168" w:left="1473" w:header="0" w:footer="990" w:gutter="0"/>
          <w:pgBorders>
            <w:top w:val="none" w:sz="0" w:space="0"/>
            <w:left w:val="none" w:sz="0" w:space="0"/>
            <w:bottom w:val="none" w:sz="0" w:space="0"/>
            <w:right w:val="none" w:sz="0" w:space="0"/>
          </w:pgBorders>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4" w:type="default"/>
          <w:pgSz w:w="16841" w:h="11907"/>
          <w:pgMar w:top="400" w:right="1699" w:bottom="1184" w:left="1481" w:header="0" w:footer="1022" w:gutter="0"/>
          <w:pgBorders>
            <w:top w:val="none" w:sz="0" w:space="0"/>
            <w:left w:val="none" w:sz="0" w:space="0"/>
            <w:bottom w:val="none" w:sz="0" w:space="0"/>
            <w:right w:val="none" w:sz="0" w:space="0"/>
          </w:pgBorders>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5" w:type="default"/>
          <w:pgSz w:w="16841" w:h="11907"/>
          <w:pgMar w:top="400" w:right="1699" w:bottom="1184" w:left="1481" w:header="0" w:footer="1022" w:gutter="0"/>
          <w:pgBorders>
            <w:top w:val="none" w:sz="0" w:space="0"/>
            <w:left w:val="none" w:sz="0" w:space="0"/>
            <w:bottom w:val="none" w:sz="0" w:space="0"/>
            <w:right w:val="none" w:sz="0" w:space="0"/>
          </w:pgBorders>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6" w:type="default"/>
          <w:pgSz w:w="16841" w:h="11907"/>
          <w:pgMar w:top="400" w:right="1500" w:bottom="1184" w:left="1480" w:header="0" w:footer="1022" w:gutter="0"/>
          <w:pgBorders>
            <w:top w:val="none" w:sz="0" w:space="0"/>
            <w:left w:val="none" w:sz="0" w:space="0"/>
            <w:bottom w:val="none" w:sz="0" w:space="0"/>
            <w:right w:val="none" w:sz="0" w:space="0"/>
          </w:pgBorders>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7" w:type="default"/>
          <w:pgSz w:w="16841" w:h="11907"/>
          <w:pgMar w:top="400" w:right="1699" w:bottom="1168" w:left="1481" w:header="0" w:footer="990" w:gutter="0"/>
          <w:pgBorders>
            <w:top w:val="none" w:sz="0" w:space="0"/>
            <w:left w:val="none" w:sz="0" w:space="0"/>
            <w:bottom w:val="none" w:sz="0" w:space="0"/>
            <w:right w:val="none" w:sz="0" w:space="0"/>
          </w:pgBorders>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莱芜工厂车身外饰件底涂清洗系统改造项目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莱芜工厂车身外饰件底涂清洗系统改造项目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8"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莱芜工厂车身外饰件底涂清洗系统改造项目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莱芜工厂车身外饰件底涂清洗系统改造项目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40" w:type="first"/>
          <w:footerReference r:id="rId42" w:type="first"/>
          <w:headerReference r:id="rId39" w:type="default"/>
          <w:footerReference r:id="rId4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2371"/>
        <w:gridCol w:w="503"/>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0" w:type="auto"/>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序号</w:t>
            </w:r>
          </w:p>
        </w:tc>
        <w:tc>
          <w:tcPr>
            <w:tcW w:w="0" w:type="auto"/>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内</w:t>
            </w:r>
            <w:r>
              <w:rPr>
                <w:rFonts w:ascii="宋体" w:hAnsi="宋体" w:eastAsia="宋体" w:cs="Times New Roman"/>
                <w:b/>
                <w:sz w:val="18"/>
                <w:szCs w:val="18"/>
                <w:highlight w:val="none"/>
              </w:rPr>
              <w:t xml:space="preserve">   </w:t>
            </w:r>
            <w:r>
              <w:rPr>
                <w:rFonts w:hint="eastAsia" w:ascii="宋体" w:hAnsi="宋体" w:eastAsia="宋体" w:cs="Times New Roman"/>
                <w:b/>
                <w:sz w:val="18"/>
                <w:szCs w:val="18"/>
                <w:highlight w:val="none"/>
              </w:rPr>
              <w:t>容</w:t>
            </w:r>
          </w:p>
        </w:tc>
        <w:tc>
          <w:tcPr>
            <w:tcW w:w="0" w:type="auto"/>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标准分</w:t>
            </w:r>
          </w:p>
        </w:tc>
        <w:tc>
          <w:tcPr>
            <w:tcW w:w="0" w:type="auto"/>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0" w:type="auto"/>
            <w:vAlign w:val="center"/>
          </w:tcPr>
          <w:p>
            <w:pPr>
              <w:tabs>
                <w:tab w:val="left" w:pos="13965"/>
              </w:tabs>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1</w:t>
            </w:r>
          </w:p>
        </w:tc>
        <w:tc>
          <w:tcPr>
            <w:tcW w:w="0" w:type="auto"/>
            <w:vAlign w:val="center"/>
          </w:tcPr>
          <w:p>
            <w:pPr>
              <w:spacing w:line="420" w:lineRule="exact"/>
              <w:rPr>
                <w:rFonts w:ascii="宋体" w:hAnsi="Times New Roman" w:eastAsia="宋体" w:cs="Times New Roman"/>
                <w:szCs w:val="21"/>
                <w:highlight w:val="none"/>
              </w:rPr>
            </w:pPr>
            <w:r>
              <w:rPr>
                <w:rFonts w:hint="eastAsia" w:ascii="宋体" w:hAnsi="宋体" w:eastAsia="宋体" w:cs="Times New Roman"/>
                <w:bCs/>
                <w:szCs w:val="21"/>
                <w:highlight w:val="none"/>
              </w:rPr>
              <w:t>设备制造商装备制造能力、生产设备、加工工艺、完善程度</w:t>
            </w:r>
          </w:p>
        </w:tc>
        <w:tc>
          <w:tcPr>
            <w:tcW w:w="0" w:type="auto"/>
            <w:vAlign w:val="center"/>
          </w:tcPr>
          <w:p>
            <w:pPr>
              <w:tabs>
                <w:tab w:val="left" w:pos="13965"/>
              </w:tabs>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15</w:t>
            </w:r>
          </w:p>
        </w:tc>
        <w:tc>
          <w:tcPr>
            <w:tcW w:w="0" w:type="auto"/>
            <w:vAlign w:val="center"/>
          </w:tcPr>
          <w:p>
            <w:pPr>
              <w:spacing w:line="420" w:lineRule="exact"/>
              <w:rPr>
                <w:rFonts w:hint="eastAsia" w:ascii="宋体" w:hAnsi="宋体" w:eastAsia="宋体" w:cs="Times New Roman"/>
                <w:bCs/>
                <w:szCs w:val="21"/>
                <w:highlight w:val="none"/>
              </w:rPr>
            </w:pPr>
            <w:r>
              <w:rPr>
                <w:rFonts w:hint="eastAsia" w:ascii="宋体" w:hAnsi="宋体" w:eastAsia="宋体" w:cs="Times New Roman"/>
                <w:bCs/>
                <w:szCs w:val="21"/>
                <w:highlight w:val="none"/>
              </w:rPr>
              <w:t>投标人的装备制造能力、生产设备、加工工艺先进、完善程度，视情况得0-15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2</w:t>
            </w:r>
          </w:p>
        </w:tc>
        <w:tc>
          <w:tcPr>
            <w:tcW w:w="0" w:type="auto"/>
            <w:vAlign w:val="center"/>
          </w:tcPr>
          <w:p>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15</w:t>
            </w:r>
          </w:p>
        </w:tc>
        <w:tc>
          <w:tcPr>
            <w:tcW w:w="0" w:type="auto"/>
            <w:vAlign w:val="center"/>
          </w:tcPr>
          <w:p>
            <w:pPr>
              <w:spacing w:line="420" w:lineRule="exact"/>
              <w:rPr>
                <w:rFonts w:hint="eastAsia" w:ascii="宋体" w:hAnsi="宋体" w:eastAsia="宋体" w:cs="Times New Roman"/>
                <w:bCs/>
                <w:szCs w:val="21"/>
                <w:highlight w:val="none"/>
              </w:rPr>
            </w:pPr>
            <w:r>
              <w:rPr>
                <w:rFonts w:hint="eastAsia" w:ascii="宋体" w:hAnsi="宋体" w:eastAsia="宋体" w:cs="Times New Roman"/>
                <w:bCs/>
                <w:szCs w:val="21"/>
                <w:highlight w:val="none"/>
              </w:rPr>
              <w:t>产品方案技术先进、各系统完善、性能可靠，设备主要核心部件，具备自身技术优势，节能环保，视情况得0-15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3</w:t>
            </w:r>
          </w:p>
        </w:tc>
        <w:tc>
          <w:tcPr>
            <w:tcW w:w="0" w:type="auto"/>
            <w:vAlign w:val="center"/>
          </w:tcPr>
          <w:p>
            <w:pPr>
              <w:spacing w:line="420" w:lineRule="exact"/>
              <w:rPr>
                <w:rFonts w:ascii="宋体" w:hAnsi="Times New Roman" w:eastAsia="宋体" w:cs="Times New Roman"/>
                <w:bCs/>
                <w:szCs w:val="21"/>
                <w:highlight w:val="none"/>
              </w:rPr>
            </w:pPr>
            <w:r>
              <w:rPr>
                <w:rFonts w:hint="eastAsia" w:ascii="宋体" w:hAnsi="宋体" w:eastAsia="宋体" w:cs="Times New Roman"/>
                <w:bCs/>
                <w:szCs w:val="21"/>
                <w:highlight w:val="none"/>
              </w:rPr>
              <w:t>产品维保</w:t>
            </w:r>
          </w:p>
        </w:tc>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0" w:type="auto"/>
            <w:vAlign w:val="center"/>
          </w:tcPr>
          <w:p>
            <w:pPr>
              <w:spacing w:line="420" w:lineRule="exact"/>
              <w:rPr>
                <w:rFonts w:hint="eastAsia" w:ascii="宋体" w:hAnsi="宋体" w:eastAsia="宋体" w:cs="Times New Roman"/>
                <w:bCs/>
                <w:szCs w:val="21"/>
                <w:highlight w:val="none"/>
              </w:rPr>
            </w:pPr>
            <w:r>
              <w:rPr>
                <w:rFonts w:hint="eastAsia" w:ascii="宋体" w:hAnsi="宋体" w:eastAsia="宋体" w:cs="Times New Roman"/>
                <w:bCs/>
                <w:szCs w:val="21"/>
                <w:highlight w:val="none"/>
              </w:rPr>
              <w:t>易于维修、操作方便，产品附件配置齐全，质量可靠，设备在使用期内的维护费用，视情况得0-10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4</w:t>
            </w:r>
          </w:p>
        </w:tc>
        <w:tc>
          <w:tcPr>
            <w:tcW w:w="0" w:type="auto"/>
            <w:vAlign w:val="center"/>
          </w:tcPr>
          <w:p>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技术培训方案：对采购方人员的技术培训方案安排科学、合理、可行</w:t>
            </w:r>
          </w:p>
        </w:tc>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0" w:type="auto"/>
            <w:vAlign w:val="center"/>
          </w:tcPr>
          <w:p>
            <w:pPr>
              <w:spacing w:line="420" w:lineRule="exact"/>
              <w:rPr>
                <w:rFonts w:hint="eastAsia" w:ascii="宋体" w:hAnsi="宋体" w:eastAsia="宋体" w:cs="Times New Roman"/>
                <w:bCs/>
                <w:szCs w:val="21"/>
                <w:highlight w:val="none"/>
              </w:rPr>
            </w:pPr>
            <w:r>
              <w:rPr>
                <w:rFonts w:hint="eastAsia" w:ascii="宋体" w:hAnsi="宋体" w:eastAsia="宋体" w:cs="Times New Roman"/>
                <w:bCs/>
                <w:szCs w:val="21"/>
                <w:highlight w:val="none"/>
              </w:rPr>
              <w:t>安装、调试方案合理、完善、切实可行，安全、工期、质量保证措施合理可行能确保安全，视情况得0-10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5</w:t>
            </w:r>
          </w:p>
        </w:tc>
        <w:tc>
          <w:tcPr>
            <w:tcW w:w="0" w:type="auto"/>
            <w:vAlign w:val="center"/>
          </w:tcPr>
          <w:p>
            <w:pPr>
              <w:spacing w:line="420" w:lineRule="exact"/>
              <w:rPr>
                <w:rFonts w:ascii="宋体" w:hAnsi="Times New Roman" w:eastAsia="宋体" w:cs="Times New Roman"/>
                <w:szCs w:val="21"/>
                <w:highlight w:val="none"/>
              </w:rPr>
            </w:pPr>
            <w:r>
              <w:rPr>
                <w:rFonts w:hint="eastAsia" w:ascii="宋体" w:hAnsi="Times New Roman" w:eastAsia="宋体" w:cs="Times New Roman"/>
                <w:szCs w:val="21"/>
                <w:highlight w:val="none"/>
              </w:rPr>
              <w:t>安调水平</w:t>
            </w:r>
          </w:p>
        </w:tc>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0" w:type="auto"/>
            <w:vAlign w:val="center"/>
          </w:tcPr>
          <w:p>
            <w:pPr>
              <w:spacing w:line="420" w:lineRule="exact"/>
              <w:jc w:val="left"/>
              <w:rPr>
                <w:rFonts w:ascii="宋体" w:hAnsi="Times New Roman" w:eastAsia="宋体" w:cs="Times New Roman"/>
                <w:bCs/>
                <w:szCs w:val="21"/>
                <w:highlight w:val="none"/>
              </w:rPr>
            </w:pPr>
            <w:r>
              <w:rPr>
                <w:rFonts w:hint="eastAsia" w:ascii="宋体" w:hAnsi="Times New Roman" w:eastAsia="宋体" w:cs="Times New Roman"/>
                <w:bCs/>
                <w:szCs w:val="21"/>
                <w:highlight w:val="none"/>
              </w:rPr>
              <w:t>安装、调试人员的配备、技术经验、技术水平，视情况得0-10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6</w:t>
            </w:r>
          </w:p>
        </w:tc>
        <w:tc>
          <w:tcPr>
            <w:tcW w:w="0" w:type="auto"/>
            <w:vAlign w:val="center"/>
          </w:tcPr>
          <w:p>
            <w:pPr>
              <w:spacing w:line="420" w:lineRule="exact"/>
              <w:rPr>
                <w:rFonts w:ascii="宋体" w:hAnsi="Times New Roman" w:eastAsia="宋体" w:cs="Times New Roman"/>
                <w:szCs w:val="21"/>
                <w:highlight w:val="none"/>
              </w:rPr>
            </w:pPr>
            <w:r>
              <w:rPr>
                <w:rFonts w:hint="eastAsia" w:ascii="宋体" w:hAnsi="Times New Roman" w:eastAsia="宋体" w:cs="Times New Roman"/>
                <w:szCs w:val="21"/>
                <w:highlight w:val="none"/>
              </w:rPr>
              <w:t>项目组织及人员</w:t>
            </w:r>
          </w:p>
        </w:tc>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0" w:type="auto"/>
            <w:vAlign w:val="center"/>
          </w:tcPr>
          <w:p>
            <w:pPr>
              <w:spacing w:line="420" w:lineRule="exact"/>
              <w:rPr>
                <w:rFonts w:ascii="宋体" w:hAnsi="Times New Roman" w:eastAsia="宋体" w:cs="Times New Roman"/>
                <w:bCs/>
                <w:szCs w:val="21"/>
                <w:highlight w:val="none"/>
              </w:rPr>
            </w:pPr>
            <w:r>
              <w:rPr>
                <w:rFonts w:hint="eastAsia" w:ascii="宋体" w:hAnsi="宋体" w:eastAsia="宋体" w:cs="Times New Roman"/>
                <w:bCs/>
                <w:szCs w:val="21"/>
                <w:highlight w:val="none"/>
              </w:rPr>
              <w:t>成立专项小组且职责明确，全流程项目人员经验丰富。自主赋分。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7</w:t>
            </w:r>
          </w:p>
        </w:tc>
        <w:tc>
          <w:tcPr>
            <w:tcW w:w="0" w:type="auto"/>
            <w:shd w:val="clear" w:color="auto" w:fill="auto"/>
            <w:vAlign w:val="center"/>
          </w:tcPr>
          <w:p>
            <w:pPr>
              <w:spacing w:line="420" w:lineRule="exact"/>
              <w:rPr>
                <w:rFonts w:ascii="宋体" w:hAnsi="Times New Roman" w:eastAsia="宋体" w:cs="Times New Roman"/>
                <w:szCs w:val="21"/>
                <w:highlight w:val="none"/>
              </w:rPr>
            </w:pPr>
            <w:r>
              <w:rPr>
                <w:rFonts w:hint="eastAsia" w:ascii="宋体" w:hAnsi="Times New Roman" w:eastAsia="宋体" w:cs="Times New Roman"/>
                <w:szCs w:val="21"/>
                <w:highlight w:val="none"/>
              </w:rPr>
              <w:t>计划控制</w:t>
            </w:r>
          </w:p>
        </w:tc>
        <w:tc>
          <w:tcPr>
            <w:tcW w:w="0" w:type="auto"/>
            <w:shd w:val="clear" w:color="auto" w:fill="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bCs/>
                <w:szCs w:val="21"/>
                <w:highlight w:val="none"/>
              </w:rPr>
              <w:t>10</w:t>
            </w:r>
          </w:p>
        </w:tc>
        <w:tc>
          <w:tcPr>
            <w:tcW w:w="0" w:type="auto"/>
            <w:shd w:val="clear" w:color="auto" w:fill="auto"/>
            <w:vAlign w:val="center"/>
          </w:tcPr>
          <w:p>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8</w:t>
            </w:r>
          </w:p>
        </w:tc>
        <w:tc>
          <w:tcPr>
            <w:tcW w:w="0" w:type="auto"/>
            <w:vAlign w:val="center"/>
          </w:tcPr>
          <w:p>
            <w:pPr>
              <w:spacing w:line="420" w:lineRule="exact"/>
              <w:rPr>
                <w:rFonts w:ascii="宋体" w:hAnsi="Times New Roman" w:eastAsia="宋体" w:cs="Times New Roman"/>
                <w:szCs w:val="21"/>
                <w:highlight w:val="none"/>
              </w:rPr>
            </w:pPr>
            <w:r>
              <w:rPr>
                <w:rFonts w:hint="eastAsia" w:ascii="宋体" w:hAnsi="宋体" w:eastAsia="宋体" w:cs="Times New Roman"/>
                <w:szCs w:val="21"/>
                <w:highlight w:val="none"/>
              </w:rPr>
              <w:t>业绩</w:t>
            </w:r>
          </w:p>
        </w:tc>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5</w:t>
            </w:r>
          </w:p>
        </w:tc>
        <w:tc>
          <w:tcPr>
            <w:tcW w:w="0" w:type="auto"/>
            <w:vAlign w:val="center"/>
          </w:tcPr>
          <w:p>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9</w:t>
            </w:r>
          </w:p>
        </w:tc>
        <w:tc>
          <w:tcPr>
            <w:tcW w:w="0" w:type="auto"/>
            <w:vAlign w:val="center"/>
          </w:tcPr>
          <w:p>
            <w:pPr>
              <w:spacing w:line="420" w:lineRule="exact"/>
              <w:rPr>
                <w:rFonts w:ascii="宋体" w:hAnsi="宋体" w:eastAsia="宋体" w:cs="Times New Roman"/>
                <w:szCs w:val="21"/>
                <w:highlight w:val="none"/>
              </w:rPr>
            </w:pPr>
            <w:r>
              <w:rPr>
                <w:rFonts w:hint="eastAsia" w:ascii="宋体" w:hAnsi="宋体" w:eastAsia="宋体" w:cs="Times New Roman"/>
                <w:szCs w:val="21"/>
                <w:highlight w:val="none"/>
              </w:rPr>
              <w:t>质量保证</w:t>
            </w:r>
          </w:p>
        </w:tc>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0" w:type="auto"/>
            <w:vAlign w:val="center"/>
          </w:tcPr>
          <w:p>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0" w:type="auto"/>
            <w:vAlign w:val="center"/>
          </w:tcPr>
          <w:p>
            <w:pPr>
              <w:spacing w:line="420" w:lineRule="exact"/>
              <w:rPr>
                <w:rFonts w:ascii="宋体" w:hAnsi="宋体" w:eastAsia="宋体" w:cs="Times New Roman"/>
                <w:szCs w:val="21"/>
                <w:highlight w:val="none"/>
              </w:rPr>
            </w:pPr>
            <w:r>
              <w:rPr>
                <w:rFonts w:hint="eastAsia" w:ascii="宋体" w:hAnsi="宋体" w:eastAsia="宋体" w:cs="Times New Roman"/>
                <w:szCs w:val="21"/>
                <w:highlight w:val="none"/>
              </w:rPr>
              <w:t>售后服务</w:t>
            </w:r>
          </w:p>
        </w:tc>
        <w:tc>
          <w:tcPr>
            <w:tcW w:w="0" w:type="auto"/>
            <w:vAlign w:val="center"/>
          </w:tcPr>
          <w:p>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5</w:t>
            </w:r>
          </w:p>
        </w:tc>
        <w:tc>
          <w:tcPr>
            <w:tcW w:w="0" w:type="auto"/>
            <w:vAlign w:val="center"/>
          </w:tcPr>
          <w:p>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pPr>
        <w:rPr>
          <w:rFonts w:hint="eastAsia" w:ascii="宋体" w:hAnsi="宋体" w:eastAsia="宋体" w:cs="Times New Roman"/>
          <w:b/>
          <w:bCs/>
          <w:sz w:val="24"/>
          <w:szCs w:val="24"/>
          <w:highlight w:val="none"/>
        </w:rPr>
      </w:pPr>
    </w:p>
    <w:p>
      <w:pPr>
        <w:pStyle w:val="17"/>
        <w:rPr>
          <w:rFonts w:hint="eastAsia"/>
        </w:rPr>
      </w:pP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pPr>
      <w:r>
        <w:rPr>
          <w:rFonts w:hint="eastAsia" w:hAnsi="宋体" w:eastAsia="宋体" w:cs="宋体"/>
          <w:b/>
          <w:bCs/>
          <w:color w:val="000000"/>
          <w:sz w:val="24"/>
          <w:szCs w:val="28"/>
          <w:highlight w:val="yellow"/>
        </w:rPr>
        <w:t>2.配套能力“供货类别”填“工艺设备”，业务主管部门为“工艺研究院”。</w:t>
      </w:r>
    </w:p>
    <w:p>
      <w:pPr>
        <w:pStyle w:val="17"/>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C3988"/>
    <w:multiLevelType w:val="singleLevel"/>
    <w:tmpl w:val="93AC3988"/>
    <w:lvl w:ilvl="0" w:tentative="0">
      <w:start w:val="10"/>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7DE7897"/>
    <w:multiLevelType w:val="singleLevel"/>
    <w:tmpl w:val="77DE7897"/>
    <w:lvl w:ilvl="0" w:tentative="0">
      <w:start w:val="1"/>
      <w:numFmt w:val="decimal"/>
      <w:lvlText w:val="%1."/>
      <w:lvlJc w:val="left"/>
      <w:pPr>
        <w:tabs>
          <w:tab w:val="left" w:pos="312"/>
        </w:tabs>
      </w:p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1"/>
  </w:num>
  <w:num w:numId="4">
    <w:abstractNumId w:val="10"/>
  </w:num>
  <w:num w:numId="5">
    <w:abstractNumId w:val="5"/>
  </w:num>
  <w:num w:numId="6">
    <w:abstractNumId w:val="3"/>
  </w:num>
  <w:num w:numId="7">
    <w:abstractNumId w:val="7"/>
  </w:num>
  <w:num w:numId="8">
    <w:abstractNumId w:val="2"/>
  </w:num>
  <w:num w:numId="9">
    <w:abstractNumId w:val="6"/>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C4547"/>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C2B7B"/>
    <w:rsid w:val="0D9308F8"/>
    <w:rsid w:val="0DE76C3D"/>
    <w:rsid w:val="0E1A1D85"/>
    <w:rsid w:val="0E750568"/>
    <w:rsid w:val="0E9C3C97"/>
    <w:rsid w:val="0E9E36B9"/>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F0A2E"/>
    <w:rsid w:val="17770BC2"/>
    <w:rsid w:val="17860E2F"/>
    <w:rsid w:val="17A119AA"/>
    <w:rsid w:val="18586F2B"/>
    <w:rsid w:val="19A766B9"/>
    <w:rsid w:val="19CE76BA"/>
    <w:rsid w:val="19F26070"/>
    <w:rsid w:val="19F97C8B"/>
    <w:rsid w:val="1A1523CE"/>
    <w:rsid w:val="1AA730BD"/>
    <w:rsid w:val="1B333D5D"/>
    <w:rsid w:val="1B587618"/>
    <w:rsid w:val="1B5F19C7"/>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776D1"/>
    <w:rsid w:val="30862574"/>
    <w:rsid w:val="30B631E1"/>
    <w:rsid w:val="311933AA"/>
    <w:rsid w:val="317D15BB"/>
    <w:rsid w:val="31D07E6C"/>
    <w:rsid w:val="323F65DA"/>
    <w:rsid w:val="32412074"/>
    <w:rsid w:val="32DE0199"/>
    <w:rsid w:val="333C2963"/>
    <w:rsid w:val="335B2774"/>
    <w:rsid w:val="33A4642E"/>
    <w:rsid w:val="33D4039C"/>
    <w:rsid w:val="33D47E05"/>
    <w:rsid w:val="3413677D"/>
    <w:rsid w:val="342B544B"/>
    <w:rsid w:val="345E036E"/>
    <w:rsid w:val="34C47852"/>
    <w:rsid w:val="34DE1E4F"/>
    <w:rsid w:val="34F07DB1"/>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D2D59"/>
    <w:rsid w:val="3C764DD6"/>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4A218C"/>
    <w:rsid w:val="52EF4CB5"/>
    <w:rsid w:val="52F959F0"/>
    <w:rsid w:val="5302488E"/>
    <w:rsid w:val="53136173"/>
    <w:rsid w:val="534B12B7"/>
    <w:rsid w:val="539A4AC7"/>
    <w:rsid w:val="542631B6"/>
    <w:rsid w:val="5447483C"/>
    <w:rsid w:val="54942CAE"/>
    <w:rsid w:val="54A61722"/>
    <w:rsid w:val="54B31FAF"/>
    <w:rsid w:val="55326D63"/>
    <w:rsid w:val="555D1A10"/>
    <w:rsid w:val="55C300FC"/>
    <w:rsid w:val="56AC4A78"/>
    <w:rsid w:val="56DB16B9"/>
    <w:rsid w:val="577A3463"/>
    <w:rsid w:val="57F967AD"/>
    <w:rsid w:val="58052975"/>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E1D6F56"/>
    <w:rsid w:val="5E52187F"/>
    <w:rsid w:val="5E6A13CD"/>
    <w:rsid w:val="5E705D15"/>
    <w:rsid w:val="5E93326C"/>
    <w:rsid w:val="5E9F1A7A"/>
    <w:rsid w:val="5EAF3818"/>
    <w:rsid w:val="5EFB4BA4"/>
    <w:rsid w:val="5F025452"/>
    <w:rsid w:val="5F5F46B5"/>
    <w:rsid w:val="5FB25360"/>
    <w:rsid w:val="5FBA3CC0"/>
    <w:rsid w:val="5FD90D61"/>
    <w:rsid w:val="60177697"/>
    <w:rsid w:val="602329DB"/>
    <w:rsid w:val="607777D6"/>
    <w:rsid w:val="60BC76A1"/>
    <w:rsid w:val="610B7637"/>
    <w:rsid w:val="612279BA"/>
    <w:rsid w:val="615F5624"/>
    <w:rsid w:val="61D215CF"/>
    <w:rsid w:val="625C563D"/>
    <w:rsid w:val="626A1704"/>
    <w:rsid w:val="627921C2"/>
    <w:rsid w:val="62B362C8"/>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8F7086"/>
    <w:rsid w:val="67D30B32"/>
    <w:rsid w:val="68011379"/>
    <w:rsid w:val="68252C37"/>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3E37B9F"/>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B3264DD"/>
    <w:rsid w:val="7B81188A"/>
    <w:rsid w:val="7B9E2902"/>
    <w:rsid w:val="7BC854E2"/>
    <w:rsid w:val="7C0562EC"/>
    <w:rsid w:val="7C067A45"/>
    <w:rsid w:val="7C27683F"/>
    <w:rsid w:val="7CB14B4D"/>
    <w:rsid w:val="7CF26969"/>
    <w:rsid w:val="7D25523C"/>
    <w:rsid w:val="7DB23041"/>
    <w:rsid w:val="7E5F7809"/>
    <w:rsid w:val="7ED56C53"/>
    <w:rsid w:val="7EEA1BAF"/>
    <w:rsid w:val="7F012A6E"/>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0"/>
    <w:next w:val="10"/>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3"/>
    <w:qFormat/>
    <w:uiPriority w:val="9"/>
    <w:rPr>
      <w:rFonts w:ascii="Arial" w:hAnsi="Arial" w:eastAsia="宋体" w:cs="Times New Roman"/>
      <w:b/>
      <w:bCs/>
      <w:sz w:val="24"/>
      <w:szCs w:val="32"/>
    </w:rPr>
  </w:style>
  <w:style w:type="character" w:customStyle="1" w:styleId="48">
    <w:name w:val="标题 3 字符"/>
    <w:basedOn w:val="38"/>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无编号正文"/>
    <w:basedOn w:val="1"/>
    <w:qFormat/>
    <w:uiPriority w:val="0"/>
    <w:pPr>
      <w:spacing w:line="360" w:lineRule="exact"/>
      <w:ind w:firstLine="200" w:firstLineChars="200"/>
    </w:pPr>
    <w:rPr>
      <w:szCs w:val="21"/>
    </w:rPr>
  </w:style>
  <w:style w:type="character" w:customStyle="1" w:styleId="134">
    <w:name w:val="font21"/>
    <w:basedOn w:val="38"/>
    <w:qFormat/>
    <w:uiPriority w:val="0"/>
    <w:rPr>
      <w:rFonts w:hint="eastAsia" w:ascii="微软雅黑" w:hAnsi="微软雅黑" w:eastAsia="微软雅黑" w:cs="微软雅黑"/>
      <w:color w:val="000000"/>
      <w:sz w:val="18"/>
      <w:szCs w:val="18"/>
      <w:u w:val="none"/>
    </w:rPr>
  </w:style>
  <w:style w:type="character" w:customStyle="1" w:styleId="135">
    <w:name w:val="font31"/>
    <w:basedOn w:val="38"/>
    <w:qFormat/>
    <w:uiPriority w:val="0"/>
    <w:rPr>
      <w:rFonts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header" Target="header2.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31566</Words>
  <Characters>33036</Characters>
  <Lines>305</Lines>
  <Paragraphs>86</Paragraphs>
  <TotalTime>63</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李月兵</cp:lastModifiedBy>
  <cp:lastPrinted>2022-07-01T03:19:00Z</cp:lastPrinted>
  <dcterms:modified xsi:type="dcterms:W3CDTF">2024-07-26T05:57:10Z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