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中国重汽集团卡车公司、橡塑件公司新建VOCS在线监控系统项目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pPr>
        <w:pStyle w:val="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pPr>
            <w:pStyle w:val="16"/>
            <w:rPr>
              <w:rFonts w:hint="eastAsia"/>
            </w:rPr>
          </w:pP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_Toc7763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pPr>
            <w:pStyle w:val="2"/>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2"/>
        <w:numPr>
          <w:ilvl w:val="0"/>
          <w:numId w:val="0"/>
        </w:numPr>
        <w:jc w:val="both"/>
        <w:outlineLvl w:val="9"/>
        <w:rPr>
          <w:rFonts w:hint="eastAsia" w:ascii="仿宋_GB2312" w:hAnsi="仿宋_GB2312" w:eastAsia="仿宋_GB2312" w:cs="仿宋_GB2312"/>
          <w:b/>
          <w:bCs/>
          <w:kern w:val="44"/>
          <w:sz w:val="36"/>
          <w:szCs w:val="44"/>
        </w:rPr>
      </w:pPr>
    </w:p>
    <w:p>
      <w:pPr>
        <w:pStyle w:val="3"/>
        <w:bidi w:val="0"/>
        <w:ind w:left="0"/>
        <w:jc w:val="both"/>
        <w:rPr>
          <w:rFonts w:hint="eastAsia" w:ascii="仿宋_GB2312" w:hAnsi="仿宋_GB2312" w:eastAsia="仿宋_GB2312" w:cs="仿宋_GB2312"/>
          <w:sz w:val="44"/>
          <w:szCs w:val="44"/>
          <w:lang w:val="en-US" w:eastAsia="zh-CN"/>
        </w:rPr>
      </w:pPr>
      <w:bookmarkStart w:id="0" w:name="_Toc29994"/>
      <w:bookmarkStart w:id="1" w:name="_Toc5202"/>
      <w:bookmarkStart w:id="2" w:name="_Toc15480"/>
      <w:bookmarkStart w:id="3" w:name="_Toc22242"/>
      <w:bookmarkStart w:id="4" w:name="_Toc23693"/>
    </w:p>
    <w:p>
      <w:pPr>
        <w:pStyle w:val="3"/>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中国重汽集团卡车公司、橡塑件公司新建VOCS在线监控系统项目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CGZX2024100124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中国重汽集团卡车公司、橡塑件公司新建VOCS在线监控系统项目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黄工</w:t>
            </w:r>
          </w:p>
          <w:p>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Cs/>
                <w:snapToGrid w:val="0"/>
                <w:color w:val="auto"/>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p>
            <w:pPr>
              <w:keepNext w:val="0"/>
              <w:keepLines w:val="0"/>
              <w:suppressLineNumbers w:val="0"/>
              <w:spacing w:before="0" w:beforeAutospacing="0" w:after="0" w:afterAutospacing="0"/>
              <w:ind w:left="0" w:right="0"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lang w:val="en-US" w:eastAsia="zh-CN"/>
              </w:rPr>
              <w:t>技术</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郑</w:t>
            </w:r>
            <w:r>
              <w:rPr>
                <w:rFonts w:hint="eastAsia" w:ascii="仿宋_GB2312" w:hAnsi="仿宋_GB2312" w:eastAsia="仿宋_GB2312" w:cs="仿宋_GB2312"/>
                <w:b/>
                <w:bCs/>
                <w:snapToGrid w:val="0"/>
                <w:kern w:val="0"/>
                <w:sz w:val="24"/>
                <w:szCs w:val="24"/>
                <w:highlight w:val="none"/>
                <w:lang w:val="en-US" w:eastAsia="zh-CN"/>
              </w:rPr>
              <w:t xml:space="preserve">工  </w:t>
            </w:r>
            <w:r>
              <w:rPr>
                <w:rFonts w:hint="eastAsia" w:ascii="仿宋_GB2312" w:hAnsi="仿宋_GB2312" w:eastAsia="仿宋_GB2312" w:cs="仿宋_GB2312"/>
                <w:b/>
                <w:snapToGrid w:val="0"/>
                <w:kern w:val="0"/>
                <w:sz w:val="24"/>
                <w:szCs w:val="24"/>
                <w:highlight w:val="none"/>
                <w:lang w:val="en-US" w:eastAsia="zh-CN"/>
              </w:rPr>
              <w:t xml:space="preserve"> </w:t>
            </w:r>
          </w:p>
          <w:p>
            <w:pPr>
              <w:pStyle w:val="2"/>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15954121025</w:t>
            </w:r>
          </w:p>
          <w:p>
            <w:pPr>
              <w:pStyle w:val="2"/>
              <w:keepNext w:val="0"/>
              <w:keepLines w:val="0"/>
              <w:suppressLineNumbers w:val="0"/>
              <w:spacing w:before="0" w:beforeAutospacing="0" w:after="0" w:afterAutospacing="0"/>
              <w:ind w:left="0" w:leftChars="0" w:right="0" w:rightChars="0"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rPr>
              <w:t>邮箱：</w:t>
            </w:r>
            <w:r>
              <w:rPr>
                <w:rFonts w:hint="eastAsia" w:ascii="宋体" w:hAnsi="宋体" w:eastAsia="宋体" w:cs="宋体"/>
                <w:sz w:val="24"/>
                <w:szCs w:val="24"/>
              </w:rPr>
              <w:t>zhengdongying@sinotruk.com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156</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5</w:t>
            </w:r>
            <w:r>
              <w:rPr>
                <w:rFonts w:hint="eastAsia" w:ascii="仿宋_GB2312" w:hAnsi="仿宋_GB2312" w:eastAsia="仿宋_GB2312" w:cs="仿宋_GB2312"/>
                <w:sz w:val="24"/>
                <w:szCs w:val="24"/>
                <w:highlight w:val="yellow"/>
              </w:rPr>
              <w:t>00万人民币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投标人为代理商的须具有</w:t>
            </w:r>
            <w:r>
              <w:rPr>
                <w:rFonts w:hint="eastAsia" w:ascii="仿宋_GB2312" w:hAnsi="仿宋_GB2312" w:eastAsia="仿宋_GB2312" w:cs="仿宋_GB2312"/>
                <w:sz w:val="24"/>
                <w:szCs w:val="24"/>
                <w:highlight w:val="yellow"/>
              </w:rPr>
              <w:t>制造商出具的</w:t>
            </w:r>
            <w:r>
              <w:rPr>
                <w:rFonts w:hint="eastAsia" w:ascii="仿宋_GB2312" w:hAnsi="仿宋_GB2312" w:eastAsia="仿宋_GB2312" w:cs="仿宋_GB2312"/>
                <w:sz w:val="24"/>
                <w:szCs w:val="24"/>
                <w:highlight w:val="yellow"/>
                <w:lang w:val="en-US" w:eastAsia="zh-CN"/>
              </w:rPr>
              <w:t>正式授权，提供授权书原件（针对该项目的唯一授权书），保证提供原厂售后服务并提供</w:t>
            </w:r>
            <w:r>
              <w:rPr>
                <w:rFonts w:hint="eastAsia" w:ascii="仿宋_GB2312" w:hAnsi="仿宋_GB2312" w:eastAsia="仿宋_GB2312" w:cs="仿宋_GB2312"/>
                <w:sz w:val="24"/>
                <w:szCs w:val="24"/>
              </w:rPr>
              <w:t>售后服务承诺</w:t>
            </w:r>
            <w:r>
              <w:rPr>
                <w:rFonts w:hint="eastAsia" w:ascii="仿宋_GB2312" w:hAnsi="仿宋_GB2312" w:eastAsia="仿宋_GB2312" w:cs="仿宋_GB2312"/>
                <w:sz w:val="24"/>
                <w:szCs w:val="24"/>
                <w:lang w:val="en-US" w:eastAsia="zh-CN"/>
              </w:rPr>
              <w:t>书原件</w:t>
            </w:r>
            <w:r>
              <w:rPr>
                <w:rFonts w:hint="eastAsia" w:ascii="仿宋_GB2312" w:hAnsi="仿宋_GB2312" w:eastAsia="仿宋_GB2312" w:cs="仿宋_GB2312"/>
                <w:sz w:val="24"/>
                <w:szCs w:val="24"/>
                <w:lang w:eastAsia="zh-CN"/>
              </w:rPr>
              <w:t>；</w:t>
            </w:r>
          </w:p>
          <w:p>
            <w:pPr>
              <w:pStyle w:val="2"/>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pPr>
              <w:pStyle w:val="2"/>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pPr>
              <w:pStyle w:val="2"/>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pPr>
              <w:pStyle w:val="2"/>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必须</w:t>
            </w:r>
            <w:r>
              <w:rPr>
                <w:rFonts w:hint="eastAsia" w:ascii="仿宋_GB2312" w:hAnsi="仿宋_GB2312" w:eastAsia="仿宋_GB2312" w:cs="仿宋_GB2312"/>
                <w:color w:val="000000" w:themeColor="text1"/>
                <w:sz w:val="24"/>
                <w:szCs w:val="24"/>
                <w:highlight w:val="none"/>
                <w14:textFill>
                  <w14:solidFill>
                    <w14:schemeClr w14:val="tx1"/>
                  </w14:solidFill>
                </w14:textFill>
              </w:rPr>
              <w:t>在国内知名汽车行业或检测机构有业绩</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无业绩者不可参加</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p>
          <w:p>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pPr>
              <w:pStyle w:val="2"/>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pPr>
              <w:pStyle w:val="2"/>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pPr>
              <w:pStyle w:val="2"/>
              <w:ind w:firstLine="480" w:firstLineChars="200"/>
              <w:rPr>
                <w:rFonts w:hint="eastAsia" w:ascii="仿宋_GB2312" w:hAnsi="仿宋_GB2312" w:eastAsia="仿宋_GB2312" w:cs="仿宋_GB2312"/>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rPr>
              <w:t>202</w:t>
            </w:r>
            <w:r>
              <w:rPr>
                <w:rFonts w:hint="eastAsia" w:ascii="仿宋_GB2312" w:hAnsi="仿宋_GB2312" w:eastAsia="仿宋_GB2312" w:cs="仿宋_GB2312"/>
                <w:bCs/>
                <w:sz w:val="24"/>
                <w:szCs w:val="24"/>
                <w:highlight w:val="green"/>
                <w:lang w:val="en-US" w:eastAsia="zh-CN"/>
              </w:rPr>
              <w:t>4</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10</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23</w:t>
            </w:r>
            <w:r>
              <w:rPr>
                <w:rFonts w:hint="eastAsia" w:ascii="仿宋_GB2312" w:hAnsi="仿宋_GB2312" w:eastAsia="仿宋_GB2312" w:cs="仿宋_GB2312"/>
                <w:bCs/>
                <w:sz w:val="24"/>
                <w:szCs w:val="24"/>
                <w:highlight w:val="gree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rPr>
              <w:t>202</w:t>
            </w:r>
            <w:r>
              <w:rPr>
                <w:rFonts w:hint="eastAsia" w:ascii="仿宋_GB2312" w:hAnsi="仿宋_GB2312" w:eastAsia="仿宋_GB2312" w:cs="仿宋_GB2312"/>
                <w:bCs/>
                <w:sz w:val="24"/>
                <w:szCs w:val="24"/>
                <w:highlight w:val="green"/>
                <w:lang w:val="en-US" w:eastAsia="zh-CN"/>
              </w:rPr>
              <w:t>4</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10</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31</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rPr>
              <w:t>202</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11</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1</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rPr>
              <w:t>202</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11</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5</w:t>
            </w:r>
            <w:r>
              <w:rPr>
                <w:rFonts w:hint="eastAsia" w:ascii="仿宋_GB2312" w:hAnsi="仿宋_GB2312" w:eastAsia="仿宋_GB2312" w:cs="仿宋_GB2312"/>
                <w:sz w:val="24"/>
                <w:szCs w:val="24"/>
                <w:highlight w:val="green"/>
              </w:rPr>
              <w:t>日17时00分00秒</w:t>
            </w:r>
          </w:p>
          <w:p>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pPr>
              <w:pStyle w:val="2"/>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pPr>
              <w:pStyle w:val="2"/>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pPr>
              <w:pStyle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pPr>
              <w:pStyle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黄工 13475952683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pPr>
              <w:pStyle w:val="2"/>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rPr>
              <w:t>202</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11</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7</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20000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rPr>
              <w:t>202</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11</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5</w:t>
            </w:r>
            <w:bookmarkStart w:id="225" w:name="_GoBack"/>
            <w:bookmarkEnd w:id="225"/>
            <w:r>
              <w:rPr>
                <w:rFonts w:hint="eastAsia" w:ascii="仿宋_GB2312" w:hAnsi="仿宋_GB2312" w:eastAsia="仿宋_GB2312" w:cs="仿宋_GB2312"/>
                <w:sz w:val="24"/>
                <w:szCs w:val="24"/>
                <w:highlight w:val="green"/>
              </w:rPr>
              <w:t>日17：00前（同应标截止时间）</w:t>
            </w:r>
          </w:p>
          <w:p>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评标方法：资质标审核→唱标→商务标评审。选取</w:t>
            </w:r>
            <w:r>
              <w:rPr>
                <w:rFonts w:hint="eastAsia" w:ascii="仿宋_GB2312" w:hAnsi="仿宋_GB2312" w:eastAsia="仿宋_GB2312" w:cs="仿宋_GB2312"/>
                <w:b/>
                <w:bCs/>
                <w:color w:val="000000"/>
                <w:sz w:val="24"/>
                <w:szCs w:val="24"/>
              </w:rPr>
              <w:t>合理最低价中标</w:t>
            </w:r>
            <w:r>
              <w:rPr>
                <w:rFonts w:hint="eastAsia" w:ascii="仿宋_GB2312" w:hAnsi="仿宋_GB2312" w:eastAsia="仿宋_GB2312" w:cs="仿宋_GB2312"/>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pStyle w:val="2"/>
              <w:ind w:firstLine="0" w:firstLineChars="0"/>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color w:val="000000"/>
                <w:sz w:val="24"/>
                <w:szCs w:val="24"/>
                <w:highlight w:val="green"/>
                <w:lang w:val="en-US" w:eastAsia="zh-CN"/>
              </w:rPr>
              <w:t xml:space="preserve">  合同签订后60个日历日(包含设计、制造、运输、安装、调试、试运行、培训等，直至交付使用</w:t>
            </w:r>
          </w:p>
          <w:p>
            <w:pPr>
              <w:pStyle w:val="2"/>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pStyle w:val="2"/>
              <w:ind w:firstLine="482"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卡车公司、橡塑件公司</w:t>
            </w:r>
            <w:r>
              <w:rPr>
                <w:rFonts w:hint="eastAsia" w:ascii="仿宋_GB2312" w:hAnsi="仿宋_GB2312" w:eastAsia="仿宋_GB2312" w:cs="仿宋_GB2312"/>
                <w:b/>
                <w:bCs/>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b/>
                <w:sz w:val="24"/>
                <w:szCs w:val="24"/>
                <w:lang w:eastAsia="zh-CN"/>
              </w:rPr>
              <w:t>，在此期间由于设备缺陷而引起的故障及机械电气损坏,均应由卖方免费维修和置换。</w:t>
            </w:r>
          </w:p>
          <w:p>
            <w:pPr>
              <w:pStyle w:val="15"/>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pPr>
              <w:pStyle w:val="2"/>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lang w:val="en-US" w:eastAsia="zh-CN"/>
              </w:rPr>
              <w:t>A</w:t>
            </w:r>
            <w:r>
              <w:rPr>
                <w:rFonts w:hint="eastAsia" w:ascii="仿宋_GB2312" w:hAnsi="仿宋_GB2312" w:eastAsia="仿宋_GB2312" w:cs="仿宋_GB2312"/>
                <w:color w:val="000000"/>
                <w:sz w:val="24"/>
                <w:szCs w:val="24"/>
                <w:highlight w:val="yellow"/>
              </w:rPr>
              <w:t>.设备验收合格后，中标人提交金额为合同价款</w:t>
            </w:r>
            <w:r>
              <w:rPr>
                <w:rFonts w:hint="eastAsia" w:ascii="仿宋_GB2312" w:hAnsi="仿宋_GB2312" w:eastAsia="仿宋_GB2312" w:cs="仿宋_GB2312"/>
                <w:color w:val="000000"/>
                <w:sz w:val="24"/>
                <w:szCs w:val="24"/>
                <w:highlight w:val="yellow"/>
                <w:lang w:val="en-US" w:eastAsia="zh-CN"/>
              </w:rPr>
              <w:t>90</w:t>
            </w:r>
            <w:r>
              <w:rPr>
                <w:rFonts w:hint="eastAsia" w:ascii="仿宋_GB2312" w:hAnsi="仿宋_GB2312" w:eastAsia="仿宋_GB2312" w:cs="仿宋_GB2312"/>
                <w:color w:val="000000"/>
                <w:sz w:val="24"/>
                <w:szCs w:val="24"/>
                <w:highlight w:val="yellow"/>
              </w:rPr>
              <w:t>%的收据并提供合同价款</w:t>
            </w:r>
            <w:r>
              <w:rPr>
                <w:rFonts w:hint="eastAsia" w:ascii="仿宋_GB2312" w:hAnsi="仿宋_GB2312" w:eastAsia="仿宋_GB2312" w:cs="仿宋_GB2312"/>
                <w:color w:val="000000"/>
                <w:sz w:val="24"/>
                <w:szCs w:val="24"/>
                <w:highlight w:val="yellow"/>
                <w:lang w:val="en-US" w:eastAsia="zh-CN"/>
              </w:rPr>
              <w:t>100</w:t>
            </w:r>
            <w:r>
              <w:rPr>
                <w:rFonts w:hint="eastAsia" w:ascii="仿宋_GB2312" w:hAnsi="仿宋_GB2312" w:eastAsia="仿宋_GB2312" w:cs="仿宋_GB2312"/>
                <w:color w:val="000000"/>
                <w:sz w:val="24"/>
                <w:szCs w:val="24"/>
                <w:highlight w:val="yellow"/>
              </w:rPr>
              <w:t>%的增值税专用发票（含复印件二份），经招标人依照财务制度审核通过后30日支付；</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yellow"/>
                <w:lang w:val="en-US" w:eastAsia="zh-CN"/>
              </w:rPr>
              <w:t>B.</w:t>
            </w:r>
            <w:r>
              <w:rPr>
                <w:rFonts w:hint="eastAsia" w:ascii="仿宋_GB2312" w:hAnsi="仿宋_GB2312" w:eastAsia="仿宋_GB2312" w:cs="仿宋_GB2312"/>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pPr>
        <w:pStyle w:val="3"/>
        <w:bidi w:val="0"/>
        <w:rPr>
          <w:rFonts w:hint="eastAsia" w:ascii="仿宋_GB2312" w:hAnsi="仿宋_GB2312" w:eastAsia="仿宋_GB2312" w:cs="仿宋_GB2312"/>
          <w:sz w:val="44"/>
          <w:szCs w:val="44"/>
          <w:lang w:val="en-US" w:eastAsia="zh-CN"/>
        </w:rPr>
      </w:pPr>
      <w:bookmarkStart w:id="7" w:name="_Toc427"/>
      <w:bookmarkStart w:id="8" w:name="_Toc9448"/>
      <w:bookmarkStart w:id="9" w:name="_Toc19183"/>
      <w:bookmarkStart w:id="10" w:name="_Toc10195"/>
      <w:bookmarkStart w:id="11" w:name="_Toc6577"/>
      <w:bookmarkStart w:id="12" w:name="_Toc2708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pPr>
        <w:pStyle w:val="5"/>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pPr>
        <w:pStyle w:val="5"/>
        <w:bidi w:val="0"/>
        <w:rPr>
          <w:rFonts w:hint="eastAsia" w:ascii="仿宋_GB2312" w:hAnsi="仿宋_GB2312" w:eastAsia="仿宋_GB2312" w:cs="仿宋_GB2312"/>
          <w:sz w:val="36"/>
          <w:szCs w:val="36"/>
          <w:lang w:val="en-US" w:eastAsia="zh-CN"/>
        </w:rPr>
      </w:pPr>
      <w:bookmarkStart w:id="19" w:name="_Toc33267001"/>
      <w:bookmarkStart w:id="20" w:name="_Toc30534"/>
      <w:bookmarkStart w:id="21" w:name="_Toc33266914"/>
      <w:bookmarkStart w:id="22" w:name="_Toc33266627"/>
      <w:bookmarkStart w:id="23" w:name="_Toc33265752"/>
      <w:bookmarkStart w:id="24" w:name="_Toc33266950"/>
      <w:bookmarkStart w:id="25" w:name="_Toc33285487"/>
      <w:bookmarkStart w:id="26" w:name="_Toc33265653"/>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6951"/>
      <w:bookmarkStart w:id="29" w:name="_Toc33265654"/>
      <w:bookmarkStart w:id="30" w:name="_Toc33267002"/>
      <w:bookmarkStart w:id="31" w:name="_Toc33266628"/>
      <w:bookmarkStart w:id="32" w:name="_Toc33266915"/>
      <w:bookmarkStart w:id="33" w:name="_Toc33265753"/>
      <w:bookmarkStart w:id="34" w:name="_Toc395116634"/>
      <w:bookmarkStart w:id="35" w:name="_Toc33285489"/>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pPr>
        <w:pStyle w:val="5"/>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pPr>
        <w:pStyle w:val="2"/>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5"/>
      <w:bookmarkStart w:id="40" w:name="OLE_LINK28"/>
      <w:bookmarkStart w:id="41" w:name="OLE_LINK27"/>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pPr>
        <w:pStyle w:val="3"/>
        <w:bidi w:val="0"/>
        <w:rPr>
          <w:rFonts w:hint="eastAsia" w:ascii="仿宋_GB2312" w:hAnsi="仿宋_GB2312" w:eastAsia="仿宋_GB2312" w:cs="仿宋_GB2312"/>
          <w:sz w:val="44"/>
          <w:szCs w:val="44"/>
          <w:lang w:val="en-US" w:eastAsia="zh-CN"/>
        </w:rPr>
      </w:pPr>
      <w:bookmarkStart w:id="44" w:name="_Toc31869"/>
      <w:bookmarkStart w:id="45" w:name="_Toc13479"/>
      <w:bookmarkStart w:id="46" w:name="_Toc2363"/>
      <w:bookmarkStart w:id="47" w:name="_Toc1495"/>
      <w:bookmarkStart w:id="48" w:name="_Toc21022"/>
      <w:bookmarkStart w:id="49" w:name="_Toc762"/>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pPr>
        <w:pStyle w:val="5"/>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5"/>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spacing w:line="360" w:lineRule="auto"/>
        <w:jc w:val="both"/>
        <w:outlineLvl w:val="0"/>
        <w:rPr>
          <w:rFonts w:hint="eastAsia" w:ascii="仿宋_GB2312" w:hAnsi="仿宋_GB2312" w:eastAsia="仿宋_GB2312" w:cs="仿宋_GB2312"/>
          <w:b/>
          <w:sz w:val="36"/>
          <w:szCs w:val="36"/>
          <w:lang w:val="en-US" w:eastAsia="zh-CN"/>
        </w:rPr>
      </w:pPr>
      <w:bookmarkStart w:id="58" w:name="_Toc12563"/>
      <w:bookmarkStart w:id="59" w:name="_Toc19672"/>
      <w:bookmarkStart w:id="60" w:name="_Toc1884"/>
      <w:bookmarkStart w:id="61" w:name="_Toc22649"/>
      <w:bookmarkStart w:id="62" w:name="_Toc12714"/>
      <w:bookmarkStart w:id="63" w:name="_Toc18182"/>
      <w:bookmarkStart w:id="64" w:name="_Toc30738"/>
      <w:bookmarkStart w:id="65" w:name="_Toc23870"/>
      <w:bookmarkStart w:id="66" w:name="_Toc18606"/>
      <w:bookmarkStart w:id="67" w:name="_Toc4532"/>
      <w:bookmarkStart w:id="68" w:name="_Toc21497"/>
      <w:bookmarkStart w:id="69" w:name="_Toc14517"/>
      <w:bookmarkStart w:id="70" w:name="_Toc18805"/>
      <w:bookmarkStart w:id="71" w:name="_Toc7110"/>
      <w:bookmarkStart w:id="72" w:name="_Toc16358"/>
      <w:bookmarkStart w:id="73" w:name="_Toc32378"/>
      <w:bookmarkStart w:id="74" w:name="_Toc12552"/>
      <w:bookmarkStart w:id="75" w:name="_Toc20467"/>
      <w:bookmarkStart w:id="76" w:name="_Toc133783966"/>
      <w:bookmarkStart w:id="77" w:name="_Toc3372"/>
      <w:bookmarkStart w:id="78" w:name="_Toc4483"/>
      <w:bookmarkStart w:id="79" w:name="_Toc13555"/>
      <w:bookmarkStart w:id="80" w:name="_Toc13605"/>
      <w:bookmarkStart w:id="81" w:name="_Toc13562"/>
      <w:bookmarkStart w:id="82" w:name="_Toc13988"/>
      <w:bookmarkStart w:id="83" w:name="_Toc8032"/>
      <w:bookmarkStart w:id="84" w:name="_Toc28236"/>
      <w:bookmarkStart w:id="85" w:name="_Toc11355"/>
      <w:bookmarkStart w:id="86" w:name="_Toc20272"/>
      <w:bookmarkStart w:id="87" w:name="_Toc4029"/>
      <w:bookmarkStart w:id="88" w:name="_Toc6957"/>
      <w:bookmarkStart w:id="89" w:name="_Toc7511"/>
      <w:bookmarkStart w:id="90" w:name="_Toc24913"/>
      <w:bookmarkStart w:id="91" w:name="_Toc4194"/>
      <w:bookmarkStart w:id="92" w:name="_Toc6346"/>
      <w:bookmarkStart w:id="93" w:name="_Toc3565"/>
      <w:bookmarkStart w:id="94" w:name="_Toc8202"/>
      <w:bookmarkStart w:id="95" w:name="_Toc24964"/>
    </w:p>
    <w:p>
      <w:pPr>
        <w:pStyle w:val="3"/>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pPr>
        <w:pStyle w:val="2"/>
      </w:pP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中国重汽集团卡车公司、橡塑件公司新建VOCS在线监控系统项目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3"/>
        <w:ind w:left="431" w:hanging="431"/>
        <w:rPr>
          <w:rFonts w:hint="eastAsia" w:ascii="宋体" w:hAnsi="宋体" w:cs="宋体"/>
          <w:i w:val="0"/>
          <w:iCs w:val="0"/>
        </w:rPr>
      </w:pPr>
      <w:bookmarkStart w:id="96" w:name="_Toc12511"/>
      <w:bookmarkStart w:id="97" w:name="_Toc169605877"/>
      <w:r>
        <w:rPr>
          <w:rFonts w:hint="eastAsia" w:ascii="宋体" w:hAnsi="宋体" w:cs="宋体"/>
          <w:i w:val="0"/>
          <w:iCs w:val="0"/>
        </w:rPr>
        <w:t>第一章 项目要求</w:t>
      </w:r>
      <w:bookmarkEnd w:id="96"/>
    </w:p>
    <w:p>
      <w:pPr>
        <w:pStyle w:val="5"/>
        <w:numPr>
          <w:ilvl w:val="0"/>
          <w:numId w:val="11"/>
        </w:numPr>
        <w:snapToGrid w:val="0"/>
        <w:rPr>
          <w:rFonts w:hint="eastAsia" w:ascii="宋体" w:hAnsi="宋体" w:cs="宋体"/>
          <w:szCs w:val="24"/>
        </w:rPr>
      </w:pPr>
      <w:bookmarkStart w:id="98" w:name="_Toc30332"/>
      <w:r>
        <w:rPr>
          <w:rFonts w:hint="eastAsia" w:ascii="宋体" w:hAnsi="宋体" w:cs="宋体"/>
          <w:szCs w:val="24"/>
        </w:rPr>
        <w:t>项目概况</w:t>
      </w:r>
      <w:bookmarkEnd w:id="98"/>
    </w:p>
    <w:p>
      <w:pPr>
        <w:pStyle w:val="128"/>
        <w:numPr>
          <w:ilvl w:val="1"/>
          <w:numId w:val="12"/>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项目名称：卡车公司、橡塑件公司新建VOCS在线监控系统</w:t>
      </w:r>
    </w:p>
    <w:p>
      <w:pPr>
        <w:pStyle w:val="128"/>
        <w:numPr>
          <w:ilvl w:val="1"/>
          <w:numId w:val="12"/>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建设地点：济南卡车制造公司车架一部电泳现场分部两套</w:t>
      </w:r>
      <w:r>
        <w:rPr>
          <w:rFonts w:ascii="宋体" w:hAnsi="宋体" w:eastAsia="宋体" w:cs="宋体"/>
          <w:sz w:val="24"/>
          <w:szCs w:val="24"/>
        </w:rPr>
        <w:t>；</w:t>
      </w:r>
    </w:p>
    <w:p>
      <w:pPr>
        <w:snapToGrid w:val="0"/>
        <w:spacing w:line="36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济南卡车制造公司</w:t>
      </w:r>
      <w:r>
        <w:rPr>
          <w:rFonts w:ascii="宋体" w:hAnsi="宋体" w:eastAsia="宋体" w:cs="宋体"/>
          <w:sz w:val="24"/>
          <w:szCs w:val="24"/>
        </w:rPr>
        <w:t>车架二部装配现场分部</w:t>
      </w:r>
      <w:r>
        <w:rPr>
          <w:rFonts w:hint="eastAsia" w:ascii="宋体" w:hAnsi="宋体" w:eastAsia="宋体" w:cs="宋体"/>
          <w:sz w:val="24"/>
          <w:szCs w:val="24"/>
        </w:rPr>
        <w:t>一套</w:t>
      </w:r>
      <w:r>
        <w:rPr>
          <w:rFonts w:ascii="宋体" w:hAnsi="宋体" w:eastAsia="宋体" w:cs="宋体"/>
          <w:sz w:val="24"/>
          <w:szCs w:val="24"/>
        </w:rPr>
        <w:t>。</w:t>
      </w:r>
    </w:p>
    <w:p>
      <w:pPr>
        <w:snapToGrid w:val="0"/>
        <w:spacing w:line="36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济南橡塑件有限公司硫化现场分部（东、中）两套</w:t>
      </w:r>
      <w:r>
        <w:rPr>
          <w:rFonts w:ascii="宋体" w:hAnsi="宋体" w:eastAsia="宋体" w:cs="宋体"/>
          <w:sz w:val="24"/>
          <w:szCs w:val="24"/>
        </w:rPr>
        <w:t>；</w:t>
      </w:r>
    </w:p>
    <w:p>
      <w:pPr>
        <w:snapToGrid w:val="0"/>
        <w:spacing w:line="360" w:lineRule="auto"/>
        <w:ind w:firstLine="1680" w:firstLineChars="700"/>
        <w:rPr>
          <w:rFonts w:hint="eastAsia"/>
        </w:rPr>
      </w:pPr>
      <w:r>
        <w:rPr>
          <w:rFonts w:hint="eastAsia" w:ascii="宋体" w:hAnsi="宋体" w:eastAsia="宋体" w:cs="宋体"/>
          <w:sz w:val="24"/>
          <w:szCs w:val="24"/>
        </w:rPr>
        <w:t>济南橡塑件有限公司混炼</w:t>
      </w:r>
      <w:r>
        <w:rPr>
          <w:rFonts w:ascii="宋体" w:hAnsi="宋体" w:eastAsia="宋体" w:cs="宋体"/>
          <w:sz w:val="24"/>
          <w:szCs w:val="24"/>
        </w:rPr>
        <w:t>现场分部</w:t>
      </w:r>
      <w:r>
        <w:rPr>
          <w:rFonts w:hint="eastAsia" w:ascii="宋体" w:hAnsi="宋体" w:eastAsia="宋体" w:cs="宋体"/>
          <w:sz w:val="24"/>
          <w:szCs w:val="24"/>
        </w:rPr>
        <w:t>一套</w:t>
      </w:r>
      <w:r>
        <w:rPr>
          <w:rFonts w:ascii="宋体" w:hAnsi="宋体" w:eastAsia="宋体" w:cs="宋体"/>
          <w:sz w:val="24"/>
          <w:szCs w:val="24"/>
        </w:rPr>
        <w:t>。</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1.3工作制度：300工作日/年，两班</w:t>
      </w:r>
      <w:r>
        <w:rPr>
          <w:rFonts w:ascii="宋体" w:hAnsi="宋体" w:eastAsia="宋体" w:cs="宋体"/>
          <w:sz w:val="24"/>
          <w:szCs w:val="24"/>
        </w:rPr>
        <w:t>16</w:t>
      </w:r>
      <w:r>
        <w:rPr>
          <w:rFonts w:hint="eastAsia" w:ascii="宋体" w:hAnsi="宋体" w:eastAsia="宋体" w:cs="宋体"/>
          <w:sz w:val="24"/>
          <w:szCs w:val="24"/>
        </w:rPr>
        <w:t>小时/工作日</w:t>
      </w:r>
    </w:p>
    <w:p>
      <w:pPr>
        <w:snapToGrid w:val="0"/>
        <w:spacing w:line="360" w:lineRule="auto"/>
        <w:rPr>
          <w:rFonts w:hint="eastAsia" w:ascii="宋体" w:hAnsi="宋体" w:eastAsia="宋体" w:cs="宋体"/>
          <w:sz w:val="24"/>
          <w:szCs w:val="24"/>
        </w:rPr>
      </w:pPr>
      <w:r>
        <w:rPr>
          <w:rFonts w:ascii="宋体" w:hAnsi="宋体" w:eastAsia="宋体" w:cs="宋体"/>
          <w:sz w:val="24"/>
          <w:szCs w:val="24"/>
        </w:rPr>
        <w:t>1.4</w:t>
      </w:r>
      <w:r>
        <w:rPr>
          <w:rFonts w:hint="eastAsia" w:ascii="宋体" w:hAnsi="宋体" w:eastAsia="宋体" w:cs="宋体"/>
          <w:sz w:val="24"/>
          <w:szCs w:val="24"/>
        </w:rPr>
        <w:t>年时基数：设备年时基数</w:t>
      </w:r>
      <w:r>
        <w:rPr>
          <w:rFonts w:ascii="宋体" w:hAnsi="宋体" w:eastAsia="宋体" w:cs="宋体"/>
          <w:sz w:val="24"/>
          <w:szCs w:val="24"/>
        </w:rPr>
        <w:t>48</w:t>
      </w:r>
      <w:r>
        <w:rPr>
          <w:rFonts w:hint="eastAsia" w:ascii="宋体" w:hAnsi="宋体" w:eastAsia="宋体" w:cs="宋体"/>
          <w:sz w:val="24"/>
          <w:szCs w:val="24"/>
        </w:rPr>
        <w:t>00小时</w:t>
      </w:r>
    </w:p>
    <w:p>
      <w:pPr>
        <w:snapToGrid w:val="0"/>
        <w:spacing w:line="360" w:lineRule="auto"/>
        <w:rPr>
          <w:rFonts w:hint="eastAsia" w:ascii="宋体" w:hAnsi="宋体" w:eastAsia="宋体" w:cs="宋体"/>
          <w:sz w:val="24"/>
          <w:szCs w:val="24"/>
        </w:rPr>
      </w:pPr>
      <w:r>
        <w:rPr>
          <w:rFonts w:ascii="宋体" w:hAnsi="宋体" w:eastAsia="宋体" w:cs="宋体"/>
          <w:sz w:val="24"/>
          <w:szCs w:val="24"/>
        </w:rPr>
        <w:t>1.5</w:t>
      </w:r>
      <w:r>
        <w:rPr>
          <w:rFonts w:hint="eastAsia" w:ascii="宋体" w:hAnsi="宋体" w:eastAsia="宋体" w:cs="宋体"/>
          <w:sz w:val="24"/>
          <w:szCs w:val="24"/>
        </w:rPr>
        <w:t>货物需求一览表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18"/>
        <w:gridCol w:w="816"/>
        <w:gridCol w:w="816"/>
        <w:gridCol w:w="816"/>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hint="eastAsia" w:ascii="宋体" w:hAnsi="宋体" w:eastAsia="宋体" w:cs="宋体"/>
                <w:szCs w:val="21"/>
              </w:rPr>
            </w:pPr>
            <w:r>
              <w:rPr>
                <w:rFonts w:hint="eastAsia" w:ascii="宋体" w:hAnsi="宋体" w:eastAsia="宋体" w:cs="宋体"/>
                <w:szCs w:val="21"/>
              </w:rPr>
              <w:t>序号</w:t>
            </w:r>
          </w:p>
        </w:tc>
        <w:tc>
          <w:tcPr>
            <w:tcW w:w="2618" w:type="dxa"/>
            <w:vAlign w:val="center"/>
          </w:tcPr>
          <w:p>
            <w:pPr>
              <w:jc w:val="center"/>
              <w:rPr>
                <w:rFonts w:hint="eastAsia" w:ascii="宋体" w:hAnsi="宋体" w:eastAsia="宋体" w:cs="宋体"/>
                <w:szCs w:val="21"/>
              </w:rPr>
            </w:pPr>
            <w:r>
              <w:rPr>
                <w:rFonts w:hint="eastAsia" w:ascii="宋体" w:hAnsi="宋体" w:eastAsia="宋体" w:cs="宋体"/>
                <w:szCs w:val="21"/>
              </w:rPr>
              <w:t>名称</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规格</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单位</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数量</w:t>
            </w:r>
          </w:p>
        </w:tc>
        <w:tc>
          <w:tcPr>
            <w:tcW w:w="2813" w:type="dxa"/>
            <w:vAlign w:val="center"/>
          </w:tcPr>
          <w:p>
            <w:pPr>
              <w:jc w:val="center"/>
              <w:rPr>
                <w:rFonts w:hint="eastAsia" w:ascii="宋体" w:hAnsi="宋体" w:eastAsia="宋体" w:cs="宋体"/>
                <w:szCs w:val="21"/>
              </w:rPr>
            </w:pPr>
            <w:r>
              <w:rPr>
                <w:rFonts w:hint="eastAsia" w:ascii="宋体" w:hAnsi="宋体" w:eastAsia="宋体" w:cs="宋体"/>
                <w:szCs w:val="21"/>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2618" w:type="dxa"/>
            <w:vAlign w:val="center"/>
          </w:tcPr>
          <w:p>
            <w:pPr>
              <w:pStyle w:val="33"/>
              <w:spacing w:line="360" w:lineRule="auto"/>
              <w:ind w:right="74"/>
              <w:jc w:val="center"/>
              <w:rPr>
                <w:rFonts w:hint="eastAsia" w:ascii="宋体" w:hAnsi="宋体" w:cs="宋体"/>
                <w:sz w:val="21"/>
                <w:szCs w:val="21"/>
              </w:rPr>
            </w:pPr>
            <w:r>
              <w:rPr>
                <w:rFonts w:hint="eastAsia" w:ascii="宋体" w:hAnsi="宋体" w:cs="宋体"/>
                <w:sz w:val="21"/>
                <w:szCs w:val="21"/>
              </w:rPr>
              <w:t>新增电泳废气</w:t>
            </w:r>
            <w:r>
              <w:rPr>
                <w:rFonts w:ascii="宋体" w:hAnsi="宋体" w:cs="宋体"/>
                <w:sz w:val="21"/>
                <w:szCs w:val="21"/>
              </w:rPr>
              <w:t>在线监测站</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非标</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套</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3</w:t>
            </w:r>
          </w:p>
        </w:tc>
        <w:tc>
          <w:tcPr>
            <w:tcW w:w="2813" w:type="dxa"/>
            <w:vAlign w:val="center"/>
          </w:tcPr>
          <w:p>
            <w:pPr>
              <w:jc w:val="center"/>
              <w:rPr>
                <w:rFonts w:hint="eastAsia" w:ascii="宋体" w:hAnsi="宋体" w:eastAsia="宋体" w:cs="宋体"/>
                <w:szCs w:val="21"/>
              </w:rPr>
            </w:pPr>
            <w:r>
              <w:rPr>
                <w:rFonts w:hint="eastAsia" w:ascii="宋体" w:hAnsi="宋体" w:eastAsia="宋体" w:cs="宋体"/>
                <w:szCs w:val="21"/>
              </w:rPr>
              <w:t>济南卡车制造公司（莱芜厂区2套，党家厂区1套）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2618" w:type="dxa"/>
            <w:vAlign w:val="center"/>
          </w:tcPr>
          <w:p>
            <w:pPr>
              <w:pStyle w:val="33"/>
              <w:spacing w:line="360" w:lineRule="auto"/>
              <w:ind w:right="74"/>
              <w:jc w:val="center"/>
              <w:rPr>
                <w:rFonts w:hint="eastAsia" w:ascii="宋体" w:hAnsi="宋体" w:cs="宋体"/>
                <w:sz w:val="21"/>
                <w:szCs w:val="21"/>
              </w:rPr>
            </w:pPr>
            <w:r>
              <w:rPr>
                <w:rFonts w:hint="eastAsia" w:ascii="宋体" w:hAnsi="宋体" w:cs="宋体"/>
                <w:sz w:val="21"/>
                <w:szCs w:val="21"/>
              </w:rPr>
              <w:t>新增废气</w:t>
            </w:r>
            <w:r>
              <w:rPr>
                <w:rFonts w:ascii="宋体" w:hAnsi="宋体" w:cs="宋体"/>
                <w:sz w:val="21"/>
                <w:szCs w:val="21"/>
              </w:rPr>
              <w:t>在线监测</w:t>
            </w:r>
            <w:r>
              <w:rPr>
                <w:rFonts w:hint="eastAsia" w:ascii="宋体" w:hAnsi="宋体" w:cs="宋体"/>
                <w:sz w:val="21"/>
                <w:szCs w:val="21"/>
              </w:rPr>
              <w:t>系统</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非标</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套</w:t>
            </w:r>
          </w:p>
        </w:tc>
        <w:tc>
          <w:tcPr>
            <w:tcW w:w="816" w:type="dxa"/>
            <w:vAlign w:val="center"/>
          </w:tcPr>
          <w:p>
            <w:pPr>
              <w:jc w:val="center"/>
              <w:rPr>
                <w:rFonts w:hint="eastAsia" w:ascii="宋体" w:hAnsi="宋体" w:eastAsia="宋体" w:cs="宋体"/>
                <w:szCs w:val="21"/>
              </w:rPr>
            </w:pPr>
            <w:r>
              <w:rPr>
                <w:rFonts w:hint="eastAsia" w:ascii="宋体" w:hAnsi="宋体" w:eastAsia="宋体" w:cs="宋体"/>
                <w:szCs w:val="21"/>
              </w:rPr>
              <w:t>3</w:t>
            </w:r>
          </w:p>
        </w:tc>
        <w:tc>
          <w:tcPr>
            <w:tcW w:w="2813" w:type="dxa"/>
            <w:vAlign w:val="center"/>
          </w:tcPr>
          <w:p>
            <w:pPr>
              <w:jc w:val="center"/>
              <w:rPr>
                <w:rFonts w:hint="eastAsia" w:ascii="宋体" w:hAnsi="宋体" w:eastAsia="宋体" w:cs="宋体"/>
                <w:szCs w:val="21"/>
              </w:rPr>
            </w:pPr>
            <w:r>
              <w:rPr>
                <w:rFonts w:hint="eastAsia" w:ascii="宋体" w:hAnsi="宋体" w:eastAsia="宋体" w:cs="宋体"/>
                <w:szCs w:val="21"/>
              </w:rPr>
              <w:t>济南橡塑件有限公司</w:t>
            </w:r>
          </w:p>
        </w:tc>
      </w:tr>
    </w:tbl>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备注：</w:t>
      </w:r>
    </w:p>
    <w:p>
      <w:pPr>
        <w:snapToGrid w:val="0"/>
        <w:spacing w:line="360" w:lineRule="auto"/>
        <w:rPr>
          <w:rFonts w:hint="eastAsia" w:ascii="宋体" w:hAnsi="宋体" w:eastAsia="宋体" w:cs="宋体"/>
        </w:rPr>
      </w:pPr>
      <w:r>
        <w:rPr>
          <w:rFonts w:hint="eastAsia" w:ascii="宋体" w:hAnsi="宋体" w:eastAsia="宋体" w:cs="宋体"/>
        </w:rPr>
        <w:t>（1）本表所列采购设备仅为设备及相关配套设施供货明细，应配套供货以及招标方所列其它货物（或设备）和服务，请投标方认真阅读“供货范围”。若有异议，不管是多么微小，都应在投标文件“商务偏离”章节中予以详细说明。</w:t>
      </w:r>
    </w:p>
    <w:p>
      <w:pPr>
        <w:snapToGrid w:val="0"/>
        <w:spacing w:line="360" w:lineRule="auto"/>
        <w:rPr>
          <w:rFonts w:hint="eastAsia" w:ascii="宋体" w:hAnsi="宋体" w:eastAsia="宋体" w:cs="宋体"/>
        </w:rPr>
      </w:pPr>
      <w:r>
        <w:rPr>
          <w:rFonts w:hint="eastAsia" w:ascii="宋体" w:hAnsi="宋体" w:eastAsia="宋体" w:cs="宋体"/>
        </w:rPr>
        <w:t>（2）本表“供货方式”指：交钥匙方式——包括制造、运输、定点卸货、安装、调试和协助验收以及约定培训等。</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1.6本项目包含范围： </w:t>
      </w:r>
    </w:p>
    <w:tbl>
      <w:tblPr>
        <w:tblStyle w:val="3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712"/>
        <w:gridCol w:w="1410"/>
        <w:gridCol w:w="708"/>
        <w:gridCol w:w="552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rPr>
        <w:tc>
          <w:tcPr>
            <w:tcW w:w="712" w:type="dxa"/>
            <w:vAlign w:val="center"/>
          </w:tcPr>
          <w:p>
            <w:pPr>
              <w:pStyle w:val="10"/>
              <w:spacing w:line="360" w:lineRule="auto"/>
              <w:ind w:firstLine="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410" w:type="dxa"/>
            <w:vAlign w:val="center"/>
          </w:tcPr>
          <w:p>
            <w:pPr>
              <w:pStyle w:val="10"/>
              <w:spacing w:line="360" w:lineRule="auto"/>
              <w:rPr>
                <w:rFonts w:hint="eastAsia" w:ascii="宋体" w:hAnsi="宋体" w:eastAsia="宋体" w:cs="宋体"/>
                <w:b/>
                <w:sz w:val="21"/>
                <w:szCs w:val="21"/>
              </w:rPr>
            </w:pPr>
            <w:r>
              <w:rPr>
                <w:rFonts w:hint="eastAsia" w:ascii="宋体" w:hAnsi="宋体" w:eastAsia="宋体" w:cs="宋体"/>
                <w:b/>
                <w:sz w:val="21"/>
                <w:szCs w:val="21"/>
              </w:rPr>
              <w:t>项目</w:t>
            </w:r>
          </w:p>
        </w:tc>
        <w:tc>
          <w:tcPr>
            <w:tcW w:w="708" w:type="dxa"/>
            <w:vAlign w:val="center"/>
          </w:tcPr>
          <w:p>
            <w:pPr>
              <w:pStyle w:val="10"/>
              <w:spacing w:line="360" w:lineRule="auto"/>
              <w:ind w:firstLine="0"/>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5529" w:type="dxa"/>
            <w:vAlign w:val="center"/>
          </w:tcPr>
          <w:p>
            <w:pPr>
              <w:pStyle w:val="10"/>
              <w:spacing w:line="360" w:lineRule="auto"/>
              <w:ind w:firstLine="0"/>
              <w:jc w:val="center"/>
              <w:rPr>
                <w:rFonts w:hint="eastAsia" w:ascii="宋体" w:hAnsi="宋体" w:eastAsia="宋体" w:cs="宋体"/>
                <w:b/>
                <w:sz w:val="21"/>
                <w:szCs w:val="21"/>
              </w:rPr>
            </w:pPr>
            <w:r>
              <w:rPr>
                <w:rFonts w:hint="eastAsia" w:ascii="宋体" w:hAnsi="宋体" w:eastAsia="宋体" w:cs="宋体"/>
                <w:b/>
                <w:sz w:val="21"/>
                <w:szCs w:val="21"/>
              </w:rPr>
              <w:t>内容</w:t>
            </w:r>
          </w:p>
        </w:tc>
        <w:tc>
          <w:tcPr>
            <w:tcW w:w="708" w:type="dxa"/>
            <w:vAlign w:val="center"/>
          </w:tcPr>
          <w:p>
            <w:pPr>
              <w:pStyle w:val="10"/>
              <w:spacing w:line="360" w:lineRule="auto"/>
              <w:ind w:firstLine="0"/>
              <w:jc w:val="center"/>
              <w:rPr>
                <w:rFonts w:hint="eastAsia" w:ascii="宋体" w:hAnsi="宋体" w:eastAsia="宋体" w:cs="宋体"/>
                <w:b/>
                <w:sz w:val="24"/>
                <w:szCs w:val="24"/>
              </w:rPr>
            </w:pPr>
            <w:r>
              <w:rPr>
                <w:rFonts w:hint="eastAsia" w:ascii="宋体" w:hAnsi="宋体"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48" w:hRule="atLeast"/>
        </w:trPr>
        <w:tc>
          <w:tcPr>
            <w:tcW w:w="712" w:type="dxa"/>
            <w:vAlign w:val="center"/>
          </w:tcPr>
          <w:p>
            <w:pPr>
              <w:pStyle w:val="10"/>
              <w:spacing w:line="360" w:lineRule="auto"/>
              <w:ind w:firstLine="0"/>
              <w:jc w:val="center"/>
              <w:rPr>
                <w:rFonts w:hint="eastAsia" w:ascii="宋体" w:hAnsi="宋体" w:eastAsia="宋体" w:cs="宋体"/>
                <w:b/>
                <w:sz w:val="21"/>
                <w:szCs w:val="21"/>
              </w:rPr>
            </w:pPr>
            <w:r>
              <w:rPr>
                <w:rFonts w:hint="eastAsia" w:ascii="宋体" w:hAnsi="宋体" w:eastAsia="宋体" w:cs="宋体"/>
                <w:b/>
                <w:sz w:val="21"/>
                <w:szCs w:val="21"/>
              </w:rPr>
              <w:t>1</w:t>
            </w:r>
          </w:p>
        </w:tc>
        <w:tc>
          <w:tcPr>
            <w:tcW w:w="1410" w:type="dxa"/>
            <w:vAlign w:val="center"/>
          </w:tcPr>
          <w:p>
            <w:pPr>
              <w:adjustRightInd w:val="0"/>
              <w:snapToGrid w:val="0"/>
              <w:spacing w:line="240" w:lineRule="atLeast"/>
              <w:jc w:val="center"/>
              <w:textAlignment w:val="baseline"/>
              <w:outlineLvl w:val="3"/>
              <w:rPr>
                <w:rFonts w:hint="eastAsia" w:ascii="宋体" w:hAnsi="宋体" w:eastAsia="宋体" w:cs="宋体"/>
                <w:color w:val="000000"/>
                <w:spacing w:val="8"/>
                <w:sz w:val="24"/>
              </w:rPr>
            </w:pPr>
            <w:r>
              <w:rPr>
                <w:rFonts w:hint="eastAsia" w:ascii="宋体" w:hAnsi="宋体" w:eastAsia="宋体" w:cs="宋体"/>
                <w:szCs w:val="21"/>
              </w:rPr>
              <w:t>电泳</w:t>
            </w:r>
            <w:r>
              <w:rPr>
                <w:rFonts w:ascii="宋体" w:hAnsi="宋体" w:eastAsia="宋体" w:cs="宋体"/>
                <w:szCs w:val="21"/>
              </w:rPr>
              <w:t>废气在线监测站</w:t>
            </w:r>
          </w:p>
        </w:tc>
        <w:tc>
          <w:tcPr>
            <w:tcW w:w="708" w:type="dxa"/>
            <w:vAlign w:val="center"/>
          </w:tcPr>
          <w:p>
            <w:pPr>
              <w:adjustRightInd w:val="0"/>
              <w:snapToGrid w:val="0"/>
              <w:spacing w:line="240" w:lineRule="atLeast"/>
              <w:jc w:val="center"/>
              <w:textAlignment w:val="baseline"/>
              <w:outlineLvl w:val="3"/>
              <w:rPr>
                <w:rFonts w:hint="eastAsia" w:ascii="宋体" w:hAnsi="宋体" w:eastAsia="宋体" w:cs="宋体"/>
                <w:color w:val="000000"/>
                <w:spacing w:val="8"/>
                <w:sz w:val="24"/>
              </w:rPr>
            </w:pPr>
            <w:r>
              <w:rPr>
                <w:rFonts w:hint="eastAsia" w:ascii="宋体" w:hAnsi="宋体" w:eastAsia="宋体" w:cs="宋体"/>
                <w:color w:val="000000"/>
              </w:rPr>
              <w:t>6</w:t>
            </w:r>
          </w:p>
        </w:tc>
        <w:tc>
          <w:tcPr>
            <w:tcW w:w="5529" w:type="dxa"/>
            <w:vAlign w:val="center"/>
          </w:tcPr>
          <w:p>
            <w:pPr>
              <w:adjustRightInd w:val="0"/>
              <w:snapToGrid w:val="0"/>
              <w:spacing w:line="240" w:lineRule="atLeast"/>
              <w:jc w:val="center"/>
              <w:textAlignment w:val="baseline"/>
              <w:outlineLvl w:val="3"/>
              <w:rPr>
                <w:rFonts w:hint="eastAsia" w:ascii="宋体" w:hAnsi="宋体" w:eastAsia="宋体" w:cs="宋体"/>
                <w:szCs w:val="21"/>
              </w:rPr>
            </w:pPr>
            <w:r>
              <w:rPr>
                <w:rFonts w:hint="eastAsia" w:ascii="宋体" w:hAnsi="宋体" w:eastAsia="宋体" w:cs="宋体"/>
                <w:szCs w:val="21"/>
              </w:rPr>
              <w:t>包含烟气采样单元、采样复合伴热管线、在线气相色谱分析仪、烟气参数监测子系统（温度、压力、流速、湿度、氧含量）、氢气发生器、在线除烃仪、机柜及预处理单元、空压机、标准气体、工控机、数采仪、监测站房、空调</w:t>
            </w:r>
            <w:r>
              <w:rPr>
                <w:rFonts w:ascii="宋体" w:hAnsi="宋体" w:eastAsia="宋体" w:cs="宋体"/>
                <w:szCs w:val="21"/>
              </w:rPr>
              <w:t>、视频监控</w:t>
            </w:r>
            <w:r>
              <w:rPr>
                <w:rFonts w:hint="eastAsia" w:ascii="宋体" w:hAnsi="宋体" w:eastAsia="宋体" w:cs="宋体"/>
                <w:szCs w:val="21"/>
              </w:rPr>
              <w:t>、二层平台（橡塑件）等附属设施等</w:t>
            </w:r>
          </w:p>
        </w:tc>
        <w:tc>
          <w:tcPr>
            <w:tcW w:w="708" w:type="dxa"/>
            <w:vAlign w:val="center"/>
          </w:tcPr>
          <w:p>
            <w:pPr>
              <w:pStyle w:val="10"/>
              <w:spacing w:line="360" w:lineRule="auto"/>
              <w:ind w:firstLine="0"/>
              <w:jc w:val="center"/>
              <w:rPr>
                <w:rFonts w:hint="eastAsia" w:ascii="宋体" w:hAnsi="宋体" w:eastAsia="宋体" w:cs="宋体"/>
                <w:b/>
                <w:kern w:val="2"/>
                <w:sz w:val="24"/>
                <w:szCs w:val="24"/>
              </w:rPr>
            </w:pPr>
          </w:p>
        </w:tc>
      </w:tr>
    </w:tbl>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交货期：合同签订后</w:t>
      </w:r>
      <w:r>
        <w:rPr>
          <w:rFonts w:ascii="宋体" w:hAnsi="宋体" w:eastAsia="宋体" w:cs="宋体"/>
          <w:sz w:val="24"/>
          <w:szCs w:val="24"/>
        </w:rPr>
        <w:t>60</w:t>
      </w:r>
      <w:r>
        <w:rPr>
          <w:rFonts w:hint="eastAsia" w:ascii="宋体" w:hAnsi="宋体" w:eastAsia="宋体" w:cs="宋体"/>
          <w:sz w:val="24"/>
          <w:szCs w:val="24"/>
        </w:rPr>
        <w:t>个</w:t>
      </w:r>
      <w:r>
        <w:rPr>
          <w:rFonts w:ascii="宋体" w:hAnsi="宋体" w:eastAsia="宋体" w:cs="宋体"/>
          <w:sz w:val="24"/>
          <w:szCs w:val="24"/>
        </w:rPr>
        <w:t>日历日</w:t>
      </w:r>
      <w:r>
        <w:rPr>
          <w:rFonts w:hint="eastAsia" w:ascii="宋体" w:hAnsi="宋体" w:eastAsia="宋体" w:cs="宋体"/>
          <w:sz w:val="24"/>
          <w:szCs w:val="24"/>
        </w:rPr>
        <w:t>(包含设计、制造、运输、安装、调试、试运行、培训等，直至交付使用)；</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济南卡车制造公司：车架</w:t>
      </w:r>
      <w:r>
        <w:rPr>
          <w:rFonts w:ascii="宋体" w:hAnsi="宋体" w:eastAsia="宋体" w:cs="宋体"/>
          <w:sz w:val="24"/>
          <w:szCs w:val="24"/>
        </w:rPr>
        <w:t>一部电泳现场分部的两套立即实施，车架二部装配现场分部的一套</w:t>
      </w:r>
      <w:r>
        <w:rPr>
          <w:rFonts w:hint="eastAsia" w:ascii="宋体" w:hAnsi="宋体" w:eastAsia="宋体" w:cs="宋体"/>
          <w:sz w:val="24"/>
          <w:szCs w:val="24"/>
        </w:rPr>
        <w:t>暂缓</w:t>
      </w:r>
      <w:r>
        <w:rPr>
          <w:rFonts w:ascii="宋体" w:hAnsi="宋体" w:eastAsia="宋体" w:cs="宋体"/>
          <w:sz w:val="24"/>
          <w:szCs w:val="24"/>
        </w:rPr>
        <w:t>实施，</w:t>
      </w:r>
      <w:r>
        <w:rPr>
          <w:rFonts w:hint="eastAsia" w:ascii="宋体" w:hAnsi="宋体" w:eastAsia="宋体" w:cs="宋体"/>
          <w:sz w:val="24"/>
          <w:szCs w:val="24"/>
        </w:rPr>
        <w:t>等待</w:t>
      </w:r>
      <w:r>
        <w:rPr>
          <w:rFonts w:ascii="宋体" w:hAnsi="宋体" w:eastAsia="宋体" w:cs="宋体"/>
          <w:sz w:val="24"/>
          <w:szCs w:val="24"/>
        </w:rPr>
        <w:t>招标方通知</w:t>
      </w:r>
      <w:r>
        <w:rPr>
          <w:rFonts w:hint="eastAsia" w:ascii="宋体" w:hAnsi="宋体" w:eastAsia="宋体" w:cs="宋体"/>
          <w:sz w:val="24"/>
          <w:szCs w:val="24"/>
        </w:rPr>
        <w:t>再行</w:t>
      </w:r>
      <w:r>
        <w:rPr>
          <w:rFonts w:ascii="宋体" w:hAnsi="宋体" w:eastAsia="宋体" w:cs="宋体"/>
          <w:sz w:val="24"/>
          <w:szCs w:val="24"/>
        </w:rPr>
        <w:t>实施</w:t>
      </w:r>
      <w:r>
        <w:rPr>
          <w:rFonts w:hint="eastAsia" w:ascii="宋体" w:hAnsi="宋体" w:eastAsia="宋体" w:cs="宋体"/>
          <w:sz w:val="24"/>
          <w:szCs w:val="24"/>
        </w:rPr>
        <w:t>。</w:t>
      </w:r>
    </w:p>
    <w:p>
      <w:pPr>
        <w:pStyle w:val="16"/>
        <w:rPr>
          <w:rFonts w:hint="eastAsia"/>
        </w:rPr>
      </w:pPr>
      <w:r>
        <w:rPr>
          <w:rFonts w:hint="eastAsia"/>
        </w:rPr>
        <w:t>济南橡塑件公司：</w:t>
      </w:r>
      <w:r>
        <w:rPr>
          <w:rFonts w:hint="eastAsia" w:eastAsia="宋体" w:cs="宋体"/>
          <w:sz w:val="24"/>
          <w:szCs w:val="24"/>
        </w:rPr>
        <w:t>硫化</w:t>
      </w:r>
      <w:r>
        <w:rPr>
          <w:rFonts w:eastAsia="宋体" w:cs="宋体"/>
          <w:sz w:val="24"/>
          <w:szCs w:val="24"/>
        </w:rPr>
        <w:t>现场分部</w:t>
      </w:r>
      <w:r>
        <w:rPr>
          <w:rFonts w:hint="eastAsia" w:eastAsia="宋体" w:cs="宋体"/>
          <w:sz w:val="24"/>
          <w:szCs w:val="24"/>
        </w:rPr>
        <w:t>（东、中）</w:t>
      </w:r>
      <w:r>
        <w:rPr>
          <w:rFonts w:eastAsia="宋体" w:cs="宋体"/>
          <w:sz w:val="24"/>
          <w:szCs w:val="24"/>
        </w:rPr>
        <w:t>两套，</w:t>
      </w:r>
      <w:r>
        <w:rPr>
          <w:rFonts w:hint="eastAsia" w:eastAsia="宋体" w:cs="宋体"/>
          <w:sz w:val="24"/>
          <w:szCs w:val="24"/>
        </w:rPr>
        <w:t>混炼</w:t>
      </w:r>
      <w:r>
        <w:rPr>
          <w:rFonts w:eastAsia="宋体" w:cs="宋体"/>
          <w:sz w:val="24"/>
          <w:szCs w:val="24"/>
        </w:rPr>
        <w:t>现场分部的一套。</w:t>
      </w:r>
    </w:p>
    <w:p>
      <w:pPr>
        <w:pStyle w:val="5"/>
        <w:snapToGrid w:val="0"/>
        <w:ind w:left="541" w:leftChars="175" w:hanging="173" w:hangingChars="72"/>
        <w:rPr>
          <w:rFonts w:hint="eastAsia" w:ascii="宋体" w:hAnsi="宋体" w:cs="宋体"/>
          <w:szCs w:val="24"/>
        </w:rPr>
      </w:pPr>
      <w:bookmarkStart w:id="99" w:name="_Toc12697"/>
      <w:r>
        <w:rPr>
          <w:rFonts w:hint="eastAsia" w:ascii="宋体" w:hAnsi="宋体" w:cs="宋体"/>
          <w:szCs w:val="24"/>
        </w:rPr>
        <w:t>二、使用环境与能源供给</w:t>
      </w:r>
      <w:bookmarkEnd w:id="99"/>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2.1济南卡车制造公司使用环境</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室内环境：温度：0℃～4</w:t>
      </w:r>
      <w:bookmarkStart w:id="100" w:name="_Hlk33180226"/>
      <w:r>
        <w:rPr>
          <w:rFonts w:hint="eastAsia" w:ascii="宋体" w:hAnsi="宋体" w:eastAsia="宋体" w:cs="宋体"/>
          <w:sz w:val="24"/>
          <w:szCs w:val="24"/>
        </w:rPr>
        <w:t>5℃</w:t>
      </w:r>
      <w:bookmarkEnd w:id="100"/>
      <w:r>
        <w:rPr>
          <w:rFonts w:hint="eastAsia" w:ascii="宋体" w:hAnsi="宋体" w:eastAsia="宋体" w:cs="宋体"/>
          <w:sz w:val="24"/>
          <w:szCs w:val="24"/>
        </w:rPr>
        <w:t>，相对湿度：≤95%（非结露环境）</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室外温度：</w:t>
      </w:r>
      <w:bookmarkStart w:id="101" w:name="_Hlk33180233"/>
      <w:bookmarkStart w:id="102" w:name="_Hlk33180260"/>
      <w:r>
        <w:rPr>
          <w:rFonts w:hint="eastAsia" w:ascii="宋体" w:hAnsi="宋体" w:eastAsia="宋体" w:cs="宋体"/>
          <w:sz w:val="24"/>
          <w:szCs w:val="24"/>
        </w:rPr>
        <w:t>日均最高温度33℃</w:t>
      </w:r>
      <w:bookmarkEnd w:id="101"/>
      <w:r>
        <w:rPr>
          <w:rFonts w:hint="eastAsia" w:ascii="宋体" w:hAnsi="宋体" w:eastAsia="宋体" w:cs="宋体"/>
          <w:sz w:val="24"/>
          <w:szCs w:val="24"/>
        </w:rPr>
        <w:t>，日均最低温度-5℃</w:t>
      </w:r>
    </w:p>
    <w:bookmarkEnd w:id="102"/>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年极端最高气温39.9℃，年极端最低气温-19.3℃</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年平均气温：13.3℃，年平均相对湿度：65%</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济南橡塑件公司使用环境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2.环境温度：最高40℃   最低-15℃。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pPr>
        <w:pStyle w:val="128"/>
        <w:spacing w:line="360" w:lineRule="auto"/>
        <w:ind w:left="480" w:firstLine="0" w:firstLineChars="0"/>
        <w:rPr>
          <w:rFonts w:hint="eastAsia"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供电电压：AC220V±20%，频率50±1Hz。</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pPr>
        <w:pStyle w:val="128"/>
        <w:spacing w:line="360" w:lineRule="auto"/>
        <w:ind w:left="480" w:firstLine="0" w:firstLineChars="0"/>
        <w:rPr>
          <w:rFonts w:hint="eastAsia" w:ascii="宋体" w:hAnsi="宋体" w:eastAsia="宋体" w:cs="宋体"/>
          <w:sz w:val="24"/>
          <w:szCs w:val="24"/>
        </w:rPr>
      </w:pPr>
      <w:r>
        <w:rPr>
          <w:rFonts w:hint="eastAsia" w:ascii="宋体" w:hAnsi="宋体" w:eastAsia="宋体" w:cs="宋体"/>
          <w:sz w:val="24"/>
          <w:szCs w:val="24"/>
        </w:rPr>
        <w:t>6.</w:t>
      </w:r>
      <w:r>
        <w:rPr>
          <w:rFonts w:ascii="宋体" w:hAnsi="宋体" w:eastAsia="宋体" w:cs="宋体"/>
          <w:sz w:val="24"/>
          <w:szCs w:val="24"/>
        </w:rPr>
        <w:t>仪表环境温度：室内仪表满足15~35℃，室外仪表满足-20~50℃</w:t>
      </w:r>
    </w:p>
    <w:p>
      <w:pPr>
        <w:pStyle w:val="128"/>
        <w:spacing w:line="360" w:lineRule="auto"/>
        <w:ind w:left="480" w:firstLine="0" w:firstLineChars="0"/>
        <w:rPr>
          <w:rFonts w:hint="eastAsia" w:ascii="宋体" w:hAnsi="宋体" w:eastAsia="宋体" w:cs="宋体"/>
          <w:sz w:val="24"/>
          <w:szCs w:val="24"/>
        </w:rPr>
      </w:pPr>
      <w:r>
        <w:rPr>
          <w:rFonts w:hint="eastAsia" w:ascii="宋体" w:hAnsi="宋体" w:eastAsia="宋体" w:cs="宋体"/>
          <w:sz w:val="24"/>
          <w:szCs w:val="24"/>
        </w:rPr>
        <w:t>7.</w:t>
      </w:r>
      <w:r>
        <w:rPr>
          <w:rFonts w:ascii="宋体" w:hAnsi="宋体" w:eastAsia="宋体" w:cs="宋体"/>
          <w:sz w:val="24"/>
          <w:szCs w:val="24"/>
        </w:rPr>
        <w:t>湿度：≤</w:t>
      </w:r>
      <w:r>
        <w:rPr>
          <w:rFonts w:hint="eastAsia" w:ascii="宋体" w:hAnsi="宋体" w:eastAsia="宋体" w:cs="宋体"/>
          <w:sz w:val="24"/>
          <w:szCs w:val="24"/>
        </w:rPr>
        <w:t>80</w:t>
      </w:r>
      <w:r>
        <w:rPr>
          <w:rFonts w:ascii="宋体" w:hAnsi="宋体" w:eastAsia="宋体" w:cs="宋体"/>
          <w:sz w:val="24"/>
          <w:szCs w:val="24"/>
        </w:rPr>
        <w:t>%</w:t>
      </w:r>
    </w:p>
    <w:p>
      <w:pPr>
        <w:pStyle w:val="128"/>
        <w:spacing w:line="360" w:lineRule="auto"/>
        <w:ind w:left="480" w:firstLine="0" w:firstLineChars="0"/>
        <w:rPr>
          <w:rFonts w:hint="eastAsia" w:ascii="宋体" w:hAnsi="宋体" w:eastAsia="宋体" w:cs="宋体"/>
          <w:sz w:val="24"/>
          <w:szCs w:val="24"/>
        </w:rPr>
      </w:pPr>
      <w:r>
        <w:rPr>
          <w:rFonts w:hint="eastAsia" w:ascii="宋体" w:hAnsi="宋体" w:eastAsia="宋体" w:cs="宋体"/>
          <w:sz w:val="24"/>
          <w:szCs w:val="24"/>
        </w:rPr>
        <w:t>8.</w:t>
      </w:r>
      <w:r>
        <w:rPr>
          <w:rFonts w:ascii="宋体" w:hAnsi="宋体" w:eastAsia="宋体" w:cs="宋体"/>
          <w:sz w:val="24"/>
          <w:szCs w:val="24"/>
        </w:rPr>
        <w:t>气压：（86-106）kPa</w:t>
      </w:r>
    </w:p>
    <w:p>
      <w:pPr>
        <w:pStyle w:val="16"/>
        <w:rPr>
          <w:rFonts w:hint="eastAsia"/>
        </w:rPr>
      </w:pP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2.2能源供给</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（1）电力：中国制式，三相五线制供电，供电电压380V±10%/220V±10%，供电频率50Hz±0.5Hz。</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备注：GB/T12325-2008《电能质量 供电电压偏差》4.2规定20K及以下三相供电电压偏差为标称电压的±7%，4.3规定220V单相+7%。-10%。GB/T15945《电能质量 电力系统频率偏差》3.1规定电力系统正常运行条件下频率偏差限值为±0.2Hz。当系统容量较小时，偏差限值可以放宽到±0.5Hz。</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（2）天然气：由市政供给天然气~0.3MPa,调到0.09Mpa（厂区压力），车间入口设置调压计量柜，将压力调至0.05Mpa送入车间。</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（3）水：市政自来水0.25MPa(0.15-0.35MPa)，厂区暂未设计加压站。</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（4）高温热水：采暖季：市政高温热水，</w:t>
      </w:r>
      <w:bookmarkStart w:id="103" w:name="_Hlk33007832"/>
      <w:r>
        <w:rPr>
          <w:rFonts w:hint="eastAsia" w:ascii="宋体" w:hAnsi="宋体" w:eastAsia="宋体" w:cs="宋体"/>
          <w:sz w:val="24"/>
          <w:szCs w:val="24"/>
        </w:rPr>
        <w:t>供回水温度80℃/60</w:t>
      </w:r>
      <w:bookmarkStart w:id="104" w:name="_Hlk80687985"/>
      <w:r>
        <w:rPr>
          <w:rFonts w:hint="eastAsia" w:ascii="宋体" w:hAnsi="宋体" w:eastAsia="宋体" w:cs="宋体"/>
          <w:sz w:val="24"/>
          <w:szCs w:val="24"/>
        </w:rPr>
        <w:t>℃</w:t>
      </w:r>
      <w:bookmarkEnd w:id="103"/>
      <w:bookmarkEnd w:id="104"/>
      <w:r>
        <w:rPr>
          <w:rFonts w:hint="eastAsia" w:ascii="宋体" w:hAnsi="宋体" w:eastAsia="宋体" w:cs="宋体"/>
          <w:sz w:val="24"/>
          <w:szCs w:val="24"/>
        </w:rPr>
        <w:t>，±15℃</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（5）冷冻水：供回水温度：7℃/12℃，±3℃</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（6）压缩空气：厂区空压站自产压缩空气，0.65 Mpa≤出站压力≤0.85 Mpa，</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车间压缩空气主管网动态压力≥0.60 Mpa；范围：0.60 Mpa≤车间动态压力≤0.75 Mpa。</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备注：经车间压缩空气管道入口设置精密除油除尘过滤器后，压缩空气质量等级不低于GB/T13277.1-2008《压缩空气 第1部分：污染物净化等级》规定的1.2.1级。</w:t>
      </w:r>
    </w:p>
    <w:p>
      <w:pPr>
        <w:pStyle w:val="5"/>
        <w:rPr>
          <w:rFonts w:hint="eastAsia" w:ascii="宋体" w:hAnsi="宋体" w:cs="宋体"/>
          <w:sz w:val="30"/>
          <w:szCs w:val="30"/>
        </w:rPr>
      </w:pPr>
      <w:bookmarkStart w:id="105" w:name="_Toc16724"/>
      <w:r>
        <w:rPr>
          <w:rFonts w:hint="eastAsia" w:ascii="宋体" w:hAnsi="宋体" w:cs="宋体"/>
          <w:szCs w:val="24"/>
        </w:rPr>
        <w:t>三、</w:t>
      </w:r>
      <w:r>
        <w:rPr>
          <w:rFonts w:hint="eastAsia" w:ascii="宋体" w:hAnsi="宋体" w:cs="宋体"/>
          <w:sz w:val="30"/>
          <w:szCs w:val="30"/>
        </w:rPr>
        <w:t>技术要求</w:t>
      </w:r>
    </w:p>
    <w:p>
      <w:pPr>
        <w:pStyle w:val="6"/>
        <w:spacing w:before="0" w:after="0" w:line="360" w:lineRule="auto"/>
        <w:rPr>
          <w:rFonts w:hint="eastAsia" w:ascii="宋体" w:hAnsi="宋体"/>
          <w:sz w:val="28"/>
          <w:szCs w:val="28"/>
        </w:rPr>
      </w:pPr>
      <w:bookmarkStart w:id="106" w:name="_Toc97410282"/>
      <w:r>
        <w:rPr>
          <w:rFonts w:hint="eastAsia" w:ascii="宋体" w:hAnsi="宋体"/>
          <w:sz w:val="28"/>
          <w:szCs w:val="28"/>
        </w:rPr>
        <w:t>3.1系统监测项目</w:t>
      </w:r>
      <w:bookmarkEnd w:id="106"/>
    </w:p>
    <w:p>
      <w:pPr>
        <w:pStyle w:val="144"/>
        <w:spacing w:line="360" w:lineRule="auto"/>
        <w:ind w:firstLine="480"/>
        <w:rPr>
          <w:rFonts w:hint="eastAsia" w:ascii="宋体" w:hAnsi="宋体" w:cs="宋体"/>
          <w:sz w:val="24"/>
        </w:rPr>
      </w:pPr>
      <w:r>
        <w:rPr>
          <w:rFonts w:hint="eastAsia" w:ascii="宋体" w:hAnsi="宋体" w:cs="宋体"/>
          <w:sz w:val="24"/>
        </w:rPr>
        <w:t>测量对象：工业废气</w:t>
      </w:r>
    </w:p>
    <w:p>
      <w:pPr>
        <w:pStyle w:val="144"/>
        <w:spacing w:line="360" w:lineRule="auto"/>
        <w:ind w:firstLine="480"/>
        <w:rPr>
          <w:rFonts w:hint="eastAsia" w:ascii="宋体" w:hAnsi="宋体" w:cs="宋体"/>
          <w:sz w:val="24"/>
        </w:rPr>
      </w:pPr>
      <w:r>
        <w:rPr>
          <w:rFonts w:hint="eastAsia" w:ascii="宋体" w:hAnsi="宋体" w:cs="宋体"/>
          <w:sz w:val="24"/>
        </w:rPr>
        <w:t>在线监测数量：6套（6个点位）</w:t>
      </w:r>
    </w:p>
    <w:p>
      <w:pPr>
        <w:pStyle w:val="144"/>
        <w:spacing w:line="360" w:lineRule="auto"/>
        <w:ind w:firstLine="480"/>
        <w:rPr>
          <w:rFonts w:hint="eastAsia" w:ascii="宋体" w:hAnsi="宋体" w:cs="宋体"/>
          <w:sz w:val="24"/>
        </w:rPr>
      </w:pPr>
      <w:r>
        <w:rPr>
          <w:rFonts w:hint="eastAsia" w:ascii="宋体" w:hAnsi="宋体" w:cs="宋体"/>
          <w:sz w:val="24"/>
        </w:rPr>
        <w:t>测量参数：总烃、甲烷、非甲烷总烃、温度、压力、流速、湿度、氧含量，分析仪预留检测苯系物等的功能参数。</w:t>
      </w:r>
    </w:p>
    <w:p>
      <w:pPr>
        <w:pStyle w:val="144"/>
        <w:spacing w:line="360" w:lineRule="auto"/>
        <w:ind w:firstLine="480"/>
        <w:rPr>
          <w:rFonts w:hint="eastAsia" w:ascii="宋体" w:hAnsi="宋体" w:cs="宋体"/>
          <w:sz w:val="24"/>
        </w:rPr>
      </w:pPr>
      <w:bookmarkStart w:id="107" w:name="_Toc4255896"/>
      <w:bookmarkStart w:id="108" w:name="_Toc97410283"/>
      <w:r>
        <w:rPr>
          <w:rFonts w:hint="eastAsia" w:ascii="宋体" w:hAnsi="宋体" w:cs="宋体"/>
          <w:sz w:val="24"/>
        </w:rPr>
        <w:t>测量方法</w:t>
      </w:r>
      <w:bookmarkEnd w:id="107"/>
      <w:bookmarkEnd w:id="108"/>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非甲烷总烃：在线气相色谱法</w:t>
      </w:r>
      <w:r>
        <w:rPr>
          <w:rFonts w:ascii="宋体" w:hAnsi="宋体" w:eastAsia="宋体" w:cs="宋体"/>
          <w:sz w:val="24"/>
        </w:rPr>
        <w:t xml:space="preserve"> GC+FID</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烟气采样器：直接抽取式</w:t>
      </w:r>
      <w:r>
        <w:rPr>
          <w:rFonts w:ascii="宋体" w:hAnsi="宋体" w:eastAsia="宋体" w:cs="宋体"/>
          <w:sz w:val="24"/>
        </w:rPr>
        <w:t>+全热法</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温度测量方法：三线制</w:t>
      </w:r>
      <w:r>
        <w:rPr>
          <w:rFonts w:ascii="宋体" w:hAnsi="宋体" w:eastAsia="宋体" w:cs="宋体"/>
          <w:sz w:val="24"/>
        </w:rPr>
        <w:t>PT100</w:t>
      </w:r>
      <w:r>
        <w:rPr>
          <w:rFonts w:hint="eastAsia" w:ascii="宋体" w:hAnsi="宋体" w:eastAsia="宋体" w:cs="宋体"/>
          <w:sz w:val="24"/>
        </w:rPr>
        <w:t>铂电阻</w:t>
      </w:r>
      <w:r>
        <w:rPr>
          <w:rFonts w:ascii="宋体" w:hAnsi="宋体" w:eastAsia="宋体" w:cs="宋体"/>
          <w:sz w:val="24"/>
        </w:rPr>
        <w:t>+温度变送器</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压力测量方法：压力变送器</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流速测量方法：差压法（皮托管）</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湿度测量方法：电容式湿度传感器</w:t>
      </w:r>
    </w:p>
    <w:p>
      <w:pPr>
        <w:pStyle w:val="58"/>
        <w:numPr>
          <w:ilvl w:val="0"/>
          <w:numId w:val="13"/>
        </w:numPr>
        <w:spacing w:line="360" w:lineRule="auto"/>
        <w:ind w:firstLine="153" w:firstLineChars="0"/>
        <w:contextualSpacing/>
        <w:rPr>
          <w:rFonts w:hint="eastAsia" w:ascii="宋体" w:hAnsi="宋体" w:eastAsia="宋体" w:cs="宋体"/>
          <w:sz w:val="24"/>
        </w:rPr>
      </w:pPr>
      <w:r>
        <w:rPr>
          <w:rFonts w:hint="eastAsia" w:ascii="宋体" w:hAnsi="宋体" w:eastAsia="宋体" w:cs="宋体"/>
          <w:sz w:val="24"/>
        </w:rPr>
        <w:t>氧含量测量方法：氧化锆法或电化学</w:t>
      </w:r>
    </w:p>
    <w:p>
      <w:pPr>
        <w:pStyle w:val="6"/>
        <w:spacing w:before="0" w:after="0" w:line="360" w:lineRule="auto"/>
        <w:rPr>
          <w:rFonts w:hint="eastAsia" w:ascii="宋体" w:hAnsi="宋体"/>
          <w:sz w:val="28"/>
          <w:szCs w:val="28"/>
        </w:rPr>
      </w:pPr>
      <w:bookmarkStart w:id="109" w:name="_Toc97410284"/>
      <w:bookmarkStart w:id="110" w:name="_Toc4255897"/>
      <w:r>
        <w:rPr>
          <w:rFonts w:ascii="宋体" w:hAnsi="宋体"/>
          <w:sz w:val="28"/>
          <w:szCs w:val="28"/>
        </w:rPr>
        <w:t xml:space="preserve">3.2 </w:t>
      </w:r>
      <w:r>
        <w:rPr>
          <w:rFonts w:hint="eastAsia" w:ascii="宋体" w:hAnsi="宋体"/>
          <w:sz w:val="28"/>
          <w:szCs w:val="28"/>
        </w:rPr>
        <w:t>系统组成</w:t>
      </w:r>
      <w:bookmarkEnd w:id="109"/>
      <w:bookmarkEnd w:id="110"/>
    </w:p>
    <w:p>
      <w:pPr>
        <w:spacing w:line="360" w:lineRule="auto"/>
        <w:ind w:firstLine="480" w:firstLineChars="200"/>
        <w:rPr>
          <w:rFonts w:hint="eastAsia" w:ascii="宋体" w:hAnsi="宋体" w:eastAsia="宋体"/>
          <w:sz w:val="24"/>
        </w:rPr>
      </w:pPr>
      <w:r>
        <w:rPr>
          <w:rFonts w:hint="eastAsia" w:ascii="宋体" w:hAnsi="宋体" w:eastAsia="宋体"/>
          <w:sz w:val="24"/>
        </w:rPr>
        <w:t>固定污染源废气</w:t>
      </w:r>
      <w:r>
        <w:rPr>
          <w:rFonts w:ascii="宋体" w:hAnsi="宋体" w:eastAsia="宋体"/>
          <w:sz w:val="24"/>
        </w:rPr>
        <w:t>VOCs在线监测系统包括烟气采样单元、采样复合伴热管线、在线气相色谱分析仪、烟气参数监测子系统（温度、压力、流速、湿度、氧含量）、氢气发生器、</w:t>
      </w:r>
      <w:r>
        <w:rPr>
          <w:rFonts w:hint="eastAsia" w:ascii="宋体" w:hAnsi="宋体" w:eastAsia="宋体"/>
          <w:sz w:val="24"/>
        </w:rPr>
        <w:t>在线除烃仪、机柜及预处理单元、空压机、标准气体、工控机、数采仪、监测站房、爬梯（仅橡塑件公司）、二层平台（仅橡塑件公司）等附属设施等。</w:t>
      </w:r>
    </w:p>
    <w:p>
      <w:pPr>
        <w:pStyle w:val="6"/>
        <w:spacing w:before="0" w:after="0" w:line="360" w:lineRule="auto"/>
        <w:rPr>
          <w:rFonts w:hint="eastAsia" w:ascii="宋体" w:hAnsi="宋体"/>
          <w:sz w:val="28"/>
          <w:szCs w:val="28"/>
        </w:rPr>
      </w:pPr>
      <w:bookmarkStart w:id="111" w:name="_Toc24016753"/>
      <w:bookmarkStart w:id="112" w:name="_Toc23792847"/>
      <w:bookmarkStart w:id="113" w:name="_Toc24065182"/>
      <w:bookmarkStart w:id="114" w:name="_Toc72438648"/>
      <w:bookmarkStart w:id="115" w:name="_Toc39052509"/>
      <w:r>
        <w:rPr>
          <w:rFonts w:ascii="宋体" w:hAnsi="宋体"/>
          <w:sz w:val="28"/>
          <w:szCs w:val="28"/>
        </w:rPr>
        <w:t xml:space="preserve">3.3 </w:t>
      </w:r>
      <w:r>
        <w:rPr>
          <w:rFonts w:hint="eastAsia" w:ascii="宋体" w:hAnsi="宋体"/>
          <w:sz w:val="28"/>
          <w:szCs w:val="28"/>
        </w:rPr>
        <w:t>项目执行标准</w:t>
      </w:r>
      <w:bookmarkEnd w:id="111"/>
      <w:bookmarkEnd w:id="112"/>
      <w:bookmarkEnd w:id="113"/>
      <w:bookmarkEnd w:id="114"/>
      <w:bookmarkEnd w:id="115"/>
    </w:p>
    <w:p>
      <w:pPr>
        <w:spacing w:line="360" w:lineRule="auto"/>
        <w:ind w:firstLine="482"/>
        <w:rPr>
          <w:rFonts w:hint="eastAsia" w:ascii="宋体" w:hAnsi="宋体" w:eastAsia="宋体" w:cs="宋体"/>
          <w:sz w:val="24"/>
        </w:rPr>
      </w:pPr>
      <w:r>
        <w:rPr>
          <w:rFonts w:hint="eastAsia" w:ascii="宋体" w:hAnsi="宋体" w:eastAsia="宋体" w:cs="宋体"/>
          <w:sz w:val="24"/>
        </w:rPr>
        <w:t>本系统的设计、制造、验收规范主要按下列标准和技术规范进行：</w:t>
      </w:r>
    </w:p>
    <w:tbl>
      <w:tblPr>
        <w:tblStyle w:val="38"/>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HJ1286-2023</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w:t>
            </w:r>
            <w:r>
              <w:rPr>
                <w:rFonts w:ascii="宋体" w:hAnsi="宋体" w:eastAsia="宋体"/>
                <w:szCs w:val="21"/>
              </w:rPr>
              <w:t>污染源废气</w:t>
            </w:r>
            <w:r>
              <w:rPr>
                <w:rFonts w:hint="eastAsia" w:ascii="宋体" w:hAnsi="宋体" w:eastAsia="宋体"/>
                <w:szCs w:val="21"/>
              </w:rPr>
              <w:t xml:space="preserve"> 非甲烷</w:t>
            </w:r>
            <w:r>
              <w:rPr>
                <w:rFonts w:ascii="宋体" w:hAnsi="宋体" w:eastAsia="宋体"/>
                <w:szCs w:val="21"/>
              </w:rPr>
              <w:t>总烃连续监测技术规范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济环【</w:t>
            </w:r>
            <w:r>
              <w:rPr>
                <w:rFonts w:ascii="宋体" w:hAnsi="宋体" w:eastAsia="宋体"/>
                <w:szCs w:val="21"/>
              </w:rPr>
              <w:t>2019</w:t>
            </w:r>
            <w:r>
              <w:rPr>
                <w:rFonts w:hint="eastAsia" w:ascii="宋体" w:hAnsi="宋体" w:eastAsia="宋体"/>
                <w:szCs w:val="21"/>
              </w:rPr>
              <w:t>】</w:t>
            </w:r>
            <w:r>
              <w:rPr>
                <w:rFonts w:ascii="宋体" w:hAnsi="宋体" w:eastAsia="宋体"/>
                <w:szCs w:val="21"/>
              </w:rPr>
              <w:t>71</w:t>
            </w:r>
            <w:r>
              <w:rPr>
                <w:rFonts w:hint="eastAsia" w:ascii="宋体" w:hAnsi="宋体" w:eastAsia="宋体"/>
                <w:szCs w:val="21"/>
              </w:rPr>
              <w:t>号</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《关于下达</w:t>
            </w:r>
            <w:r>
              <w:rPr>
                <w:rFonts w:ascii="宋体" w:hAnsi="宋体" w:eastAsia="宋体"/>
                <w:szCs w:val="21"/>
              </w:rPr>
              <w:t>2019</w:t>
            </w:r>
            <w:r>
              <w:rPr>
                <w:rFonts w:hint="eastAsia" w:ascii="宋体" w:hAnsi="宋体" w:eastAsia="宋体"/>
                <w:szCs w:val="21"/>
              </w:rPr>
              <w:t>年第一批</w:t>
            </w:r>
            <w:r>
              <w:rPr>
                <w:rFonts w:ascii="宋体" w:hAnsi="宋体" w:eastAsia="宋体"/>
                <w:szCs w:val="21"/>
              </w:rPr>
              <w:t>VOC污染源自动监控设施安装建设计划的通知》及所有附件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鲁环发〔</w:t>
            </w:r>
            <w:r>
              <w:rPr>
                <w:rFonts w:ascii="宋体" w:hAnsi="宋体" w:eastAsia="宋体"/>
                <w:szCs w:val="21"/>
              </w:rPr>
              <w:t xml:space="preserve">2019〕134 </w:t>
            </w:r>
            <w:r>
              <w:rPr>
                <w:rFonts w:hint="eastAsia" w:ascii="宋体" w:hAnsi="宋体" w:eastAsia="宋体"/>
                <w:szCs w:val="21"/>
              </w:rPr>
              <w:t>号</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《山东省生态环境厅关于印发山东省重点排污单位名录制定和污染源自动监测安装联网管理规定的通知》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环办环监〔</w:t>
            </w:r>
            <w:r>
              <w:rPr>
                <w:rFonts w:ascii="宋体" w:hAnsi="宋体" w:eastAsia="宋体"/>
                <w:szCs w:val="21"/>
              </w:rPr>
              <w:t>2017〕61号</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《关于加快重点行业重点地区重点排污单位自动监控工作的通知》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环办监测函〔</w:t>
            </w:r>
            <w:r>
              <w:rPr>
                <w:rFonts w:ascii="宋体" w:hAnsi="宋体" w:eastAsia="宋体"/>
                <w:szCs w:val="21"/>
              </w:rPr>
              <w:t>2020〕90号</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关于印发《固定污染源废气中非甲烷总烃排放连续监测技术指南（试行）</w:t>
            </w:r>
            <w:r>
              <w:rPr>
                <w:rFonts w:ascii="宋体" w:hAnsi="宋体" w:eastAsia="宋体"/>
                <w:szCs w:val="21"/>
              </w:rPr>
              <w:t>&gt;</w:t>
            </w:r>
            <w:r>
              <w:rPr>
                <w:rFonts w:hint="eastAsia" w:ascii="宋体" w:hAnsi="宋体" w:eastAsia="宋体"/>
                <w:szCs w:val="21"/>
              </w:rPr>
              <w:t>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济环函〔</w:t>
            </w:r>
            <w:r>
              <w:rPr>
                <w:rFonts w:ascii="宋体" w:hAnsi="宋体" w:eastAsia="宋体"/>
                <w:szCs w:val="21"/>
              </w:rPr>
              <w:t>2020〕14号</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关于下达《</w:t>
            </w:r>
            <w:r>
              <w:rPr>
                <w:rFonts w:ascii="宋体" w:hAnsi="宋体" w:eastAsia="宋体"/>
                <w:szCs w:val="21"/>
              </w:rPr>
              <w:t>2020年第一批重点污染源自动监控设施安装建设计划的通知》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color w:val="000000"/>
                <w:szCs w:val="21"/>
              </w:rPr>
              <w:t>DB37/2801.5/2017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color w:val="000000"/>
                <w:szCs w:val="21"/>
              </w:rPr>
              <w:t>《挥发性有机物排放标准</w:t>
            </w:r>
            <w:r>
              <w:rPr>
                <w:rFonts w:ascii="宋体" w:hAnsi="宋体" w:eastAsia="宋体"/>
                <w:color w:val="000000"/>
                <w:szCs w:val="21"/>
              </w:rPr>
              <w:t xml:space="preserve"> </w:t>
            </w:r>
            <w:r>
              <w:rPr>
                <w:rFonts w:hint="eastAsia" w:ascii="宋体" w:hAnsi="宋体" w:eastAsia="宋体"/>
                <w:color w:val="000000"/>
                <w:szCs w:val="21"/>
              </w:rPr>
              <w:t>第五部分：表面涂装行业》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HJ75-2017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HJ76-2017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)排放连续监测系统技术要求及检测方法》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HJ38-2017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《固定污染源废气</w:t>
            </w:r>
            <w:r>
              <w:rPr>
                <w:rFonts w:ascii="宋体" w:hAnsi="宋体" w:eastAsia="宋体"/>
                <w:szCs w:val="21"/>
              </w:rPr>
              <w:t xml:space="preserve"> </w:t>
            </w:r>
            <w:r>
              <w:rPr>
                <w:rFonts w:hint="eastAsia" w:ascii="宋体" w:hAnsi="宋体" w:eastAsia="宋体"/>
                <w:szCs w:val="21"/>
              </w:rPr>
              <w:t>总烃、甲烷和非甲烷总烃的测定</w:t>
            </w:r>
            <w:r>
              <w:rPr>
                <w:rFonts w:ascii="宋体" w:hAnsi="宋体" w:eastAsia="宋体"/>
                <w:szCs w:val="21"/>
              </w:rPr>
              <w:t xml:space="preserve"> </w:t>
            </w:r>
            <w:r>
              <w:rPr>
                <w:rFonts w:hint="eastAsia" w:ascii="宋体" w:hAnsi="宋体" w:eastAsia="宋体"/>
                <w:szCs w:val="21"/>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HJ1013-2018</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《固定污染源废气非甲烷总烃连续监测系统技术要求及检测方法》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DB 37/T 3535—2019</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《固定污染源废气监测点位设置技术规范》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GB/T15157-1996</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《固定污染源排气中颗粒物测定与气态污染物采样方法》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T/CAEPI 11-2017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color w:val="000000"/>
                <w:szCs w:val="21"/>
              </w:rPr>
              <w:t>《固定污染源自动监控（监测）系统现场端建设技术规范》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HJ/T 212</w:t>
            </w:r>
          </w:p>
        </w:tc>
        <w:tc>
          <w:tcPr>
            <w:tcW w:w="6925" w:type="dxa"/>
            <w:vAlign w:val="center"/>
          </w:tcPr>
          <w:p>
            <w:pPr>
              <w:jc w:val="left"/>
              <w:rPr>
                <w:rFonts w:hint="eastAsia" w:ascii="宋体" w:hAnsi="宋体" w:eastAsia="宋体"/>
                <w:color w:val="000000"/>
                <w:szCs w:val="21"/>
              </w:rPr>
            </w:pPr>
            <w:r>
              <w:rPr>
                <w:rFonts w:hint="eastAsia" w:ascii="宋体" w:hAnsi="宋体" w:eastAsia="宋体"/>
                <w:color w:val="000000"/>
                <w:szCs w:val="21"/>
              </w:rPr>
              <w:t>《污染物在线监控（监测）系统数据传输标准》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 477</w:t>
            </w:r>
          </w:p>
        </w:tc>
        <w:tc>
          <w:tcPr>
            <w:tcW w:w="6925" w:type="dxa"/>
            <w:vAlign w:val="center"/>
          </w:tcPr>
          <w:p>
            <w:pPr>
              <w:spacing w:line="340" w:lineRule="exact"/>
              <w:jc w:val="left"/>
              <w:rPr>
                <w:rFonts w:hint="eastAsia" w:ascii="宋体" w:hAnsi="宋体" w:eastAsia="宋体" w:cs="AdobeHeitiStd-Regular"/>
                <w:kern w:val="0"/>
                <w:szCs w:val="21"/>
              </w:rPr>
            </w:pPr>
            <w:r>
              <w:rPr>
                <w:rFonts w:hint="eastAsia" w:ascii="宋体" w:hAnsi="宋体" w:eastAsia="宋体" w:cs="AdobeHeitiStd-Regular"/>
                <w:kern w:val="0"/>
                <w:szCs w:val="21"/>
              </w:rPr>
              <w:t>《污染源在线自动监控（监测）数据采集传输仪技术要求》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DB37/T</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《固定污染源烟气在线监测系统运行维护技术规范》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 477-2009</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w:t>
            </w:r>
            <w:r>
              <w:rPr>
                <w:rFonts w:ascii="宋体" w:hAnsi="宋体" w:eastAsia="宋体"/>
                <w:szCs w:val="21"/>
              </w:rPr>
              <w:t>污染源在线自动监控（监测）数据采集仪技术要求</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GB15297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DB37/2376-20133</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《山东省区域性大气污染物综合排放标准》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GB50093</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《自动化仪表工程施工及验收规范》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HJ/T 47—1999</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《烟气采样器技术条件》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GB15562.1-1995</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color w:val="000000"/>
                <w:szCs w:val="21"/>
              </w:rPr>
              <w:t>《环境保护图形标志</w:t>
            </w:r>
            <w:r>
              <w:rPr>
                <w:rFonts w:ascii="宋体" w:hAnsi="宋体" w:eastAsia="宋体"/>
                <w:color w:val="000000"/>
                <w:szCs w:val="21"/>
              </w:rPr>
              <w:t>--排放口（源）》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HJ/T 352-2007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《环境污染源自动监控信息传输、交换技术规范》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HJ/T 373-2007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《固定污染源监测质量保证与质量控制技术规范（试行）》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HJ/T 397-2007</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《固定源废气监测技术规范》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 3095</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《环境空气质量标准》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 12519</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《分析仪器通用技术条件》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GB50017-2003</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《钢结构设计规范》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GB50007-2011</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《建筑地基基础设计规范》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JGJ181-2002</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《建筑钢结构焊接规程》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02J401</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《钢梯标准设计图集》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center"/>
              <w:rPr>
                <w:rFonts w:hint="eastAsia" w:ascii="宋体" w:hAnsi="宋体" w:eastAsia="宋体"/>
                <w:szCs w:val="21"/>
              </w:rPr>
            </w:pPr>
            <w:r>
              <w:rPr>
                <w:rFonts w:ascii="宋体" w:hAnsi="宋体" w:eastAsia="宋体"/>
                <w:szCs w:val="21"/>
              </w:rPr>
              <w:t>GB/T31255-2014</w:t>
            </w:r>
          </w:p>
        </w:tc>
        <w:tc>
          <w:tcPr>
            <w:tcW w:w="6925"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《机械安全工业楼梯工作平台和通道的安全设计规范》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hint="eastAsia" w:ascii="宋体" w:hAnsi="宋体" w:eastAsia="宋体"/>
                <w:szCs w:val="21"/>
              </w:rPr>
            </w:pPr>
            <w:r>
              <w:rPr>
                <w:rFonts w:ascii="宋体" w:hAnsi="宋体" w:eastAsia="宋体"/>
                <w:szCs w:val="21"/>
              </w:rPr>
              <w:t>鲁环发(2019)134号</w:t>
            </w:r>
          </w:p>
        </w:tc>
        <w:tc>
          <w:tcPr>
            <w:tcW w:w="6925" w:type="dxa"/>
            <w:vAlign w:val="center"/>
          </w:tcPr>
          <w:p>
            <w:pPr>
              <w:autoSpaceDE w:val="0"/>
              <w:autoSpaceDN w:val="0"/>
              <w:adjustRightInd w:val="0"/>
              <w:jc w:val="left"/>
              <w:rPr>
                <w:rFonts w:hint="eastAsia" w:ascii="宋体" w:hAnsi="宋体" w:eastAsia="宋体"/>
                <w:szCs w:val="21"/>
              </w:rPr>
            </w:pPr>
            <w:r>
              <w:rPr>
                <w:rFonts w:ascii="宋体" w:hAnsi="宋体" w:eastAsia="宋体"/>
                <w:szCs w:val="21"/>
              </w:rPr>
              <w:t>《山东省生态环境厅关于印发山东省重点排污单位名录制定和污染源自动监测安装联网管理规定的通知》</w:t>
            </w:r>
          </w:p>
        </w:tc>
      </w:tr>
    </w:tbl>
    <w:p>
      <w:pPr>
        <w:pStyle w:val="6"/>
        <w:spacing w:before="0" w:after="0" w:line="360" w:lineRule="auto"/>
        <w:rPr>
          <w:rFonts w:hint="eastAsia" w:ascii="宋体" w:hAnsi="宋体"/>
          <w:sz w:val="28"/>
          <w:szCs w:val="28"/>
        </w:rPr>
      </w:pPr>
      <w:r>
        <w:rPr>
          <w:rFonts w:ascii="宋体" w:hAnsi="宋体"/>
          <w:sz w:val="28"/>
          <w:szCs w:val="28"/>
        </w:rPr>
        <w:t xml:space="preserve">3.4 </w:t>
      </w:r>
      <w:r>
        <w:rPr>
          <w:rFonts w:hint="eastAsia" w:ascii="宋体" w:hAnsi="宋体"/>
          <w:sz w:val="28"/>
          <w:szCs w:val="28"/>
        </w:rPr>
        <w:t>系统设备技术要求</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3.4.1 </w:t>
      </w:r>
      <w:r>
        <w:rPr>
          <w:rFonts w:hint="eastAsia" w:ascii="宋体" w:hAnsi="宋体" w:eastAsia="宋体" w:cs="FZZD Extra JW"/>
          <w:b/>
        </w:rPr>
        <w:t>烟气采样器</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烟气采样器系统由采样单元、加热单元、过滤单元和反吹单元共同组成，适合在各种高温、高湿、高油气环境中进行烟气采样。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从烟气采样探头、伴热管线、预处理系统全程</w:t>
      </w:r>
      <w:r>
        <w:rPr>
          <w:rFonts w:ascii="宋体" w:hAnsi="宋体" w:eastAsia="宋体" w:cs="宋体"/>
          <w:sz w:val="24"/>
        </w:rPr>
        <w:t>120度</w:t>
      </w:r>
      <w:r>
        <w:rPr>
          <w:rFonts w:hint="eastAsia" w:ascii="宋体" w:hAnsi="宋体" w:eastAsia="宋体" w:cs="宋体"/>
          <w:sz w:val="24"/>
        </w:rPr>
        <w:t>以上伴热，以保证烟气的温度一直高于烟气中所有有机成分的露点温度，烟气在传输的过程中不会结露，进入分析仪后的气体成分和烟筒里面一致。</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加热单元，被测样气在取样过程中样气始终处于高温状态下，使样气中的水汽不在过滤器中发生冷凝，从而改善了过滤器的工作条件。采样探头安装有加热器和温度传感器，加热温度可以在机柜系统软件设定，系统采用</w:t>
      </w:r>
      <w:r>
        <w:rPr>
          <w:rFonts w:ascii="宋体" w:hAnsi="宋体" w:eastAsia="宋体" w:cs="宋体"/>
          <w:sz w:val="24"/>
        </w:rPr>
        <w:t>PID控制精确控制采样探头温度。</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采样单元，烟气采样器是具有全程标定功能的产品，在采样的时候，样气从采样探头经过伴热管线进入预处理系统，在标定的时候，系统标气从探头经过伴热管线进入预处理系统，在反吹的时候，反吹气体吹扫探头及过滤器，把附着在采样管、探头、过滤器上的粉尘吹回烟道。</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样品采集与传输装置预热时间不大于半小时。</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反吹控制，烟气采样器设有反吹口，具有反吹功能。通过系统机柜操作界面，来控制反吹时间。反吹采用</w:t>
      </w:r>
      <w:r>
        <w:rPr>
          <w:rFonts w:ascii="宋体" w:hAnsi="宋体" w:eastAsia="宋体" w:cs="宋体"/>
          <w:sz w:val="24"/>
        </w:rPr>
        <w:t>0.4～0.6MPa洁净无油的压缩空气吹扫附在过滤器外表面的浮尘，将其吹扫回烟道内。</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样品采集装置应具备颗粒物过滤功能。其采样设备的前端或后端应具备便于更换或清洗的颗粒物过滤器，过滤器滤料的材质应采用不吸附和不与气态污染物发生反应的材质，过滤器应能过滤</w:t>
      </w:r>
      <w:r>
        <w:rPr>
          <w:rFonts w:ascii="宋体" w:hAnsi="宋体" w:eastAsia="宋体" w:cs="宋体"/>
          <w:sz w:val="24"/>
        </w:rPr>
        <w:t>5μm粒径以上的颗粒物。</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采样泵应具备克服烟道负压的足够抽气能力，并保障采样流量准确可靠、相对稳定。</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3.4.2 </w:t>
      </w:r>
      <w:r>
        <w:rPr>
          <w:rFonts w:hint="eastAsia" w:ascii="宋体" w:hAnsi="宋体" w:eastAsia="宋体" w:cs="FZZD Extra JW"/>
          <w:b/>
        </w:rPr>
        <w:t>采样复合伴热管线</w:t>
      </w:r>
    </w:p>
    <w:p>
      <w:pPr>
        <w:spacing w:line="360" w:lineRule="auto"/>
        <w:ind w:firstLine="525"/>
        <w:rPr>
          <w:rFonts w:hint="eastAsia" w:ascii="宋体" w:hAnsi="宋体" w:eastAsia="宋体" w:cs="宋体"/>
          <w:sz w:val="24"/>
        </w:rPr>
      </w:pPr>
      <w:r>
        <w:rPr>
          <w:rFonts w:hint="eastAsia" w:ascii="宋体" w:hAnsi="宋体" w:eastAsia="宋体" w:cs="宋体"/>
          <w:sz w:val="24"/>
        </w:rPr>
        <w:t>采样气体通过伴热管输送到烟气处理单元。它是由一组耐腐耐高温的氟导管辅以高温恒功率电热带以及补偿线缆组成内芯，伴热管外有坚固的聚氯乙烯（</w:t>
      </w:r>
      <w:r>
        <w:rPr>
          <w:rFonts w:ascii="宋体" w:hAnsi="宋体" w:eastAsia="宋体" w:cs="宋体"/>
          <w:sz w:val="24"/>
        </w:rPr>
        <w:t>PVC）保护外套，中间有玻璃纤维保温层，最后敷以复合而成。</w:t>
      </w:r>
      <w:r>
        <w:rPr>
          <w:rFonts w:hint="eastAsia" w:ascii="宋体" w:hAnsi="宋体" w:eastAsia="宋体" w:cs="宋体"/>
          <w:sz w:val="24"/>
        </w:rPr>
        <w:t>恒功率电热带采用铂电阻控制温度，温度</w:t>
      </w:r>
      <w:r>
        <w:rPr>
          <w:rFonts w:ascii="宋体" w:hAnsi="宋体" w:eastAsia="宋体" w:cs="宋体"/>
          <w:sz w:val="24"/>
        </w:rPr>
        <w:t>10～220℃可调，可以保证采样管内维持一定的温度，烟气在采样管内不会结露，最终确保采样器与监测系统连续、正确地采集样气。</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设备具有加热单元自动温控，温度失控有报警功能，报警后设备停止工作。样品传输管线加热、保温、控温一体化设计，全程</w:t>
      </w:r>
      <w:r>
        <w:rPr>
          <w:rFonts w:ascii="宋体" w:hAnsi="宋体" w:eastAsia="宋体" w:cs="宋体"/>
          <w:sz w:val="24"/>
        </w:rPr>
        <w:t>120℃以上高温伴热，加热均匀，智能控温，</w:t>
      </w:r>
      <w:r>
        <w:rPr>
          <w:rFonts w:hint="eastAsia" w:ascii="宋体" w:hAnsi="宋体" w:eastAsia="宋体" w:cs="宋体"/>
          <w:sz w:val="24"/>
        </w:rPr>
        <w:t>保证样气中被监测物质完整无损。</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伴热管线的技术参数：</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恒功率电热带的标准功率</w:t>
      </w:r>
      <w:r>
        <w:rPr>
          <w:rFonts w:ascii="宋体" w:hAnsi="宋体" w:eastAsia="宋体" w:cs="宋体"/>
          <w:sz w:val="24"/>
        </w:rPr>
        <w:t>60W/m；</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采样管聚四氟材质，可耐各种酸、碱介质腐蚀，耐压强度</w:t>
      </w:r>
      <w:r>
        <w:rPr>
          <w:rFonts w:ascii="宋体" w:hAnsi="宋体" w:eastAsia="宋体" w:cs="宋体"/>
          <w:sz w:val="24"/>
        </w:rPr>
        <w:t>0.6MPa</w:t>
      </w:r>
      <w:r>
        <w:rPr>
          <w:rFonts w:hint="eastAsia" w:ascii="宋体" w:hAnsi="宋体" w:eastAsia="宋体" w:cs="宋体"/>
          <w:sz w:val="24"/>
        </w:rPr>
        <w:t>不泄漏；</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采样管可在</w:t>
      </w:r>
      <w:r>
        <w:rPr>
          <w:rFonts w:ascii="宋体" w:hAnsi="宋体" w:eastAsia="宋体" w:cs="宋体"/>
          <w:sz w:val="24"/>
        </w:rPr>
        <w:t>&lt;200℃温度下长期工作；</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复合管的最小曲率半径小于</w:t>
      </w:r>
      <w:r>
        <w:rPr>
          <w:rFonts w:ascii="宋体" w:hAnsi="宋体" w:eastAsia="宋体" w:cs="宋体"/>
          <w:sz w:val="24"/>
        </w:rPr>
        <w:t>0.5m；</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最小固定距离：垂直方向</w:t>
      </w:r>
      <w:r>
        <w:rPr>
          <w:rFonts w:ascii="宋体" w:hAnsi="宋体" w:eastAsia="宋体" w:cs="宋体"/>
          <w:sz w:val="24"/>
        </w:rPr>
        <w:t>5m，水平方向2m；</w:t>
      </w:r>
    </w:p>
    <w:p>
      <w:pPr>
        <w:pStyle w:val="58"/>
        <w:numPr>
          <w:ilvl w:val="0"/>
          <w:numId w:val="14"/>
        </w:numPr>
        <w:spacing w:line="360" w:lineRule="auto"/>
        <w:ind w:firstLine="48" w:firstLineChars="0"/>
        <w:contextualSpacing/>
        <w:jc w:val="left"/>
        <w:rPr>
          <w:rFonts w:hint="eastAsia" w:ascii="宋体" w:hAnsi="宋体" w:eastAsia="宋体" w:cs="宋体"/>
          <w:sz w:val="24"/>
        </w:rPr>
      </w:pPr>
      <w:r>
        <w:rPr>
          <w:rFonts w:hint="eastAsia" w:ascii="宋体" w:hAnsi="宋体" w:eastAsia="宋体" w:cs="宋体"/>
          <w:sz w:val="24"/>
        </w:rPr>
        <w:t>阻燃等级：</w:t>
      </w:r>
      <w:r>
        <w:rPr>
          <w:rFonts w:ascii="宋体" w:hAnsi="宋体" w:eastAsia="宋体" w:cs="宋体"/>
          <w:sz w:val="24"/>
        </w:rPr>
        <w:t>ZC；</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3.4.3 </w:t>
      </w:r>
      <w:r>
        <w:rPr>
          <w:rFonts w:hint="eastAsia" w:ascii="宋体" w:hAnsi="宋体" w:eastAsia="宋体" w:cs="FZZD Extra JW"/>
          <w:b/>
        </w:rPr>
        <w:t>预处理单元</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预处理设备及其部件应方便清理和更换，材质应使用不吸附、不与待测气态污染物发生反应的材料。</w:t>
      </w:r>
      <w:r>
        <w:rPr>
          <w:rFonts w:ascii="宋体" w:hAnsi="宋体" w:eastAsia="宋体" w:cs="宋体"/>
          <w:sz w:val="24"/>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预处理设备应该能够保证样品气全程高温无冷凝，保证全程以恒定温度传输样品气至分析仪入口。</w:t>
      </w:r>
      <w:r>
        <w:rPr>
          <w:rFonts w:ascii="宋体" w:hAnsi="宋体" w:eastAsia="宋体" w:cs="宋体"/>
          <w:sz w:val="24"/>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预处理设备应该设置原路反吹接口以及仪表校准接口。</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为防止颗粒物污染分析仪，在气体样品进入分析仪之前可设置精细过滤器，精细过滤器应至少能过滤（</w:t>
      </w:r>
      <w:r>
        <w:rPr>
          <w:rFonts w:ascii="宋体" w:hAnsi="宋体" w:eastAsia="宋体" w:cs="宋体"/>
          <w:sz w:val="24"/>
        </w:rPr>
        <w:t xml:space="preserve">0.5~2）μm </w:t>
      </w:r>
      <w:r>
        <w:rPr>
          <w:rFonts w:hint="eastAsia" w:ascii="宋体" w:hAnsi="宋体" w:eastAsia="宋体" w:cs="宋体"/>
          <w:sz w:val="24"/>
        </w:rPr>
        <w:t>粒径的颗粒物。</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3.4.4 </w:t>
      </w:r>
      <w:r>
        <w:rPr>
          <w:rFonts w:hint="eastAsia" w:ascii="宋体" w:hAnsi="宋体" w:eastAsia="宋体" w:cs="FZZD Extra JW"/>
          <w:b/>
        </w:rPr>
        <w:t>在线气相色谱仪</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检测因子：总烃、甲烷、非甲烷总烃，根据要求后期还能扩容苯系物的因子；</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非甲烷总烃的分析，严格遵循《</w:t>
      </w:r>
      <w:r>
        <w:rPr>
          <w:rFonts w:ascii="宋体" w:hAnsi="宋体" w:eastAsia="宋体" w:cs="宋体"/>
          <w:sz w:val="24"/>
        </w:rPr>
        <w:t xml:space="preserve">HJ 38固定污染源废气总烃、甲烷和非甲烷的测定 </w:t>
      </w:r>
      <w:r>
        <w:rPr>
          <w:rFonts w:hint="eastAsia" w:ascii="宋体" w:hAnsi="宋体" w:eastAsia="宋体" w:cs="宋体"/>
          <w:sz w:val="24"/>
        </w:rPr>
        <w:t>气相色谱法》规定，检测方法</w:t>
      </w:r>
      <w:r>
        <w:rPr>
          <w:rFonts w:ascii="宋体" w:hAnsi="宋体" w:eastAsia="宋体" w:cs="宋体"/>
          <w:sz w:val="24"/>
        </w:rPr>
        <w:t>GC-FID；</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★分析仪至少配置</w:t>
      </w:r>
      <w:r>
        <w:rPr>
          <w:rFonts w:ascii="宋体" w:hAnsi="宋体" w:eastAsia="宋体" w:cs="宋体"/>
          <w:sz w:val="24"/>
        </w:rPr>
        <w:t>5路EPC，空气、氢气、载气全部采用EPC控制，选用进口比例阀；</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★采用至少两个进口多通膜片阀，保证色谱具备反吹功能，延长色谱柱寿命；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分析仪能够不间断采样，保证样品实时更新；</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分析仪具有对每一种组分进行独立校准的功能；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采用氢火焰离子化检测器的分析仪，须具有实时或周期性的检测当前火焰状态的功能，具有通过自动火焰检测功能检测到火焰熄灭故障状态后，自动点火，恢复仪器正常运行或者启动熄火保护的功能，并提供报警输出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色谱分析软件具备手动积分、积分参数设置、历史谱图查看、多谱图重复性计算等高级功能；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★系统具备空气、氢气、氮气、反吹气压力显示和异常报警功能；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应具有色谱图文件自动记录、历史谱图查询、历史数据查询等功能；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控制软件基于</w:t>
      </w:r>
      <w:r>
        <w:rPr>
          <w:rFonts w:ascii="宋体" w:hAnsi="宋体" w:eastAsia="宋体" w:cs="宋体"/>
          <w:sz w:val="24"/>
        </w:rPr>
        <w:t>Qt+MySQL技术自主开发，界面友好，操作方便，具备自动报表，权限管理、数据导出等丰富的功能，支持有线传输、无线传输等多种数据接口，支持定制化开发，软件功能的丰富性和可靠性远超组态软件；</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软件应设有权限管理功能；</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应能够接受高温样品直接进样；</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分析仪能够与数采仪直连；</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应能够提供</w:t>
      </w:r>
      <w:r>
        <w:rPr>
          <w:rFonts w:ascii="宋体" w:hAnsi="宋体" w:eastAsia="宋体" w:cs="宋体"/>
          <w:sz w:val="24"/>
        </w:rPr>
        <w:t xml:space="preserve"> RS232、RJ45、RS485、RS422等多种通讯接口；</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★需提供在线气相色谱仪绝缘强度、绝缘电阻、高温试验、低温试验、交变湿热试验、高温贮存试验、低温贮存试验、跌落试验、冲击试验、振动试验第三方检测报告（第三方检测机构需具备</w:t>
      </w:r>
      <w:r>
        <w:rPr>
          <w:rFonts w:ascii="宋体" w:hAnsi="宋体" w:eastAsia="宋体" w:cs="宋体"/>
          <w:sz w:val="24"/>
        </w:rPr>
        <w:t>CNAS资质）；</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★需提供在线气相色谱仪目击试验（仪表）、目击试验（仪表阀箱）、目击试验（仪表色谱柱箱）、目击试验（</w:t>
      </w:r>
      <w:r>
        <w:rPr>
          <w:rFonts w:ascii="宋体" w:hAnsi="宋体" w:eastAsia="宋体" w:cs="宋体"/>
          <w:sz w:val="24"/>
        </w:rPr>
        <w:t>EPC）、目击试验（分析周期）第三方检测报告</w:t>
      </w:r>
      <w:r>
        <w:rPr>
          <w:rFonts w:hint="eastAsia" w:ascii="宋体" w:hAnsi="宋体" w:eastAsia="宋体" w:cs="宋体"/>
          <w:sz w:val="24"/>
        </w:rPr>
        <w:t>（第三方检测机构需具备CNAS资质）；。</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设备应具有中国环境保护产品认证证书、中华人民共和国计量器具型式批准证书、环境保护部环境监测仪器质量监督检验中心检测报告等相关材料，产品类型应为在线气相色谱仪，检测器应为氢火焰离子化检测器（</w:t>
      </w:r>
      <w:r>
        <w:rPr>
          <w:rFonts w:ascii="宋体" w:hAnsi="宋体" w:eastAsia="宋体" w:cs="宋体"/>
          <w:sz w:val="24"/>
        </w:rPr>
        <w:t>FID），包括废气非甲烷总烃连续监测系统及配套的相关仪器仪表（采样探头、流速、温度、压力、湿度、氧等），认证内容必须与提供的产品规格、型号</w:t>
      </w:r>
      <w:r>
        <w:rPr>
          <w:rFonts w:hint="eastAsia" w:ascii="宋体" w:hAnsi="宋体" w:eastAsia="宋体" w:cs="宋体"/>
          <w:sz w:val="24"/>
        </w:rPr>
        <w:t>一致。（检测依据基于</w:t>
      </w:r>
      <w:r>
        <w:rPr>
          <w:rFonts w:ascii="宋体" w:hAnsi="宋体" w:eastAsia="宋体" w:cs="宋体"/>
          <w:sz w:val="24"/>
        </w:rPr>
        <w:t>HJ 1013-2018标准）。</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3.4.5 </w:t>
      </w:r>
      <w:r>
        <w:rPr>
          <w:rFonts w:hint="eastAsia" w:ascii="宋体" w:hAnsi="宋体" w:eastAsia="宋体" w:cs="FZZD Extra JW"/>
          <w:b/>
        </w:rPr>
        <w:t>温压流检测仪</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温度检测器由三线制</w:t>
      </w:r>
      <w:r>
        <w:rPr>
          <w:rFonts w:ascii="宋体" w:hAnsi="宋体" w:eastAsia="宋体" w:cs="宋体"/>
          <w:sz w:val="24"/>
        </w:rPr>
        <w:t>PT100</w:t>
      </w:r>
      <w:r>
        <w:rPr>
          <w:rFonts w:hint="eastAsia" w:ascii="宋体" w:hAnsi="宋体" w:eastAsia="宋体" w:cs="宋体"/>
          <w:sz w:val="24"/>
        </w:rPr>
        <w:t>铂电阻和温度变送器组成，外部为φ</w:t>
      </w:r>
      <w:r>
        <w:rPr>
          <w:rFonts w:ascii="宋体" w:hAnsi="宋体" w:eastAsia="宋体" w:cs="宋体"/>
          <w:sz w:val="24"/>
        </w:rPr>
        <w:t>4不锈钢管，温度测量范围0～500℃，精确度±2%F.S.。通过三线制温度变送器将温度转换为4～20mA电流信号输出。</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压力变送器采用全不锈钢压力变送器，测量范围</w:t>
      </w:r>
      <w:r>
        <w:rPr>
          <w:rFonts w:ascii="宋体" w:hAnsi="宋体" w:eastAsia="宋体" w:cs="宋体"/>
          <w:sz w:val="24"/>
        </w:rPr>
        <w:t>-10～+10kPa，精确度±2%F.S.。通过压力采样管将管道内部压力传送到压力变送器入口端，并转换为4～20mA电流信号输出。</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流速测量采用皮托管原理，一次取压元件采用传统的皮托管测量方式，皮托管的全压、背压取压管将检测到的动压与静压分别传递到差压变送器，差压变送器将动压与静压之差转换为</w:t>
      </w:r>
      <w:r>
        <w:rPr>
          <w:rFonts w:ascii="宋体" w:hAnsi="宋体" w:eastAsia="宋体" w:cs="宋体"/>
          <w:sz w:val="24"/>
        </w:rPr>
        <w:t xml:space="preserve">4～20mA </w:t>
      </w:r>
      <w:r>
        <w:rPr>
          <w:rFonts w:hint="eastAsia" w:ascii="宋体" w:hAnsi="宋体" w:eastAsia="宋体" w:cs="宋体"/>
          <w:sz w:val="24"/>
        </w:rPr>
        <w:t>电流信号传送给分析仪进行采集并分析。</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采用电容式湿度传感器来测量烟气的湿度，电路由传感器、电容转电压模块、电压转</w:t>
      </w:r>
      <w:r>
        <w:rPr>
          <w:rFonts w:ascii="宋体" w:hAnsi="宋体" w:eastAsia="宋体" w:cs="宋体"/>
          <w:sz w:val="24"/>
        </w:rPr>
        <w:t>4～20mA模块组成。传感器的电容随着烟气的湿度的增大而增大，这里采用特殊的电路，测量的电容</w:t>
      </w:r>
      <w:r>
        <w:rPr>
          <w:rFonts w:hint="eastAsia" w:ascii="宋体" w:hAnsi="宋体" w:eastAsia="宋体" w:cs="宋体"/>
          <w:sz w:val="24"/>
        </w:rPr>
        <w:t>值变成电压信号。电容值越大，电路输出电压越大。在经过电压转电流信号，最终把湿度变成</w:t>
      </w:r>
      <w:r>
        <w:rPr>
          <w:rFonts w:ascii="宋体" w:hAnsi="宋体" w:eastAsia="宋体" w:cs="宋体"/>
          <w:sz w:val="24"/>
        </w:rPr>
        <w:t>4～20mA信号。</w:t>
      </w:r>
    </w:p>
    <w:p>
      <w:pPr>
        <w:pStyle w:val="76"/>
        <w:spacing w:line="360" w:lineRule="auto"/>
        <w:ind w:firstLine="480" w:firstLineChars="200"/>
        <w:outlineLvl w:val="3"/>
        <w:rPr>
          <w:rFonts w:hint="eastAsia" w:ascii="宋体" w:hAnsi="宋体" w:eastAsia="宋体" w:cs="FZZD Extra JW"/>
          <w:b/>
        </w:rPr>
      </w:pPr>
      <w:r>
        <w:rPr>
          <w:rFonts w:ascii="宋体" w:hAnsi="宋体" w:eastAsia="宋体" w:cs="宋体"/>
        </w:rPr>
        <w:t>3.</w:t>
      </w:r>
      <w:r>
        <w:rPr>
          <w:rFonts w:ascii="宋体" w:hAnsi="宋体" w:eastAsia="宋体" w:cs="FZZD Extra JW"/>
          <w:b/>
        </w:rPr>
        <w:t xml:space="preserve">4.6 </w:t>
      </w:r>
      <w:r>
        <w:rPr>
          <w:rFonts w:hint="eastAsia" w:ascii="宋体" w:hAnsi="宋体" w:eastAsia="宋体" w:cs="FZZD Extra JW"/>
          <w:b/>
        </w:rPr>
        <w:t>湿度检测仪</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系统选用阻容法测量烟气中的含湿量，温度及湿度测量范围宽，线性好，几乎没有滞后，有优异的稳定性和重复性，被测气体温度（</w:t>
      </w:r>
      <w:r>
        <w:rPr>
          <w:rFonts w:ascii="宋体" w:hAnsi="宋体" w:eastAsia="宋体" w:cs="宋体"/>
          <w:sz w:val="24"/>
        </w:rPr>
        <w:t>0~200）℃，湿度（0~40）%RH，测量精度±1.5%RH，响应时间10秒，重复性±0.5%RH，年漂移优于1% RH。</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湿度传感器安装在预处理气路中，由于样气之前已经经过粉尘、焦油过滤和全程恒温伴热，可有效保护湿度传感器不受粉尘和液态水的影响，从而使湿度仪相对于传统的在位式湿度仪在使用寿命上大大延长，工作也更加可靠。尤其在测量管道意外停炉，系统意外断电等特殊情况下，由于预处理系统的保护，仪表完全不受影响。</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湿度仪为柜内湿度仪，放置在防爆正压柜内。</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能够具备校准功能；</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3.4.7 </w:t>
      </w:r>
      <w:r>
        <w:rPr>
          <w:rFonts w:hint="eastAsia" w:ascii="宋体" w:hAnsi="宋体" w:eastAsia="宋体" w:cs="FZZD Extra JW"/>
          <w:b/>
        </w:rPr>
        <w:t>氧含量检测仪</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含氧量测量方法：氧化锆法或电化学法（使用直插式氧化锆法测量，必须确定该监测点在所有状态下可燃性气体排气浓度低于起火、爆炸下限）；</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监测系统能够实时显示含氧量；</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能够提供</w:t>
      </w:r>
      <w:r>
        <w:rPr>
          <w:rFonts w:ascii="宋体" w:hAnsi="宋体" w:eastAsia="宋体" w:cs="宋体"/>
          <w:sz w:val="24"/>
        </w:rPr>
        <w:t xml:space="preserve"> 4-20mA </w:t>
      </w:r>
      <w:r>
        <w:rPr>
          <w:rFonts w:hint="eastAsia" w:ascii="宋体" w:hAnsi="宋体" w:eastAsia="宋体" w:cs="宋体"/>
          <w:sz w:val="24"/>
        </w:rPr>
        <w:t>信号输出；</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能够具备校准功能；</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3.4.8 </w:t>
      </w:r>
      <w:r>
        <w:rPr>
          <w:rFonts w:hint="eastAsia" w:ascii="宋体" w:hAnsi="宋体" w:eastAsia="宋体" w:cs="FZZD Extra JW"/>
          <w:b/>
        </w:rPr>
        <w:t>氢气发生器</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使用电解水的方法制造氢气，氢气纯度为</w:t>
      </w:r>
      <w:r>
        <w:rPr>
          <w:rFonts w:ascii="宋体" w:hAnsi="宋体" w:eastAsia="宋体" w:cs="宋体"/>
          <w:sz w:val="24"/>
        </w:rPr>
        <w:t>99.999%，工作压力 0-0.6MPa；</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系统应该设置氢气安全阀，在接收到分析仪熄火或故障报警时，切断氢气供应；</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氢气源连接管路应使用不锈钢材质；</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集成空气压缩机，通过</w:t>
      </w:r>
      <w:r>
        <w:rPr>
          <w:rFonts w:ascii="宋体" w:hAnsi="宋体" w:eastAsia="宋体" w:cs="宋体"/>
          <w:sz w:val="24"/>
        </w:rPr>
        <w:t>5A分子筛、活性炭、变色硅胶除去空气中的颗粒物和水蒸气；</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3.4.9 </w:t>
      </w:r>
      <w:r>
        <w:rPr>
          <w:rFonts w:hint="eastAsia" w:ascii="宋体" w:hAnsi="宋体" w:eastAsia="宋体" w:cs="FZZD Extra JW"/>
          <w:b/>
        </w:rPr>
        <w:t>在线除烃仪（零气发生器）</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使用的高温催化剂可以将压缩空气内的碳氢化合物浓度降至</w:t>
      </w:r>
      <w:r>
        <w:rPr>
          <w:rFonts w:ascii="宋体" w:hAnsi="宋体" w:eastAsia="宋体" w:cs="宋体"/>
          <w:color w:val="000000"/>
          <w:sz w:val="24"/>
        </w:rPr>
        <w:t>0.05ppm以下，完全满足气相色谱对零级空气的质量需求。</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3.4.10工控机及软件</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采用</w:t>
      </w:r>
      <w:r>
        <w:rPr>
          <w:rFonts w:ascii="宋体" w:hAnsi="宋体" w:eastAsia="宋体" w:cs="宋体"/>
          <w:color w:val="000000"/>
          <w:sz w:val="24"/>
        </w:rPr>
        <w:t>Windows操作系统，大尺寸彩色液晶显示器；</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存储和检索功能：详细存储每一组采样分析单元的详细数据，检索方面支持按监测物质、监测时间等多种查询条件自定义查询各类日、月、年报表信息并导出；</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 xml:space="preserve"> </w:t>
      </w:r>
      <w:r>
        <w:rPr>
          <w:rFonts w:hint="eastAsia" w:ascii="宋体" w:hAnsi="宋体" w:eastAsia="宋体" w:cs="宋体"/>
          <w:color w:val="000000"/>
          <w:sz w:val="24"/>
        </w:rPr>
        <w:t>固定污染源挥发性有机物（</w:t>
      </w:r>
      <w:r>
        <w:rPr>
          <w:rFonts w:ascii="宋体" w:hAnsi="宋体" w:eastAsia="宋体" w:cs="宋体"/>
          <w:color w:val="000000"/>
          <w:sz w:val="24"/>
        </w:rPr>
        <w:t>VOCs）在线监测系统的系统软件应具有软件著作权登记证书，软件终生提供免费升级服务</w:t>
      </w:r>
      <w:r>
        <w:rPr>
          <w:rFonts w:hint="eastAsia" w:ascii="宋体" w:hAnsi="宋体" w:eastAsia="宋体" w:cs="宋体"/>
          <w:color w:val="000000"/>
          <w:sz w:val="24"/>
        </w:rPr>
        <w:t>，并免费开通全部运维、维修等情况所需要的系统权限</w:t>
      </w:r>
      <w:r>
        <w:rPr>
          <w:rFonts w:ascii="宋体" w:hAnsi="宋体" w:eastAsia="宋体" w:cs="宋体"/>
          <w:color w:val="000000"/>
          <w:sz w:val="24"/>
        </w:rPr>
        <w:t>。（需提供系统软件的软件著作权登记证书）；</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3.4.11 </w:t>
      </w:r>
      <w:r>
        <w:rPr>
          <w:rFonts w:hint="eastAsia" w:ascii="宋体" w:hAnsi="宋体" w:eastAsia="宋体" w:cs="FZZD Extra JW"/>
          <w:b/>
        </w:rPr>
        <w:t>机柜</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主要材料：选用</w:t>
      </w:r>
      <w:r>
        <w:rPr>
          <w:rFonts w:ascii="宋体" w:hAnsi="宋体" w:eastAsia="宋体" w:cs="宋体"/>
          <w:color w:val="000000"/>
          <w:sz w:val="24"/>
        </w:rPr>
        <w:t>SPCC优质冷轧钢板（钢板厚度实测大于等于2毫米）；</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color w:val="000000"/>
          <w:sz w:val="24"/>
        </w:rPr>
        <w:t>执行标准：</w:t>
      </w:r>
      <w:r>
        <w:rPr>
          <w:rFonts w:ascii="宋体" w:hAnsi="宋体" w:eastAsia="宋体" w:cs="宋体"/>
          <w:color w:val="000000"/>
          <w:sz w:val="24"/>
        </w:rPr>
        <w:t xml:space="preserve">laquoGB/T 19001-2000 idt ISO 9001：2000 </w:t>
      </w:r>
      <w:r>
        <w:rPr>
          <w:rFonts w:hint="eastAsia" w:ascii="宋体" w:hAnsi="宋体" w:eastAsia="宋体" w:cs="宋体"/>
          <w:color w:val="000000"/>
          <w:sz w:val="24"/>
        </w:rPr>
        <w:t>质量管理体系</w:t>
      </w:r>
      <w:r>
        <w:rPr>
          <w:rFonts w:ascii="宋体" w:hAnsi="宋体" w:eastAsia="宋体" w:cs="宋体"/>
          <w:color w:val="000000"/>
          <w:sz w:val="24"/>
        </w:rPr>
        <w:t xml:space="preserve">---要求 raquo、公制标准和 ETSI </w:t>
      </w:r>
      <w:r>
        <w:rPr>
          <w:rFonts w:hint="eastAsia" w:ascii="宋体" w:hAnsi="宋体" w:eastAsia="宋体" w:cs="宋体"/>
          <w:color w:val="000000"/>
          <w:sz w:val="24"/>
        </w:rPr>
        <w:t>标准等；</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3.4.12 </w:t>
      </w:r>
      <w:r>
        <w:rPr>
          <w:rFonts w:hint="eastAsia" w:ascii="宋体" w:hAnsi="宋体" w:eastAsia="宋体" w:cs="FZZD Extra JW"/>
          <w:b/>
        </w:rPr>
        <w:t>标准气体</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标气能够满足项目中各分析仪器的校准校对工作以及技术规范要求，质量满足国家或国际标准要求。配置系统正常运行需要的标气，包含：</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甲烷标准气体（高</w:t>
      </w:r>
      <w:r>
        <w:rPr>
          <w:rFonts w:ascii="宋体" w:hAnsi="宋体" w:eastAsia="宋体" w:cs="宋体"/>
          <w:sz w:val="24"/>
        </w:rPr>
        <w:t>/中/低浓度）：根据量程定制浓度，8L，含钢瓶和减压阀；</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所有存储标气的点位均需配套标气防倾倒支架；</w:t>
      </w:r>
    </w:p>
    <w:p>
      <w:pPr>
        <w:pStyle w:val="76"/>
        <w:spacing w:line="360" w:lineRule="auto"/>
        <w:ind w:firstLine="422"/>
        <w:outlineLvl w:val="3"/>
        <w:rPr>
          <w:rFonts w:hint="eastAsia" w:ascii="宋体" w:hAnsi="宋体" w:eastAsia="宋体" w:cs="FZZD Extra JW"/>
          <w:b/>
        </w:rPr>
      </w:pPr>
      <w:bookmarkStart w:id="116" w:name="_Toc13061546"/>
      <w:bookmarkStart w:id="117" w:name="_Toc20507"/>
      <w:bookmarkStart w:id="118" w:name="_Toc45629788"/>
      <w:bookmarkStart w:id="119" w:name="_Toc99652550"/>
      <w:bookmarkStart w:id="120" w:name="_Toc78715957"/>
      <w:r>
        <w:rPr>
          <w:rFonts w:ascii="宋体" w:hAnsi="宋体" w:eastAsia="宋体" w:cs="FZZD Extra JW"/>
          <w:b/>
        </w:rPr>
        <w:t xml:space="preserve">3.4.13 </w:t>
      </w:r>
      <w:r>
        <w:rPr>
          <w:rFonts w:hint="eastAsia" w:ascii="宋体" w:hAnsi="宋体" w:eastAsia="宋体" w:cs="FZZD Extra JW"/>
          <w:b/>
        </w:rPr>
        <w:t>数采仪</w:t>
      </w:r>
      <w:bookmarkEnd w:id="116"/>
      <w:bookmarkEnd w:id="117"/>
      <w:bookmarkEnd w:id="118"/>
      <w:bookmarkEnd w:id="119"/>
      <w:bookmarkEnd w:id="120"/>
    </w:p>
    <w:p>
      <w:pPr>
        <w:spacing w:line="360" w:lineRule="auto"/>
        <w:ind w:firstLine="480"/>
        <w:rPr>
          <w:rFonts w:hint="eastAsia" w:ascii="宋体" w:hAnsi="宋体" w:eastAsia="宋体" w:cs="宋体"/>
          <w:bCs/>
          <w:sz w:val="24"/>
        </w:rPr>
      </w:pPr>
      <w:r>
        <w:rPr>
          <w:rFonts w:hint="eastAsia" w:ascii="宋体" w:hAnsi="宋体" w:eastAsia="宋体" w:cs="宋体"/>
          <w:bCs/>
          <w:sz w:val="24"/>
        </w:rPr>
        <w:t>环保监测、污染物监控器专用数采仪，符合全新国家标准通信标准，支持《空气污染物在线自动监控器</w:t>
      </w:r>
      <w:r>
        <w:rPr>
          <w:rFonts w:ascii="宋体" w:hAnsi="宋体" w:eastAsia="宋体" w:cs="宋体"/>
          <w:bCs/>
          <w:sz w:val="24"/>
        </w:rPr>
        <w:t>(检测)系统传输数据标准》(HJ 313-2017、HJ/T 313-2008)；产品依照工业用设计标准，针对环保监测的各种要求做了专业的优化，并配置丰富齐备的通信接口，支持内网、GPRS、CDMA、4G等，满足不同当场环境下对远程通讯的要求。</w:t>
      </w:r>
      <w:r>
        <w:rPr>
          <w:rFonts w:hint="eastAsia" w:ascii="宋体" w:hAnsi="宋体" w:eastAsia="宋体" w:cs="宋体"/>
          <w:bCs/>
          <w:sz w:val="24"/>
        </w:rPr>
        <w:t>环保数采仪灵活运用人工智能技术物联网技术、互联网大数据云计算技术等全新信息科技，建立动态的监控器实体模型，实时监控系统污染物在线监控系统状态，实现智能认知、智能预警信息、智能处理、智能运维，降低企业运维管理成本，大幅度提高企业运维和管控效率。</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3.4.14 </w:t>
      </w:r>
      <w:r>
        <w:rPr>
          <w:rFonts w:hint="eastAsia" w:ascii="宋体" w:hAnsi="宋体" w:eastAsia="宋体" w:cs="FZZD Extra JW"/>
          <w:b/>
        </w:rPr>
        <w:t>监测站房（6套）</w:t>
      </w:r>
    </w:p>
    <w:p>
      <w:pPr>
        <w:spacing w:line="360" w:lineRule="auto"/>
        <w:ind w:firstLine="480"/>
        <w:rPr>
          <w:rFonts w:hint="eastAsia" w:ascii="宋体" w:hAnsi="宋体" w:eastAsia="宋体"/>
          <w:color w:val="000000"/>
          <w:sz w:val="24"/>
        </w:rPr>
      </w:pPr>
      <w:r>
        <w:rPr>
          <w:rFonts w:ascii="宋体" w:hAnsi="宋体" w:eastAsia="宋体"/>
          <w:color w:val="000000"/>
          <w:sz w:val="24"/>
        </w:rPr>
        <w:t>1）监测站房专室专用，为设计用防雨、防尘、防火、保温等功能。</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）监测站房为钢制结构，站房建在标高大于</w:t>
      </w:r>
      <w:r>
        <w:rPr>
          <w:rFonts w:ascii="宋体" w:hAnsi="宋体" w:eastAsia="宋体"/>
          <w:kern w:val="0"/>
          <w:sz w:val="24"/>
        </w:rPr>
        <w:t>0米处，基础荷载强度大于2000kg/m2</w:t>
      </w:r>
      <w:r>
        <w:rPr>
          <w:rFonts w:hint="eastAsia" w:ascii="宋体" w:hAnsi="宋体" w:eastAsia="宋体"/>
          <w:kern w:val="0"/>
          <w:sz w:val="24"/>
        </w:rPr>
        <w:t>。</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3</w:t>
      </w:r>
      <w:r>
        <w:rPr>
          <w:rFonts w:hint="eastAsia" w:ascii="宋体" w:hAnsi="宋体" w:eastAsia="宋体"/>
          <w:kern w:val="0"/>
          <w:sz w:val="24"/>
        </w:rPr>
        <w:t>）监测站房室内净面积≥</w:t>
      </w:r>
      <w:r>
        <w:rPr>
          <w:rFonts w:ascii="宋体" w:hAnsi="宋体" w:eastAsia="宋体"/>
          <w:kern w:val="0"/>
          <w:sz w:val="24"/>
        </w:rPr>
        <w:t>12</w:t>
      </w:r>
      <w:r>
        <w:rPr>
          <w:rFonts w:hint="eastAsia" w:ascii="宋体" w:hAnsi="宋体" w:eastAsia="宋体"/>
          <w:kern w:val="0"/>
          <w:sz w:val="24"/>
        </w:rPr>
        <w:t>平米，室内净尺寸大于等于</w:t>
      </w:r>
      <w:r>
        <w:rPr>
          <w:rFonts w:ascii="宋体" w:hAnsi="宋体" w:eastAsia="宋体"/>
          <w:kern w:val="0"/>
          <w:sz w:val="24"/>
        </w:rPr>
        <w:t>3000mm(L)×4000mm(W)，室内房顶最低处高度不低于2800mm</w:t>
      </w:r>
      <w:r>
        <w:rPr>
          <w:rFonts w:hint="eastAsia" w:ascii="宋体" w:hAnsi="宋体" w:eastAsia="宋体"/>
          <w:kern w:val="0"/>
          <w:sz w:val="24"/>
        </w:rPr>
        <w:t>。</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4</w:t>
      </w:r>
      <w:r>
        <w:rPr>
          <w:rFonts w:hint="eastAsia" w:ascii="宋体" w:hAnsi="宋体" w:eastAsia="宋体"/>
          <w:kern w:val="0"/>
          <w:sz w:val="24"/>
        </w:rPr>
        <w:t>）监测站房门可依据现场情况选择在立面靠左或靠右开口并安装制式钢制防盗门（单扇门、向外开、</w:t>
      </w:r>
      <w:r>
        <w:rPr>
          <w:rFonts w:ascii="宋体" w:hAnsi="宋体" w:eastAsia="宋体"/>
          <w:kern w:val="0"/>
          <w:sz w:val="24"/>
        </w:rPr>
        <w:t>尺寸为2000（H）×900（W）mm</w:t>
      </w:r>
      <w:r>
        <w:rPr>
          <w:rFonts w:hint="eastAsia" w:ascii="宋体" w:hAnsi="宋体" w:eastAsia="宋体"/>
          <w:kern w:val="0"/>
          <w:sz w:val="24"/>
        </w:rPr>
        <w:t>），要求密封性良好，并配有电子锁具；窗户面积为</w:t>
      </w:r>
      <w:r>
        <w:rPr>
          <w:rFonts w:ascii="宋体" w:hAnsi="宋体" w:eastAsia="宋体"/>
          <w:kern w:val="0"/>
          <w:sz w:val="24"/>
        </w:rPr>
        <w:t>1.5平方米（长1500mm×宽1000mm），窗台距地面高度为0.9米，窗户外部加装防盗网</w:t>
      </w:r>
      <w:r>
        <w:rPr>
          <w:rFonts w:hint="eastAsia" w:ascii="宋体" w:hAnsi="宋体" w:eastAsia="宋体"/>
          <w:kern w:val="0"/>
          <w:sz w:val="24"/>
        </w:rPr>
        <w:t>。</w:t>
      </w:r>
    </w:p>
    <w:p>
      <w:pPr>
        <w:autoSpaceDE w:val="0"/>
        <w:autoSpaceDN w:val="0"/>
        <w:adjustRightInd w:val="0"/>
        <w:spacing w:line="360" w:lineRule="auto"/>
        <w:ind w:left="959" w:leftChars="228" w:hanging="480" w:hangingChars="200"/>
        <w:jc w:val="left"/>
        <w:rPr>
          <w:rFonts w:hint="eastAsia" w:ascii="宋体" w:hAnsi="宋体" w:eastAsia="宋体"/>
          <w:kern w:val="0"/>
          <w:sz w:val="24"/>
        </w:rPr>
      </w:pPr>
      <w:r>
        <w:rPr>
          <w:rFonts w:ascii="宋体" w:hAnsi="宋体" w:eastAsia="宋体"/>
          <w:kern w:val="0"/>
          <w:sz w:val="24"/>
        </w:rPr>
        <w:t>5</w:t>
      </w:r>
      <w:r>
        <w:rPr>
          <w:rFonts w:hint="eastAsia" w:ascii="宋体" w:hAnsi="宋体" w:eastAsia="宋体"/>
          <w:kern w:val="0"/>
          <w:sz w:val="24"/>
        </w:rPr>
        <w:t>）</w:t>
      </w:r>
      <w:r>
        <w:rPr>
          <w:rFonts w:ascii="宋体" w:hAnsi="宋体" w:eastAsia="宋体"/>
          <w:kern w:val="0"/>
          <w:sz w:val="24"/>
        </w:rPr>
        <w:t>站房外墙和</w:t>
      </w:r>
      <w:r>
        <w:rPr>
          <w:rFonts w:hint="eastAsia" w:ascii="宋体" w:hAnsi="宋体" w:eastAsia="宋体"/>
          <w:kern w:val="0"/>
          <w:sz w:val="24"/>
        </w:rPr>
        <w:t>外顶采用碳钢钢板，钢板厚度为</w:t>
      </w:r>
      <w:r>
        <w:rPr>
          <w:rFonts w:ascii="宋体" w:hAnsi="宋体" w:eastAsia="宋体"/>
          <w:kern w:val="0"/>
          <w:sz w:val="24"/>
        </w:rPr>
        <w:t>1.5mm，中间保温层厚度75mm，保温层为岩棉，内墙和内顶为1.5mm厚的碳钢涂塑钢板，内置方管龙骨80mm×40mm×1.5mm厚，间距60cm-80cm。</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6</w:t>
      </w:r>
      <w:r>
        <w:rPr>
          <w:rFonts w:hint="eastAsia" w:ascii="宋体" w:hAnsi="宋体" w:eastAsia="宋体"/>
          <w:kern w:val="0"/>
          <w:sz w:val="24"/>
        </w:rPr>
        <w:t>）</w:t>
      </w:r>
      <w:r>
        <w:rPr>
          <w:rFonts w:ascii="宋体" w:hAnsi="宋体" w:eastAsia="宋体"/>
          <w:kern w:val="0"/>
          <w:sz w:val="24"/>
        </w:rPr>
        <w:t>站房地面为5层结构，第一层底座框架为12＃槽钢，底座檩条为40mm×60mmx1.5mm的镀锌方钢400mmx700mm田子空，框架整体防腐，第二层为15mm防火地板、第三层为防潮垫、第四层为防静电木地板、第五层为4mm花纹钢板。</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7）站房所有板缝全部</w:t>
      </w:r>
      <w:r>
        <w:rPr>
          <w:rFonts w:hint="eastAsia" w:ascii="宋体" w:hAnsi="宋体" w:eastAsia="宋体"/>
          <w:kern w:val="0"/>
          <w:sz w:val="24"/>
        </w:rPr>
        <w:t>打结构胶。</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8）站房需美观大方，可吊装并且吊装不变形，不漏水。</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9）站房内布线采用PVC线槽明布</w:t>
      </w:r>
      <w:r>
        <w:rPr>
          <w:rFonts w:hint="eastAsia" w:ascii="宋体" w:hAnsi="宋体" w:eastAsia="宋体"/>
          <w:kern w:val="0"/>
          <w:sz w:val="24"/>
        </w:rPr>
        <w:t>，采样管线必须使用桥架固定，严禁出现U型弯</w:t>
      </w:r>
      <w:r>
        <w:rPr>
          <w:rFonts w:ascii="宋体" w:hAnsi="宋体" w:eastAsia="宋体"/>
          <w:kern w:val="0"/>
          <w:sz w:val="24"/>
        </w:rPr>
        <w:t>。</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10）站房内预留桥架孔（规格长100mm×宽100mm）、排风扇安装孔（规格长200mm×宽200mm）</w:t>
      </w:r>
      <w:r>
        <w:rPr>
          <w:rFonts w:hint="eastAsia" w:ascii="宋体" w:hAnsi="宋体" w:eastAsia="宋体"/>
          <w:kern w:val="0"/>
          <w:sz w:val="24"/>
        </w:rPr>
        <w:t>。</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11）</w:t>
      </w:r>
      <w:r>
        <w:rPr>
          <w:rFonts w:ascii="宋体" w:hAnsi="宋体" w:eastAsia="宋体"/>
          <w:bCs/>
          <w:sz w:val="24"/>
        </w:rPr>
        <w:t>监测站</w:t>
      </w:r>
      <w:r>
        <w:rPr>
          <w:rFonts w:hint="eastAsia" w:ascii="宋体" w:hAnsi="宋体" w:eastAsia="宋体"/>
          <w:bCs/>
          <w:sz w:val="24"/>
        </w:rPr>
        <w:t>房配套设备</w:t>
      </w:r>
    </w:p>
    <w:p>
      <w:pPr>
        <w:spacing w:line="336" w:lineRule="auto"/>
        <w:ind w:firstLine="480"/>
        <w:rPr>
          <w:rFonts w:hint="eastAsia" w:ascii="宋体" w:hAnsi="宋体" w:eastAsia="宋体"/>
          <w:bCs/>
          <w:sz w:val="24"/>
        </w:rPr>
      </w:pPr>
      <w:r>
        <w:rPr>
          <w:rFonts w:ascii="宋体" w:hAnsi="宋体" w:eastAsia="宋体"/>
          <w:bCs/>
          <w:sz w:val="24"/>
        </w:rPr>
        <w:t>A.</w:t>
      </w:r>
      <w:r>
        <w:rPr>
          <w:rFonts w:hint="eastAsia" w:ascii="宋体" w:hAnsi="宋体" w:eastAsia="宋体"/>
          <w:bCs/>
          <w:sz w:val="24"/>
        </w:rPr>
        <w:t>配电</w:t>
      </w:r>
    </w:p>
    <w:p>
      <w:pPr>
        <w:spacing w:line="336" w:lineRule="auto"/>
        <w:ind w:firstLine="1274" w:firstLineChars="531"/>
        <w:rPr>
          <w:rFonts w:hint="eastAsia" w:ascii="宋体" w:hAnsi="宋体" w:eastAsia="宋体"/>
          <w:bCs/>
          <w:sz w:val="24"/>
        </w:rPr>
      </w:pPr>
      <w:r>
        <w:rPr>
          <w:rFonts w:hint="eastAsia" w:ascii="宋体" w:hAnsi="宋体" w:eastAsia="宋体"/>
          <w:bCs/>
          <w:sz w:val="24"/>
        </w:rPr>
        <w:t>电源配电箱</w:t>
      </w:r>
      <w:r>
        <w:rPr>
          <w:rFonts w:ascii="宋体" w:hAnsi="宋体" w:eastAsia="宋体"/>
          <w:bCs/>
          <w:sz w:val="24"/>
        </w:rPr>
        <w:t xml:space="preserve">                                 1</w:t>
      </w:r>
      <w:r>
        <w:rPr>
          <w:rFonts w:hint="eastAsia" w:ascii="宋体" w:hAnsi="宋体" w:eastAsia="宋体"/>
          <w:bCs/>
          <w:sz w:val="24"/>
        </w:rPr>
        <w:t>个</w:t>
      </w:r>
    </w:p>
    <w:p>
      <w:pPr>
        <w:spacing w:line="336" w:lineRule="auto"/>
        <w:ind w:firstLine="1274" w:firstLineChars="531"/>
        <w:rPr>
          <w:rFonts w:hint="eastAsia" w:ascii="宋体" w:hAnsi="宋体" w:eastAsia="宋体"/>
          <w:bCs/>
          <w:sz w:val="24"/>
        </w:rPr>
      </w:pPr>
      <w:r>
        <w:rPr>
          <w:rFonts w:ascii="宋体" w:hAnsi="宋体" w:eastAsia="宋体"/>
          <w:bCs/>
          <w:sz w:val="24"/>
        </w:rPr>
        <w:t>UPS电源8KW，</w:t>
      </w:r>
      <w:r>
        <w:rPr>
          <w:rFonts w:hint="eastAsia" w:ascii="宋体" w:hAnsi="宋体" w:eastAsia="宋体"/>
          <w:bCs/>
          <w:sz w:val="24"/>
        </w:rPr>
        <w:t>续电</w:t>
      </w:r>
      <w:r>
        <w:rPr>
          <w:rFonts w:ascii="宋体" w:hAnsi="宋体" w:eastAsia="宋体"/>
          <w:bCs/>
          <w:sz w:val="24"/>
        </w:rPr>
        <w:t>2小时                    1</w:t>
      </w:r>
      <w:r>
        <w:rPr>
          <w:rFonts w:hint="eastAsia" w:ascii="宋体" w:hAnsi="宋体" w:eastAsia="宋体"/>
          <w:bCs/>
          <w:sz w:val="24"/>
        </w:rPr>
        <w:t>套</w:t>
      </w:r>
    </w:p>
    <w:p>
      <w:pPr>
        <w:spacing w:line="336" w:lineRule="auto"/>
        <w:ind w:firstLine="480"/>
        <w:rPr>
          <w:rFonts w:hint="eastAsia" w:ascii="宋体" w:hAnsi="宋体" w:eastAsia="宋体"/>
          <w:bCs/>
          <w:sz w:val="24"/>
        </w:rPr>
      </w:pPr>
      <w:r>
        <w:rPr>
          <w:rFonts w:ascii="宋体" w:hAnsi="宋体" w:eastAsia="宋体"/>
          <w:bCs/>
          <w:sz w:val="24"/>
        </w:rPr>
        <w:t xml:space="preserve">       </w:t>
      </w:r>
      <w:r>
        <w:rPr>
          <w:rFonts w:hint="eastAsia" w:ascii="宋体" w:hAnsi="宋体" w:eastAsia="宋体"/>
          <w:bCs/>
          <w:sz w:val="24"/>
        </w:rPr>
        <w:t>开关</w:t>
      </w:r>
      <w:r>
        <w:rPr>
          <w:rFonts w:ascii="宋体" w:hAnsi="宋体" w:eastAsia="宋体"/>
          <w:bCs/>
          <w:sz w:val="24"/>
        </w:rPr>
        <w:t xml:space="preserve">                                       1</w:t>
      </w:r>
      <w:r>
        <w:rPr>
          <w:rFonts w:hint="eastAsia" w:ascii="宋体" w:hAnsi="宋体" w:eastAsia="宋体"/>
          <w:bCs/>
          <w:sz w:val="24"/>
        </w:rPr>
        <w:t>个</w:t>
      </w:r>
    </w:p>
    <w:p>
      <w:pPr>
        <w:spacing w:line="336" w:lineRule="auto"/>
        <w:ind w:firstLine="1274" w:firstLineChars="531"/>
        <w:rPr>
          <w:rFonts w:hint="eastAsia" w:ascii="宋体" w:hAnsi="宋体" w:eastAsia="宋体"/>
          <w:bCs/>
          <w:sz w:val="24"/>
        </w:rPr>
      </w:pPr>
      <w:r>
        <w:rPr>
          <w:rFonts w:hint="eastAsia" w:ascii="宋体" w:hAnsi="宋体" w:eastAsia="宋体"/>
          <w:bCs/>
          <w:sz w:val="24"/>
        </w:rPr>
        <w:t>插座</w:t>
      </w:r>
      <w:r>
        <w:rPr>
          <w:rFonts w:ascii="宋体" w:hAnsi="宋体" w:eastAsia="宋体"/>
          <w:bCs/>
          <w:sz w:val="24"/>
        </w:rPr>
        <w:t xml:space="preserve">                                       5</w:t>
      </w:r>
      <w:r>
        <w:rPr>
          <w:rFonts w:hint="eastAsia" w:ascii="宋体" w:hAnsi="宋体" w:eastAsia="宋体"/>
          <w:bCs/>
          <w:sz w:val="24"/>
        </w:rPr>
        <w:t>个</w:t>
      </w:r>
    </w:p>
    <w:p>
      <w:pPr>
        <w:spacing w:line="336" w:lineRule="auto"/>
        <w:ind w:firstLine="480"/>
        <w:rPr>
          <w:rFonts w:hint="eastAsia" w:ascii="宋体" w:hAnsi="宋体" w:eastAsia="宋体"/>
          <w:bCs/>
          <w:sz w:val="24"/>
        </w:rPr>
      </w:pPr>
      <w:r>
        <w:rPr>
          <w:rFonts w:ascii="宋体" w:hAnsi="宋体" w:eastAsia="宋体"/>
          <w:bCs/>
          <w:sz w:val="24"/>
        </w:rPr>
        <w:t>B.</w:t>
      </w:r>
      <w:r>
        <w:rPr>
          <w:rFonts w:hint="eastAsia" w:ascii="宋体" w:hAnsi="宋体" w:eastAsia="宋体"/>
          <w:bCs/>
          <w:sz w:val="24"/>
        </w:rPr>
        <w:t>采暖与排风</w:t>
      </w:r>
    </w:p>
    <w:p>
      <w:pPr>
        <w:spacing w:line="336" w:lineRule="auto"/>
        <w:ind w:firstLine="1320" w:firstLineChars="550"/>
        <w:rPr>
          <w:rFonts w:hint="eastAsia" w:ascii="宋体" w:hAnsi="宋体" w:eastAsia="宋体"/>
          <w:bCs/>
          <w:sz w:val="24"/>
        </w:rPr>
      </w:pPr>
      <w:r>
        <w:rPr>
          <w:rFonts w:hint="eastAsia" w:ascii="宋体" w:hAnsi="宋体" w:eastAsia="宋体"/>
          <w:bCs/>
          <w:sz w:val="24"/>
        </w:rPr>
        <w:t>排风扇</w:t>
      </w:r>
      <w:r>
        <w:rPr>
          <w:rFonts w:ascii="宋体" w:hAnsi="宋体" w:eastAsia="宋体"/>
          <w:bCs/>
          <w:sz w:val="24"/>
        </w:rPr>
        <w:t xml:space="preserve">                                     1</w:t>
      </w:r>
      <w:r>
        <w:rPr>
          <w:rFonts w:hint="eastAsia" w:ascii="宋体" w:hAnsi="宋体" w:eastAsia="宋体"/>
          <w:bCs/>
          <w:sz w:val="24"/>
        </w:rPr>
        <w:t>个</w:t>
      </w:r>
    </w:p>
    <w:p>
      <w:pPr>
        <w:spacing w:line="336" w:lineRule="auto"/>
        <w:ind w:firstLine="1320" w:firstLineChars="550"/>
        <w:rPr>
          <w:rFonts w:hint="eastAsia" w:ascii="宋体" w:hAnsi="宋体" w:eastAsia="宋体"/>
          <w:bCs/>
          <w:sz w:val="24"/>
        </w:rPr>
      </w:pPr>
      <w:r>
        <w:rPr>
          <w:rFonts w:hint="eastAsia" w:ascii="宋体" w:hAnsi="宋体" w:eastAsia="宋体"/>
          <w:bCs/>
          <w:sz w:val="24"/>
        </w:rPr>
        <w:t>冷暖两用空调</w:t>
      </w:r>
      <w:r>
        <w:rPr>
          <w:rFonts w:ascii="宋体" w:hAnsi="宋体" w:eastAsia="宋体"/>
          <w:bCs/>
          <w:sz w:val="24"/>
        </w:rPr>
        <w:t>1.5P                           1</w:t>
      </w:r>
      <w:r>
        <w:rPr>
          <w:rFonts w:hint="eastAsia" w:ascii="宋体" w:hAnsi="宋体" w:eastAsia="宋体"/>
          <w:bCs/>
          <w:sz w:val="24"/>
        </w:rPr>
        <w:t>个</w:t>
      </w:r>
    </w:p>
    <w:p>
      <w:pPr>
        <w:spacing w:line="336" w:lineRule="auto"/>
        <w:ind w:firstLine="480"/>
        <w:rPr>
          <w:rFonts w:hint="eastAsia" w:ascii="宋体" w:hAnsi="宋体" w:eastAsia="宋体"/>
          <w:bCs/>
          <w:sz w:val="24"/>
        </w:rPr>
      </w:pPr>
      <w:r>
        <w:rPr>
          <w:rFonts w:ascii="宋体" w:hAnsi="宋体" w:eastAsia="宋体"/>
          <w:bCs/>
          <w:sz w:val="24"/>
        </w:rPr>
        <w:t>C.</w:t>
      </w:r>
      <w:r>
        <w:rPr>
          <w:rFonts w:hint="eastAsia" w:ascii="宋体" w:hAnsi="宋体" w:eastAsia="宋体"/>
          <w:bCs/>
          <w:sz w:val="24"/>
        </w:rPr>
        <w:t>照明</w:t>
      </w:r>
    </w:p>
    <w:p>
      <w:pPr>
        <w:spacing w:line="336" w:lineRule="auto"/>
        <w:ind w:firstLine="1320" w:firstLineChars="550"/>
        <w:rPr>
          <w:rFonts w:hint="eastAsia" w:ascii="宋体" w:hAnsi="宋体" w:eastAsia="宋体"/>
          <w:bCs/>
          <w:sz w:val="24"/>
        </w:rPr>
      </w:pPr>
      <w:r>
        <w:rPr>
          <w:rFonts w:ascii="宋体" w:hAnsi="宋体" w:eastAsia="宋体"/>
          <w:bCs/>
          <w:sz w:val="24"/>
        </w:rPr>
        <w:t>LED</w:t>
      </w:r>
      <w:r>
        <w:rPr>
          <w:rFonts w:hint="eastAsia" w:ascii="宋体" w:hAnsi="宋体" w:eastAsia="宋体"/>
          <w:bCs/>
          <w:sz w:val="24"/>
        </w:rPr>
        <w:t>灯</w:t>
      </w:r>
      <w:r>
        <w:rPr>
          <w:rFonts w:ascii="宋体" w:hAnsi="宋体" w:eastAsia="宋体"/>
          <w:bCs/>
          <w:sz w:val="24"/>
        </w:rPr>
        <w:t xml:space="preserve">                                      2</w:t>
      </w:r>
      <w:r>
        <w:rPr>
          <w:rFonts w:hint="eastAsia" w:ascii="宋体" w:hAnsi="宋体" w:eastAsia="宋体"/>
          <w:bCs/>
          <w:sz w:val="24"/>
        </w:rPr>
        <w:t>个</w:t>
      </w:r>
    </w:p>
    <w:p>
      <w:pPr>
        <w:spacing w:line="336" w:lineRule="auto"/>
        <w:ind w:firstLine="480"/>
        <w:rPr>
          <w:rFonts w:hint="eastAsia" w:ascii="宋体" w:hAnsi="宋体" w:eastAsia="宋体"/>
          <w:bCs/>
          <w:sz w:val="24"/>
        </w:rPr>
      </w:pPr>
      <w:r>
        <w:rPr>
          <w:rFonts w:ascii="宋体" w:hAnsi="宋体" w:eastAsia="宋体"/>
          <w:bCs/>
          <w:sz w:val="24"/>
        </w:rPr>
        <w:t>D.</w:t>
      </w:r>
      <w:r>
        <w:rPr>
          <w:rFonts w:hint="eastAsia" w:ascii="宋体" w:hAnsi="宋体" w:eastAsia="宋体"/>
          <w:bCs/>
          <w:sz w:val="24"/>
        </w:rPr>
        <w:t>报警联锁系统</w:t>
      </w:r>
    </w:p>
    <w:p>
      <w:pPr>
        <w:spacing w:line="336" w:lineRule="auto"/>
        <w:ind w:firstLine="480"/>
        <w:rPr>
          <w:rFonts w:hint="eastAsia" w:ascii="宋体" w:hAnsi="宋体" w:eastAsia="宋体"/>
          <w:bCs/>
          <w:sz w:val="24"/>
        </w:rPr>
      </w:pPr>
      <w:r>
        <w:rPr>
          <w:rFonts w:ascii="宋体" w:hAnsi="宋体" w:eastAsia="宋体"/>
          <w:bCs/>
          <w:sz w:val="24"/>
        </w:rPr>
        <w:t xml:space="preserve">       </w:t>
      </w:r>
      <w:r>
        <w:rPr>
          <w:rFonts w:hint="eastAsia" w:ascii="宋体" w:hAnsi="宋体" w:eastAsia="宋体"/>
          <w:bCs/>
          <w:sz w:val="24"/>
        </w:rPr>
        <w:t>可燃气体报警器（</w:t>
      </w:r>
      <w:r>
        <w:rPr>
          <w:rFonts w:ascii="宋体" w:hAnsi="宋体" w:eastAsia="宋体"/>
          <w:bCs/>
          <w:sz w:val="24"/>
        </w:rPr>
        <w:t>H2</w:t>
      </w:r>
      <w:r>
        <w:rPr>
          <w:rFonts w:hint="eastAsia" w:ascii="宋体" w:hAnsi="宋体" w:eastAsia="宋体"/>
          <w:bCs/>
          <w:sz w:val="24"/>
        </w:rPr>
        <w:t>）</w:t>
      </w:r>
      <w:r>
        <w:rPr>
          <w:rFonts w:ascii="宋体" w:hAnsi="宋体" w:eastAsia="宋体"/>
          <w:bCs/>
          <w:sz w:val="24"/>
        </w:rPr>
        <w:t xml:space="preserve">                       1</w:t>
      </w:r>
      <w:r>
        <w:rPr>
          <w:rFonts w:hint="eastAsia" w:ascii="宋体" w:hAnsi="宋体" w:eastAsia="宋体"/>
          <w:bCs/>
          <w:sz w:val="24"/>
        </w:rPr>
        <w:t>个</w:t>
      </w:r>
    </w:p>
    <w:p>
      <w:pPr>
        <w:spacing w:line="336" w:lineRule="auto"/>
        <w:ind w:firstLine="480"/>
        <w:rPr>
          <w:rFonts w:hint="eastAsia" w:ascii="宋体" w:hAnsi="宋体" w:eastAsia="宋体"/>
          <w:bCs/>
          <w:sz w:val="24"/>
        </w:rPr>
      </w:pPr>
      <w:r>
        <w:rPr>
          <w:rFonts w:ascii="宋体" w:hAnsi="宋体" w:eastAsia="宋体"/>
          <w:bCs/>
          <w:sz w:val="24"/>
        </w:rPr>
        <w:t xml:space="preserve">       </w:t>
      </w:r>
      <w:r>
        <w:rPr>
          <w:rFonts w:hint="eastAsia" w:ascii="宋体" w:hAnsi="宋体" w:eastAsia="宋体"/>
          <w:bCs/>
          <w:sz w:val="24"/>
        </w:rPr>
        <w:t>声光报警器</w:t>
      </w:r>
      <w:r>
        <w:rPr>
          <w:rFonts w:ascii="宋体" w:hAnsi="宋体" w:eastAsia="宋体"/>
          <w:bCs/>
          <w:sz w:val="24"/>
        </w:rPr>
        <w:t xml:space="preserve">                                 1</w:t>
      </w:r>
      <w:r>
        <w:rPr>
          <w:rFonts w:hint="eastAsia" w:ascii="宋体" w:hAnsi="宋体" w:eastAsia="宋体"/>
          <w:bCs/>
          <w:sz w:val="24"/>
        </w:rPr>
        <w:t>个</w:t>
      </w:r>
    </w:p>
    <w:p>
      <w:pPr>
        <w:spacing w:line="336" w:lineRule="auto"/>
        <w:ind w:firstLine="480"/>
        <w:rPr>
          <w:rFonts w:hint="eastAsia" w:ascii="宋体" w:hAnsi="宋体" w:eastAsia="宋体"/>
          <w:bCs/>
          <w:sz w:val="24"/>
        </w:rPr>
      </w:pPr>
      <w:r>
        <w:rPr>
          <w:rFonts w:ascii="宋体" w:hAnsi="宋体" w:eastAsia="宋体"/>
          <w:bCs/>
          <w:sz w:val="24"/>
        </w:rPr>
        <w:t>9</w:t>
      </w:r>
      <w:r>
        <w:rPr>
          <w:rFonts w:hint="eastAsia" w:ascii="宋体" w:hAnsi="宋体" w:eastAsia="宋体"/>
          <w:bCs/>
          <w:sz w:val="24"/>
        </w:rPr>
        <w:t>）</w:t>
      </w:r>
      <w:r>
        <w:rPr>
          <w:rFonts w:ascii="宋体" w:hAnsi="宋体" w:eastAsia="宋体"/>
          <w:bCs/>
          <w:sz w:val="24"/>
        </w:rPr>
        <w:t xml:space="preserve"> </w:t>
      </w:r>
      <w:r>
        <w:rPr>
          <w:rFonts w:hint="eastAsia" w:ascii="宋体" w:hAnsi="宋体" w:eastAsia="宋体"/>
          <w:bCs/>
          <w:sz w:val="24"/>
        </w:rPr>
        <w:t>监测站房配管、配线、铭牌标示</w:t>
      </w:r>
    </w:p>
    <w:p>
      <w:pPr>
        <w:spacing w:line="336" w:lineRule="auto"/>
        <w:ind w:firstLine="480"/>
        <w:rPr>
          <w:rFonts w:hint="eastAsia" w:ascii="宋体" w:hAnsi="宋体" w:eastAsia="宋体"/>
          <w:bCs/>
          <w:sz w:val="24"/>
        </w:rPr>
      </w:pPr>
      <w:r>
        <w:rPr>
          <w:rFonts w:ascii="宋体" w:hAnsi="宋体" w:eastAsia="宋体"/>
          <w:bCs/>
          <w:sz w:val="24"/>
        </w:rPr>
        <w:t>a.</w:t>
      </w:r>
      <w:r>
        <w:rPr>
          <w:rFonts w:hint="eastAsia" w:ascii="宋体" w:hAnsi="宋体" w:eastAsia="宋体"/>
          <w:bCs/>
          <w:sz w:val="24"/>
        </w:rPr>
        <w:t>配管：完成以下小屋系统管路的配管</w:t>
      </w:r>
    </w:p>
    <w:p>
      <w:pPr>
        <w:spacing w:line="336" w:lineRule="auto"/>
        <w:ind w:firstLine="1320" w:firstLineChars="550"/>
        <w:rPr>
          <w:rFonts w:hint="eastAsia" w:ascii="宋体" w:hAnsi="宋体" w:eastAsia="宋体"/>
          <w:bCs/>
          <w:sz w:val="24"/>
        </w:rPr>
      </w:pPr>
      <w:r>
        <w:rPr>
          <w:rFonts w:hint="eastAsia" w:ascii="宋体" w:hAnsi="宋体" w:eastAsia="宋体"/>
          <w:bCs/>
          <w:sz w:val="24"/>
        </w:rPr>
        <w:t>样品、标准气管线</w:t>
      </w:r>
      <w:r>
        <w:rPr>
          <w:rFonts w:ascii="宋体" w:hAnsi="宋体" w:eastAsia="宋体"/>
          <w:bCs/>
          <w:sz w:val="24"/>
        </w:rPr>
        <w:t xml:space="preserve"> </w:t>
      </w:r>
    </w:p>
    <w:p>
      <w:pPr>
        <w:spacing w:line="336" w:lineRule="auto"/>
        <w:ind w:firstLine="1320" w:firstLineChars="550"/>
        <w:rPr>
          <w:rFonts w:hint="eastAsia" w:ascii="宋体" w:hAnsi="宋体" w:eastAsia="宋体"/>
          <w:bCs/>
          <w:sz w:val="24"/>
        </w:rPr>
      </w:pPr>
      <w:r>
        <w:rPr>
          <w:rFonts w:hint="eastAsia" w:ascii="宋体" w:hAnsi="宋体" w:eastAsia="宋体"/>
          <w:bCs/>
          <w:sz w:val="24"/>
        </w:rPr>
        <w:t>仪表空气支管线</w:t>
      </w:r>
    </w:p>
    <w:p>
      <w:pPr>
        <w:spacing w:line="336" w:lineRule="auto"/>
        <w:ind w:firstLine="1320" w:firstLineChars="550"/>
        <w:rPr>
          <w:rFonts w:hint="eastAsia" w:ascii="宋体" w:hAnsi="宋体" w:eastAsia="宋体"/>
          <w:bCs/>
          <w:sz w:val="24"/>
        </w:rPr>
      </w:pPr>
      <w:r>
        <w:rPr>
          <w:rFonts w:hint="eastAsia" w:ascii="宋体" w:hAnsi="宋体" w:eastAsia="宋体"/>
          <w:bCs/>
          <w:sz w:val="24"/>
        </w:rPr>
        <w:t>样品放空总管：</w:t>
      </w:r>
    </w:p>
    <w:p>
      <w:pPr>
        <w:spacing w:line="336" w:lineRule="auto"/>
        <w:ind w:firstLine="1320" w:firstLineChars="550"/>
        <w:rPr>
          <w:rFonts w:hint="eastAsia" w:ascii="宋体" w:hAnsi="宋体" w:eastAsia="宋体"/>
          <w:bCs/>
          <w:sz w:val="24"/>
        </w:rPr>
      </w:pPr>
      <w:r>
        <w:rPr>
          <w:rFonts w:hint="eastAsia" w:ascii="宋体" w:hAnsi="宋体" w:eastAsia="宋体"/>
          <w:bCs/>
          <w:sz w:val="24"/>
        </w:rPr>
        <w:t>仪表空气总管：</w:t>
      </w:r>
      <w:r>
        <w:rPr>
          <w:rFonts w:ascii="宋体" w:hAnsi="宋体" w:eastAsia="宋体"/>
          <w:bCs/>
          <w:sz w:val="24"/>
        </w:rPr>
        <w:t xml:space="preserve"> </w:t>
      </w:r>
    </w:p>
    <w:p>
      <w:pPr>
        <w:spacing w:line="336" w:lineRule="auto"/>
        <w:ind w:firstLine="480"/>
        <w:rPr>
          <w:rFonts w:hint="eastAsia" w:ascii="宋体" w:hAnsi="宋体" w:eastAsia="宋体"/>
          <w:bCs/>
          <w:sz w:val="24"/>
        </w:rPr>
      </w:pPr>
      <w:r>
        <w:rPr>
          <w:rFonts w:ascii="宋体" w:hAnsi="宋体" w:eastAsia="宋体"/>
          <w:bCs/>
          <w:sz w:val="24"/>
        </w:rPr>
        <w:t>b.</w:t>
      </w:r>
      <w:r>
        <w:rPr>
          <w:rFonts w:hint="eastAsia" w:ascii="宋体" w:hAnsi="宋体" w:eastAsia="宋体"/>
          <w:bCs/>
          <w:sz w:val="24"/>
        </w:rPr>
        <w:t>配线</w:t>
      </w:r>
    </w:p>
    <w:p>
      <w:pPr>
        <w:spacing w:line="336" w:lineRule="auto"/>
        <w:ind w:firstLine="480"/>
        <w:rPr>
          <w:rFonts w:hint="eastAsia" w:ascii="宋体" w:hAnsi="宋体" w:eastAsia="宋体"/>
          <w:bCs/>
          <w:sz w:val="24"/>
        </w:rPr>
      </w:pPr>
      <w:r>
        <w:rPr>
          <w:rFonts w:hint="eastAsia" w:ascii="宋体" w:hAnsi="宋体" w:eastAsia="宋体"/>
          <w:bCs/>
          <w:sz w:val="24"/>
        </w:rPr>
        <w:t>分析房内各种电力电缆线由配电箱至各设备，采用阻燃型三芯屏蔽电缆，线径根据设备功率制定。分析房内各种信号电缆线由各分析仪至接线箱，采用阻燃型多芯屏蔽电缆，线截面积≥</w:t>
      </w:r>
      <w:r>
        <w:rPr>
          <w:rFonts w:ascii="宋体" w:hAnsi="宋体" w:eastAsia="宋体"/>
          <w:bCs/>
          <w:sz w:val="24"/>
        </w:rPr>
        <w:t>1.5mm</w:t>
      </w:r>
      <w:r>
        <w:rPr>
          <w:rFonts w:hint="eastAsia" w:ascii="宋体" w:hAnsi="宋体" w:eastAsia="宋体"/>
          <w:bCs/>
          <w:sz w:val="24"/>
        </w:rPr>
        <w:t>²。分析房接地线接地支线：铜芯绝缘电线</w:t>
      </w:r>
      <w:r>
        <w:rPr>
          <w:rFonts w:ascii="宋体" w:hAnsi="宋体" w:eastAsia="宋体"/>
          <w:bCs/>
          <w:sz w:val="24"/>
        </w:rPr>
        <w:t>1.5–2.5mm</w:t>
      </w:r>
      <w:r>
        <w:rPr>
          <w:rFonts w:hint="eastAsia" w:ascii="宋体" w:hAnsi="宋体" w:eastAsia="宋体"/>
          <w:bCs/>
          <w:sz w:val="24"/>
        </w:rPr>
        <w:t>²</w:t>
      </w:r>
      <w:r>
        <w:rPr>
          <w:rFonts w:ascii="宋体" w:hAnsi="宋体" w:eastAsia="宋体"/>
          <w:bCs/>
          <w:sz w:val="24"/>
        </w:rPr>
        <w:t>,</w:t>
      </w:r>
      <w:r>
        <w:rPr>
          <w:rFonts w:hint="eastAsia" w:ascii="宋体" w:hAnsi="宋体" w:eastAsia="宋体"/>
          <w:bCs/>
          <w:sz w:val="24"/>
        </w:rPr>
        <w:t>接地干线：多股铜芯绝缘电线</w:t>
      </w:r>
      <w:r>
        <w:rPr>
          <w:rFonts w:ascii="宋体" w:hAnsi="宋体" w:eastAsia="宋体"/>
          <w:bCs/>
          <w:sz w:val="24"/>
        </w:rPr>
        <w:t>4-25mm</w:t>
      </w:r>
      <w:r>
        <w:rPr>
          <w:rFonts w:hint="eastAsia" w:ascii="宋体" w:hAnsi="宋体" w:eastAsia="宋体"/>
          <w:bCs/>
          <w:sz w:val="24"/>
        </w:rPr>
        <w:t>²</w:t>
      </w:r>
      <w:r>
        <w:rPr>
          <w:rFonts w:ascii="宋体" w:hAnsi="宋体" w:eastAsia="宋体"/>
          <w:bCs/>
          <w:sz w:val="24"/>
        </w:rPr>
        <w:t xml:space="preserve">, </w:t>
      </w:r>
      <w:r>
        <w:rPr>
          <w:rFonts w:hint="eastAsia" w:ascii="宋体" w:hAnsi="宋体" w:eastAsia="宋体"/>
          <w:bCs/>
          <w:sz w:val="24"/>
        </w:rPr>
        <w:t>敷设方式：采用电缆桥架、汇线盘或穿管及软管方式敷设。</w:t>
      </w:r>
    </w:p>
    <w:p>
      <w:pPr>
        <w:spacing w:line="336" w:lineRule="auto"/>
        <w:ind w:firstLine="480"/>
        <w:rPr>
          <w:rFonts w:hint="eastAsia" w:ascii="宋体" w:hAnsi="宋体" w:eastAsia="宋体"/>
          <w:bCs/>
          <w:sz w:val="24"/>
        </w:rPr>
      </w:pPr>
      <w:r>
        <w:rPr>
          <w:rFonts w:ascii="宋体" w:hAnsi="宋体" w:eastAsia="宋体"/>
          <w:bCs/>
          <w:sz w:val="24"/>
        </w:rPr>
        <w:t>c.</w:t>
      </w:r>
      <w:r>
        <w:rPr>
          <w:rFonts w:hint="eastAsia" w:ascii="宋体" w:hAnsi="宋体" w:eastAsia="宋体"/>
          <w:bCs/>
          <w:sz w:val="24"/>
        </w:rPr>
        <w:t>铭牌标示</w:t>
      </w:r>
    </w:p>
    <w:p>
      <w:pPr>
        <w:spacing w:line="336" w:lineRule="auto"/>
        <w:ind w:firstLine="480"/>
        <w:rPr>
          <w:rFonts w:hint="eastAsia" w:ascii="宋体" w:hAnsi="宋体" w:eastAsia="宋体"/>
          <w:bCs/>
          <w:sz w:val="24"/>
        </w:rPr>
      </w:pPr>
      <w:r>
        <w:rPr>
          <w:rFonts w:hint="eastAsia" w:ascii="宋体" w:hAnsi="宋体" w:eastAsia="宋体"/>
          <w:bCs/>
          <w:sz w:val="24"/>
        </w:rPr>
        <w:t>小屋本体上有永久型不锈钢铭牌，并有警告性标识。</w:t>
      </w:r>
    </w:p>
    <w:p>
      <w:pPr>
        <w:spacing w:line="336" w:lineRule="auto"/>
        <w:ind w:firstLine="480"/>
        <w:rPr>
          <w:rFonts w:hint="eastAsia" w:ascii="宋体" w:hAnsi="宋体" w:eastAsia="宋体"/>
          <w:bCs/>
          <w:sz w:val="24"/>
        </w:rPr>
      </w:pPr>
      <w:r>
        <w:rPr>
          <w:rFonts w:hint="eastAsia" w:ascii="宋体" w:hAnsi="宋体" w:eastAsia="宋体"/>
          <w:bCs/>
          <w:sz w:val="24"/>
        </w:rPr>
        <w:t>监测站房内的主要元件都有永久性的固定铭牌。</w:t>
      </w:r>
    </w:p>
    <w:p>
      <w:pPr>
        <w:spacing w:line="336" w:lineRule="auto"/>
        <w:ind w:firstLine="480"/>
        <w:rPr>
          <w:rFonts w:hint="eastAsia" w:ascii="宋体" w:hAnsi="宋体" w:eastAsia="宋体"/>
          <w:bCs/>
          <w:sz w:val="24"/>
        </w:rPr>
      </w:pPr>
      <w:r>
        <w:rPr>
          <w:rFonts w:hint="eastAsia" w:ascii="宋体" w:hAnsi="宋体" w:eastAsia="宋体"/>
          <w:bCs/>
          <w:sz w:val="24"/>
        </w:rPr>
        <w:t>样品流路进入小屋之前，配有明确的位号标识。</w:t>
      </w:r>
    </w:p>
    <w:p>
      <w:pPr>
        <w:spacing w:line="336" w:lineRule="auto"/>
        <w:ind w:firstLine="480"/>
        <w:rPr>
          <w:rFonts w:hint="eastAsia" w:ascii="宋体" w:hAnsi="宋体" w:eastAsia="宋体"/>
          <w:bCs/>
          <w:sz w:val="24"/>
        </w:rPr>
      </w:pPr>
      <w:r>
        <w:rPr>
          <w:rFonts w:hint="eastAsia" w:ascii="宋体" w:hAnsi="宋体" w:eastAsia="宋体"/>
          <w:bCs/>
          <w:sz w:val="24"/>
        </w:rPr>
        <w:t>每一台分析仪都有铭牌，表明制造商、型号和位号。</w:t>
      </w:r>
    </w:p>
    <w:p>
      <w:pPr>
        <w:spacing w:line="336" w:lineRule="auto"/>
        <w:ind w:firstLine="480"/>
        <w:rPr>
          <w:rFonts w:hint="eastAsia" w:ascii="宋体" w:hAnsi="宋体" w:eastAsia="宋体"/>
          <w:bCs/>
          <w:sz w:val="24"/>
        </w:rPr>
      </w:pPr>
      <w:r>
        <w:rPr>
          <w:rFonts w:hint="eastAsia" w:ascii="宋体" w:hAnsi="宋体" w:eastAsia="宋体"/>
          <w:bCs/>
          <w:sz w:val="24"/>
        </w:rPr>
        <w:t>所有电气设备，包括接线箱、电源分配箱、开关、电缆及接线端子都有永久性标牌和警示，同时标明连接设备位号。</w:t>
      </w:r>
    </w:p>
    <w:p>
      <w:pPr>
        <w:spacing w:line="336" w:lineRule="auto"/>
        <w:ind w:firstLine="480"/>
        <w:rPr>
          <w:rFonts w:hint="eastAsia" w:ascii="宋体" w:hAnsi="宋体" w:eastAsia="宋体"/>
          <w:bCs/>
          <w:sz w:val="24"/>
        </w:rPr>
      </w:pPr>
      <w:r>
        <w:rPr>
          <w:rFonts w:hint="eastAsia" w:ascii="宋体" w:hAnsi="宋体" w:eastAsia="宋体"/>
          <w:bCs/>
          <w:sz w:val="24"/>
        </w:rPr>
        <w:t>预处理系统箱体表面都有永久性铭牌，标明位号；所有进出口都有明确标识。</w:t>
      </w:r>
    </w:p>
    <w:p>
      <w:pPr>
        <w:spacing w:line="336" w:lineRule="auto"/>
        <w:ind w:firstLine="480"/>
        <w:rPr>
          <w:rFonts w:hint="eastAsia" w:ascii="宋体" w:hAnsi="宋体" w:eastAsia="宋体"/>
          <w:bCs/>
          <w:sz w:val="24"/>
        </w:rPr>
      </w:pPr>
      <w:r>
        <w:rPr>
          <w:rFonts w:hint="eastAsia" w:ascii="宋体" w:hAnsi="宋体" w:eastAsia="宋体"/>
          <w:bCs/>
          <w:sz w:val="24"/>
        </w:rPr>
        <w:t>进出小屋的配管都有编号。</w:t>
      </w:r>
    </w:p>
    <w:p>
      <w:pPr>
        <w:spacing w:line="336" w:lineRule="auto"/>
        <w:ind w:firstLine="480"/>
        <w:rPr>
          <w:rFonts w:hint="eastAsia" w:ascii="宋体" w:hAnsi="宋体" w:eastAsia="宋体"/>
          <w:bCs/>
          <w:sz w:val="24"/>
        </w:rPr>
      </w:pPr>
      <w:r>
        <w:rPr>
          <w:rFonts w:hint="eastAsia" w:ascii="宋体" w:hAnsi="宋体" w:eastAsia="宋体"/>
          <w:bCs/>
          <w:sz w:val="24"/>
        </w:rPr>
        <w:t>标签的材质为不锈钢或</w:t>
      </w:r>
      <w:r>
        <w:rPr>
          <w:rFonts w:ascii="宋体" w:hAnsi="宋体" w:eastAsia="宋体"/>
          <w:bCs/>
          <w:sz w:val="24"/>
        </w:rPr>
        <w:t>PVC</w:t>
      </w:r>
      <w:r>
        <w:rPr>
          <w:rFonts w:hint="eastAsia" w:ascii="宋体" w:hAnsi="宋体" w:eastAsia="宋体"/>
          <w:bCs/>
          <w:sz w:val="24"/>
        </w:rPr>
        <w:t>刻字。</w:t>
      </w:r>
    </w:p>
    <w:p>
      <w:pPr>
        <w:pStyle w:val="76"/>
        <w:spacing w:line="360" w:lineRule="auto"/>
        <w:ind w:firstLine="422"/>
        <w:outlineLvl w:val="3"/>
        <w:rPr>
          <w:rFonts w:hint="eastAsia" w:ascii="宋体" w:hAnsi="宋体" w:eastAsia="宋体" w:cs="FZZD Extra JW"/>
          <w:b/>
        </w:rPr>
      </w:pPr>
      <w:r>
        <w:rPr>
          <w:rFonts w:hint="eastAsia" w:ascii="宋体" w:hAnsi="宋体" w:eastAsia="宋体" w:cs="FZZD Extra JW"/>
          <w:b/>
        </w:rPr>
        <w:t>3.4.15 平台及扶梯（仅橡塑件公司）</w:t>
      </w:r>
    </w:p>
    <w:p>
      <w:pPr>
        <w:autoSpaceDE w:val="0"/>
        <w:autoSpaceDN w:val="0"/>
        <w:adjustRightInd w:val="0"/>
        <w:spacing w:line="360" w:lineRule="auto"/>
        <w:ind w:firstLine="480" w:firstLineChars="200"/>
        <w:jc w:val="left"/>
        <w:rPr>
          <w:rFonts w:hint="eastAsia" w:ascii="宋体" w:hAnsi="宋体" w:eastAsia="宋体"/>
          <w:kern w:val="0"/>
          <w:sz w:val="24"/>
        </w:rPr>
      </w:pPr>
      <w:r>
        <w:rPr>
          <w:rFonts w:hint="eastAsia" w:ascii="宋体" w:hAnsi="宋体" w:eastAsia="宋体"/>
          <w:kern w:val="0"/>
          <w:sz w:val="24"/>
        </w:rPr>
        <w:t>1）二层平台从一楼采用四根不低于18号工字钢支撑，平台采用槽钢交叉布设，平台尺寸5米*4米，</w:t>
      </w:r>
      <w:r>
        <w:rPr>
          <w:rFonts w:ascii="宋体" w:hAnsi="宋体" w:eastAsia="宋体"/>
          <w:kern w:val="0"/>
          <w:sz w:val="24"/>
        </w:rPr>
        <w:t>建设于现有站房二层</w:t>
      </w:r>
      <w:r>
        <w:rPr>
          <w:rFonts w:hint="eastAsia" w:ascii="宋体" w:hAnsi="宋体" w:eastAsia="宋体"/>
          <w:kern w:val="0"/>
          <w:sz w:val="24"/>
        </w:rPr>
        <w:t>；</w:t>
      </w:r>
    </w:p>
    <w:p>
      <w:pPr>
        <w:autoSpaceDE w:val="0"/>
        <w:autoSpaceDN w:val="0"/>
        <w:adjustRightInd w:val="0"/>
        <w:spacing w:line="360" w:lineRule="auto"/>
        <w:ind w:firstLine="480" w:firstLineChars="200"/>
        <w:jc w:val="left"/>
        <w:rPr>
          <w:rFonts w:hint="eastAsia" w:ascii="宋体" w:hAnsi="宋体" w:eastAsia="宋体"/>
          <w:kern w:val="0"/>
          <w:sz w:val="24"/>
        </w:rPr>
      </w:pPr>
      <w:r>
        <w:rPr>
          <w:rFonts w:hint="eastAsia" w:ascii="宋体" w:hAnsi="宋体" w:eastAsia="宋体"/>
          <w:kern w:val="0"/>
          <w:sz w:val="24"/>
        </w:rPr>
        <w:t>2）从一楼铺设宽度80cm的扶梯至二楼站房平台，扶梯设置扶手，扶梯高度3米。</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3.4.1</w:t>
      </w:r>
      <w:r>
        <w:rPr>
          <w:rFonts w:hint="eastAsia" w:ascii="宋体" w:hAnsi="宋体" w:eastAsia="宋体" w:cs="FZZD Extra JW"/>
          <w:b/>
        </w:rPr>
        <w:t>6</w:t>
      </w:r>
      <w:r>
        <w:rPr>
          <w:rFonts w:ascii="宋体" w:hAnsi="宋体" w:eastAsia="宋体" w:cs="FZZD Extra JW"/>
          <w:b/>
        </w:rPr>
        <w:t xml:space="preserve"> </w:t>
      </w:r>
      <w:r>
        <w:rPr>
          <w:rFonts w:hint="eastAsia" w:ascii="宋体" w:hAnsi="宋体" w:eastAsia="宋体" w:cs="FZZD Extra JW"/>
          <w:b/>
        </w:rPr>
        <w:t>视频监控系统</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1</w:t>
      </w:r>
      <w:r>
        <w:rPr>
          <w:rFonts w:hint="eastAsia" w:ascii="宋体" w:hAnsi="宋体" w:eastAsia="宋体"/>
          <w:kern w:val="0"/>
          <w:sz w:val="24"/>
        </w:rPr>
        <w:t>）视频监控系统符合《济南市环保局关于建设重点污染源视频监控系统的通知》（济环字〔</w:t>
      </w:r>
      <w:r>
        <w:rPr>
          <w:rFonts w:ascii="宋体" w:hAnsi="宋体" w:eastAsia="宋体"/>
          <w:kern w:val="0"/>
          <w:sz w:val="24"/>
        </w:rPr>
        <w:t>2016〕218号）、济南市生态环境局《关于下达2019年第一批固定污染源废气挥发性有机物连续监测系统建设计划的通知》（</w:t>
      </w:r>
      <w:r>
        <w:rPr>
          <w:rFonts w:hint="eastAsia" w:ascii="宋体" w:hAnsi="宋体" w:eastAsia="宋体"/>
          <w:kern w:val="0"/>
          <w:sz w:val="24"/>
        </w:rPr>
        <w:t>济环字【</w:t>
      </w:r>
      <w:r>
        <w:rPr>
          <w:rFonts w:ascii="宋体" w:hAnsi="宋体" w:eastAsia="宋体"/>
          <w:kern w:val="0"/>
          <w:sz w:val="24"/>
        </w:rPr>
        <w:t>2019】71号）文件（含所有附件）、“济南市</w:t>
      </w:r>
      <w:r>
        <w:rPr>
          <w:rFonts w:hint="eastAsia" w:ascii="宋体" w:hAnsi="宋体" w:eastAsia="宋体"/>
          <w:kern w:val="0"/>
          <w:sz w:val="24"/>
        </w:rPr>
        <w:t>章丘区</w:t>
      </w:r>
      <w:r>
        <w:rPr>
          <w:rFonts w:ascii="宋体" w:hAnsi="宋体" w:eastAsia="宋体"/>
          <w:kern w:val="0"/>
          <w:sz w:val="24"/>
        </w:rPr>
        <w:t>重点企业污染监管视频监控系统</w:t>
      </w:r>
      <w:r>
        <w:rPr>
          <w:rFonts w:hint="eastAsia" w:ascii="宋体" w:hAnsi="宋体" w:eastAsia="宋体"/>
          <w:kern w:val="0"/>
          <w:sz w:val="24"/>
        </w:rPr>
        <w:t>技术要求”的规定或在项目验收前日的最新规定或标准设计制作并安装调试视频监控系统，确保视频监控系统合法稳定运行。</w:t>
      </w:r>
    </w:p>
    <w:p>
      <w:pPr>
        <w:autoSpaceDE w:val="0"/>
        <w:autoSpaceDN w:val="0"/>
        <w:adjustRightInd w:val="0"/>
        <w:spacing w:line="360" w:lineRule="auto"/>
        <w:ind w:firstLine="480" w:firstLineChars="200"/>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）济南卡车制造公司视频监控系统配置清单（3套）</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050"/>
        <w:gridCol w:w="3529"/>
        <w:gridCol w:w="885"/>
        <w:gridCol w:w="1395"/>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
                <w:szCs w:val="21"/>
              </w:rPr>
            </w:pPr>
            <w:r>
              <w:rPr>
                <w:rFonts w:hint="eastAsia" w:ascii="宋体" w:hAnsi="宋体" w:eastAsia="宋体" w:cs="宋体"/>
                <w:b/>
                <w:szCs w:val="21"/>
              </w:rPr>
              <w:t>名称</w:t>
            </w:r>
          </w:p>
        </w:tc>
        <w:tc>
          <w:tcPr>
            <w:tcW w:w="1050" w:type="dxa"/>
            <w:vAlign w:val="center"/>
          </w:tcPr>
          <w:p>
            <w:pPr>
              <w:ind w:left="-105" w:leftChars="-50" w:right="-105" w:rightChars="-50"/>
              <w:jc w:val="center"/>
              <w:rPr>
                <w:rFonts w:hint="eastAsia" w:ascii="宋体" w:hAnsi="宋体" w:eastAsia="宋体" w:cs="宋体"/>
                <w:b/>
                <w:szCs w:val="21"/>
              </w:rPr>
            </w:pPr>
            <w:r>
              <w:rPr>
                <w:rFonts w:hint="eastAsia" w:ascii="宋体" w:hAnsi="宋体" w:eastAsia="宋体" w:cs="宋体"/>
                <w:b/>
                <w:szCs w:val="21"/>
              </w:rPr>
              <w:t>规格型号</w:t>
            </w:r>
          </w:p>
        </w:tc>
        <w:tc>
          <w:tcPr>
            <w:tcW w:w="3529" w:type="dxa"/>
            <w:vAlign w:val="center"/>
          </w:tcPr>
          <w:p>
            <w:pPr>
              <w:jc w:val="center"/>
              <w:rPr>
                <w:rFonts w:hint="eastAsia" w:ascii="宋体" w:hAnsi="宋体" w:eastAsia="宋体" w:cs="宋体"/>
                <w:b/>
                <w:szCs w:val="21"/>
              </w:rPr>
            </w:pPr>
            <w:r>
              <w:rPr>
                <w:rFonts w:hint="eastAsia" w:ascii="宋体" w:hAnsi="宋体" w:eastAsia="宋体" w:cs="宋体"/>
                <w:b/>
                <w:szCs w:val="21"/>
              </w:rPr>
              <w:t>主要技术指标</w:t>
            </w:r>
          </w:p>
        </w:tc>
        <w:tc>
          <w:tcPr>
            <w:tcW w:w="885" w:type="dxa"/>
            <w:vAlign w:val="center"/>
          </w:tcPr>
          <w:p>
            <w:pPr>
              <w:ind w:left="-105" w:leftChars="-50" w:right="-105" w:rightChars="-50"/>
              <w:jc w:val="center"/>
              <w:rPr>
                <w:rFonts w:hint="eastAsia" w:ascii="宋体" w:hAnsi="宋体" w:eastAsia="宋体" w:cs="宋体"/>
                <w:b/>
                <w:szCs w:val="21"/>
              </w:rPr>
            </w:pPr>
            <w:r>
              <w:rPr>
                <w:rFonts w:hint="eastAsia" w:ascii="宋体" w:hAnsi="宋体" w:eastAsia="宋体" w:cs="宋体"/>
                <w:b/>
                <w:szCs w:val="21"/>
              </w:rPr>
              <w:t>数量</w:t>
            </w:r>
          </w:p>
        </w:tc>
        <w:tc>
          <w:tcPr>
            <w:tcW w:w="1404" w:type="dxa"/>
            <w:gridSpan w:val="2"/>
            <w:vAlign w:val="center"/>
          </w:tcPr>
          <w:p>
            <w:pPr>
              <w:jc w:val="center"/>
              <w:rPr>
                <w:rFonts w:hint="eastAsia" w:ascii="宋体" w:hAnsi="宋体" w:eastAsia="宋体" w:cs="宋体"/>
                <w:b/>
                <w:szCs w:val="21"/>
              </w:rPr>
            </w:pPr>
            <w:r>
              <w:rPr>
                <w:rFonts w:hint="eastAsia" w:ascii="宋体" w:hAnsi="宋体" w:eastAsia="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网络红外球机</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 xml:space="preserve">不小于200万像素；支持H.265，H.264编码；支持ONVIF协议，GB28181协议； </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1</w:t>
            </w:r>
            <w:r>
              <w:rPr>
                <w:rFonts w:hint="eastAsia" w:ascii="宋体" w:hAnsi="宋体" w:eastAsia="宋体" w:cs="宋体"/>
                <w:bCs/>
                <w:szCs w:val="21"/>
              </w:rPr>
              <w:t>5</w:t>
            </w:r>
            <w:r>
              <w:rPr>
                <w:rFonts w:ascii="宋体" w:hAnsi="宋体" w:eastAsia="宋体" w:cs="宋体"/>
                <w:bCs/>
                <w:szCs w:val="21"/>
              </w:rPr>
              <w:t>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海康</w:t>
            </w:r>
            <w:r>
              <w:rPr>
                <w:rFonts w:ascii="宋体" w:hAnsi="宋体" w:eastAsia="宋体" w:cs="宋体"/>
                <w:bCs/>
                <w:szCs w:val="21"/>
              </w:rPr>
              <w:t>/大华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网络硬盘录像机</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至少支持8路1080P高清摄像机输入，便于后期扩展；支持H.265，H.264编码；支持ONVIF协议，GB28181协议；最少支持3块硬盘，保证视频录像存储时间不低于1</w:t>
            </w:r>
            <w:r>
              <w:rPr>
                <w:rFonts w:hint="eastAsia" w:ascii="宋体" w:hAnsi="宋体" w:eastAsia="宋体" w:cs="宋体"/>
                <w:bCs/>
                <w:szCs w:val="21"/>
              </w:rPr>
              <w:t>年</w:t>
            </w:r>
            <w:r>
              <w:rPr>
                <w:rFonts w:ascii="宋体" w:hAnsi="宋体" w:eastAsia="宋体" w:cs="宋体"/>
                <w:bCs/>
                <w:szCs w:val="21"/>
              </w:rPr>
              <w:t>；支持VGA、HDMI输出接口。</w:t>
            </w:r>
            <w:r>
              <w:rPr>
                <w:rFonts w:hint="eastAsia" w:ascii="宋体" w:hAnsi="宋体" w:eastAsia="宋体" w:cs="宋体"/>
                <w:bCs/>
                <w:szCs w:val="21"/>
              </w:rPr>
              <w:t>存贮时间不少于</w:t>
            </w:r>
            <w:r>
              <w:rPr>
                <w:rFonts w:ascii="宋体" w:hAnsi="宋体" w:eastAsia="宋体" w:cs="宋体"/>
                <w:bCs/>
                <w:szCs w:val="21"/>
              </w:rPr>
              <w:t>1</w:t>
            </w:r>
            <w:r>
              <w:rPr>
                <w:rFonts w:hint="eastAsia" w:ascii="宋体" w:hAnsi="宋体" w:eastAsia="宋体" w:cs="宋体"/>
                <w:bCs/>
                <w:szCs w:val="21"/>
              </w:rPr>
              <w:t>年</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2台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海康</w:t>
            </w:r>
            <w:r>
              <w:rPr>
                <w:rFonts w:ascii="宋体" w:hAnsi="宋体" w:eastAsia="宋体" w:cs="宋体"/>
                <w:bCs/>
                <w:szCs w:val="21"/>
              </w:rPr>
              <w:t>/大华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监控硬盘</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18T</w:t>
            </w: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12000G，全新机械硬盘。硬盘质保</w:t>
            </w:r>
            <w:r>
              <w:rPr>
                <w:rFonts w:hint="eastAsia" w:ascii="宋体" w:hAnsi="宋体" w:eastAsia="宋体" w:cs="宋体"/>
                <w:bCs/>
                <w:szCs w:val="21"/>
              </w:rPr>
              <w:t>3</w:t>
            </w:r>
            <w:r>
              <w:rPr>
                <w:rFonts w:ascii="宋体" w:hAnsi="宋体" w:eastAsia="宋体" w:cs="宋体"/>
                <w:bCs/>
                <w:szCs w:val="21"/>
              </w:rPr>
              <w:t>年。</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5块</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西数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交换机</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8口百兆</w:t>
            </w: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8口百兆交换机</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1台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交换机</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16口百兆</w:t>
            </w: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16口百兆交换机</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1台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监视器</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尺寸不低于</w:t>
            </w:r>
            <w:r>
              <w:rPr>
                <w:rFonts w:ascii="宋体" w:hAnsi="宋体" w:eastAsia="宋体" w:cs="宋体"/>
                <w:bCs/>
                <w:szCs w:val="21"/>
              </w:rPr>
              <w:t>21寸</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2台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机柜</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ascii="宋体" w:hAnsi="宋体" w:eastAsia="宋体" w:cs="宋体"/>
                <w:bCs/>
                <w:szCs w:val="21"/>
              </w:rPr>
              <w:t>--</w:t>
            </w: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配置</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2台</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线缆</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r>
              <w:rPr>
                <w:rFonts w:hint="eastAsia" w:ascii="宋体" w:hAnsi="宋体" w:eastAsia="宋体" w:cs="宋体"/>
                <w:bCs/>
                <w:szCs w:val="21"/>
              </w:rPr>
              <w:t>有线传输</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按需</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hint="eastAsia" w:ascii="宋体" w:hAnsi="宋体" w:eastAsia="宋体" w:cs="宋体"/>
                <w:bCs/>
                <w:szCs w:val="21"/>
              </w:rPr>
              <w:t>安装附件</w:t>
            </w:r>
          </w:p>
        </w:tc>
        <w:tc>
          <w:tcPr>
            <w:tcW w:w="105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352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Cs w:val="21"/>
              </w:rPr>
            </w:pPr>
            <w:r>
              <w:rPr>
                <w:rFonts w:ascii="宋体" w:hAnsi="宋体" w:eastAsia="宋体" w:cs="宋体"/>
                <w:bCs/>
                <w:szCs w:val="21"/>
              </w:rPr>
              <w:t>2套</w:t>
            </w:r>
          </w:p>
        </w:tc>
        <w:tc>
          <w:tcPr>
            <w:tcW w:w="13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Cs/>
                <w:szCs w:val="21"/>
              </w:rPr>
            </w:pPr>
          </w:p>
        </w:tc>
      </w:tr>
    </w:tbl>
    <w:p>
      <w:pPr>
        <w:rPr>
          <w:rFonts w:hint="eastAsia" w:ascii="宋体" w:hAnsi="宋体" w:eastAsia="宋体"/>
        </w:rPr>
      </w:pPr>
    </w:p>
    <w:p>
      <w:pPr>
        <w:autoSpaceDE w:val="0"/>
        <w:autoSpaceDN w:val="0"/>
        <w:adjustRightInd w:val="0"/>
        <w:spacing w:line="360" w:lineRule="auto"/>
        <w:ind w:firstLine="480" w:firstLineChars="200"/>
        <w:jc w:val="left"/>
        <w:rPr>
          <w:rFonts w:hint="eastAsia" w:ascii="宋体" w:hAnsi="宋体" w:eastAsia="宋体"/>
          <w:kern w:val="0"/>
          <w:sz w:val="24"/>
        </w:rPr>
      </w:pPr>
      <w:r>
        <w:rPr>
          <w:rFonts w:hint="eastAsia" w:ascii="宋体" w:hAnsi="宋体" w:eastAsia="宋体"/>
          <w:kern w:val="0"/>
          <w:sz w:val="24"/>
        </w:rPr>
        <w:t>济南橡塑件公司系统配置清单（3套）</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050"/>
        <w:gridCol w:w="3529"/>
        <w:gridCol w:w="885"/>
        <w:gridCol w:w="1395"/>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
                <w:szCs w:val="21"/>
              </w:rPr>
            </w:pPr>
            <w:r>
              <w:rPr>
                <w:rFonts w:hint="eastAsia" w:ascii="宋体" w:hAnsi="宋体" w:eastAsia="宋体" w:cs="宋体"/>
                <w:b/>
                <w:szCs w:val="21"/>
              </w:rPr>
              <w:t>名称</w:t>
            </w:r>
          </w:p>
        </w:tc>
        <w:tc>
          <w:tcPr>
            <w:tcW w:w="1050" w:type="dxa"/>
            <w:vAlign w:val="center"/>
          </w:tcPr>
          <w:p>
            <w:pPr>
              <w:ind w:left="-105" w:leftChars="-50" w:right="-105" w:rightChars="-50"/>
              <w:jc w:val="center"/>
              <w:rPr>
                <w:rFonts w:hint="eastAsia" w:ascii="宋体" w:hAnsi="宋体" w:eastAsia="宋体" w:cs="宋体"/>
                <w:b/>
                <w:szCs w:val="21"/>
              </w:rPr>
            </w:pPr>
            <w:r>
              <w:rPr>
                <w:rFonts w:hint="eastAsia" w:ascii="宋体" w:hAnsi="宋体" w:eastAsia="宋体" w:cs="宋体"/>
                <w:b/>
                <w:szCs w:val="21"/>
              </w:rPr>
              <w:t>规格型号</w:t>
            </w:r>
          </w:p>
        </w:tc>
        <w:tc>
          <w:tcPr>
            <w:tcW w:w="3529" w:type="dxa"/>
            <w:vAlign w:val="center"/>
          </w:tcPr>
          <w:p>
            <w:pPr>
              <w:jc w:val="center"/>
              <w:rPr>
                <w:rFonts w:hint="eastAsia" w:ascii="宋体" w:hAnsi="宋体" w:eastAsia="宋体" w:cs="宋体"/>
                <w:b/>
                <w:szCs w:val="21"/>
              </w:rPr>
            </w:pPr>
            <w:r>
              <w:rPr>
                <w:rFonts w:hint="eastAsia" w:ascii="宋体" w:hAnsi="宋体" w:eastAsia="宋体" w:cs="宋体"/>
                <w:b/>
                <w:szCs w:val="21"/>
              </w:rPr>
              <w:t>主要技术指标</w:t>
            </w:r>
          </w:p>
        </w:tc>
        <w:tc>
          <w:tcPr>
            <w:tcW w:w="885" w:type="dxa"/>
            <w:vAlign w:val="center"/>
          </w:tcPr>
          <w:p>
            <w:pPr>
              <w:ind w:left="-105" w:leftChars="-50" w:right="-105" w:rightChars="-50"/>
              <w:jc w:val="center"/>
              <w:rPr>
                <w:rFonts w:hint="eastAsia" w:ascii="宋体" w:hAnsi="宋体" w:eastAsia="宋体" w:cs="宋体"/>
                <w:b/>
                <w:szCs w:val="21"/>
              </w:rPr>
            </w:pPr>
            <w:r>
              <w:rPr>
                <w:rFonts w:hint="eastAsia" w:ascii="宋体" w:hAnsi="宋体" w:eastAsia="宋体" w:cs="宋体"/>
                <w:b/>
                <w:szCs w:val="21"/>
              </w:rPr>
              <w:t>数量</w:t>
            </w:r>
          </w:p>
        </w:tc>
        <w:tc>
          <w:tcPr>
            <w:tcW w:w="1404" w:type="dxa"/>
            <w:gridSpan w:val="2"/>
            <w:vAlign w:val="center"/>
          </w:tcPr>
          <w:p>
            <w:pPr>
              <w:jc w:val="center"/>
              <w:rPr>
                <w:rFonts w:hint="eastAsia" w:ascii="宋体" w:hAnsi="宋体" w:eastAsia="宋体" w:cs="宋体"/>
                <w:b/>
                <w:szCs w:val="21"/>
              </w:rPr>
            </w:pPr>
            <w:r>
              <w:rPr>
                <w:rFonts w:hint="eastAsia" w:ascii="宋体" w:hAnsi="宋体" w:eastAsia="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ascii="宋体" w:hAnsi="宋体" w:eastAsia="宋体" w:cs="宋体"/>
                <w:bCs/>
                <w:szCs w:val="21"/>
              </w:rPr>
              <w:t>网络红外球机</w:t>
            </w:r>
          </w:p>
        </w:tc>
        <w:tc>
          <w:tcPr>
            <w:tcW w:w="1050" w:type="dxa"/>
            <w:vAlign w:val="center"/>
          </w:tcPr>
          <w:p>
            <w:pPr>
              <w:jc w:val="center"/>
              <w:rPr>
                <w:rFonts w:hint="eastAsia" w:ascii="宋体" w:hAnsi="宋体" w:eastAsia="宋体" w:cs="宋体"/>
                <w:bCs/>
                <w:szCs w:val="21"/>
              </w:rPr>
            </w:pPr>
          </w:p>
        </w:tc>
        <w:tc>
          <w:tcPr>
            <w:tcW w:w="3529" w:type="dxa"/>
            <w:vAlign w:val="center"/>
          </w:tcPr>
          <w:p>
            <w:pPr>
              <w:rPr>
                <w:rFonts w:hint="eastAsia" w:ascii="宋体" w:hAnsi="宋体" w:eastAsia="宋体" w:cs="宋体"/>
                <w:bCs/>
                <w:szCs w:val="21"/>
              </w:rPr>
            </w:pPr>
            <w:r>
              <w:rPr>
                <w:rFonts w:ascii="宋体" w:hAnsi="宋体" w:eastAsia="宋体" w:cs="宋体"/>
                <w:bCs/>
                <w:szCs w:val="21"/>
              </w:rPr>
              <w:t xml:space="preserve">不小于200万像素；支持H.265，H.264编码；支持ONVIF协议，GB28181协议； </w:t>
            </w:r>
          </w:p>
        </w:tc>
        <w:tc>
          <w:tcPr>
            <w:tcW w:w="885" w:type="dxa"/>
            <w:vAlign w:val="center"/>
          </w:tcPr>
          <w:p>
            <w:pPr>
              <w:jc w:val="center"/>
              <w:rPr>
                <w:rFonts w:hint="eastAsia" w:ascii="宋体" w:hAnsi="宋体" w:eastAsia="宋体" w:cs="宋体"/>
                <w:bCs/>
                <w:szCs w:val="21"/>
              </w:rPr>
            </w:pPr>
            <w:r>
              <w:rPr>
                <w:rFonts w:ascii="宋体" w:hAnsi="宋体" w:eastAsia="宋体" w:cs="宋体"/>
                <w:bCs/>
                <w:szCs w:val="21"/>
              </w:rPr>
              <w:t>1</w:t>
            </w:r>
            <w:r>
              <w:rPr>
                <w:rFonts w:hint="eastAsia" w:ascii="宋体" w:hAnsi="宋体" w:eastAsia="宋体" w:cs="宋体"/>
                <w:bCs/>
                <w:szCs w:val="21"/>
              </w:rPr>
              <w:t>5</w:t>
            </w:r>
            <w:r>
              <w:rPr>
                <w:rFonts w:ascii="宋体" w:hAnsi="宋体" w:eastAsia="宋体" w:cs="宋体"/>
                <w:bCs/>
                <w:szCs w:val="21"/>
              </w:rPr>
              <w:t>台</w:t>
            </w:r>
          </w:p>
        </w:tc>
        <w:tc>
          <w:tcPr>
            <w:tcW w:w="1404" w:type="dxa"/>
            <w:gridSpan w:val="2"/>
            <w:vAlign w:val="center"/>
          </w:tcPr>
          <w:p>
            <w:pPr>
              <w:jc w:val="center"/>
              <w:rPr>
                <w:rFonts w:hint="eastAsia" w:ascii="宋体" w:hAnsi="宋体" w:eastAsia="宋体" w:cs="宋体"/>
                <w:bCs/>
                <w:szCs w:val="21"/>
              </w:rPr>
            </w:pPr>
            <w:r>
              <w:rPr>
                <w:rFonts w:hint="eastAsia" w:ascii="宋体" w:hAnsi="宋体" w:eastAsia="宋体" w:cs="宋体"/>
                <w:bCs/>
                <w:szCs w:val="21"/>
              </w:rPr>
              <w:t>海康/大华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hint="eastAsia" w:ascii="宋体" w:hAnsi="宋体" w:eastAsia="宋体" w:cs="宋体"/>
                <w:bCs/>
                <w:szCs w:val="21"/>
              </w:rPr>
              <w:t>网络硬盘录像机</w:t>
            </w:r>
          </w:p>
        </w:tc>
        <w:tc>
          <w:tcPr>
            <w:tcW w:w="1050" w:type="dxa"/>
            <w:vAlign w:val="center"/>
          </w:tcPr>
          <w:p>
            <w:pPr>
              <w:jc w:val="center"/>
              <w:rPr>
                <w:rFonts w:hint="eastAsia" w:ascii="宋体" w:hAnsi="宋体" w:eastAsia="宋体" w:cs="宋体"/>
                <w:bCs/>
                <w:szCs w:val="21"/>
              </w:rPr>
            </w:pPr>
          </w:p>
        </w:tc>
        <w:tc>
          <w:tcPr>
            <w:tcW w:w="3529" w:type="dxa"/>
            <w:vAlign w:val="center"/>
          </w:tcPr>
          <w:p>
            <w:pPr>
              <w:rPr>
                <w:rFonts w:hint="eastAsia" w:ascii="宋体" w:hAnsi="宋体" w:eastAsia="宋体" w:cs="宋体"/>
                <w:bCs/>
                <w:szCs w:val="21"/>
              </w:rPr>
            </w:pPr>
            <w:r>
              <w:rPr>
                <w:rFonts w:ascii="宋体" w:hAnsi="宋体" w:eastAsia="宋体" w:cs="宋体"/>
                <w:bCs/>
                <w:szCs w:val="21"/>
              </w:rPr>
              <w:t>至少支持8路1080P高清摄像机输入，便于后期扩展；支持H.265，H.264编码；支持ONVIF协议，GB28181协议；最少支持</w:t>
            </w:r>
            <w:r>
              <w:rPr>
                <w:rFonts w:hint="eastAsia" w:ascii="宋体" w:hAnsi="宋体" w:eastAsia="宋体" w:cs="宋体"/>
                <w:bCs/>
                <w:szCs w:val="21"/>
              </w:rPr>
              <w:t>3</w:t>
            </w:r>
            <w:r>
              <w:rPr>
                <w:rFonts w:ascii="宋体" w:hAnsi="宋体" w:eastAsia="宋体" w:cs="宋体"/>
                <w:bCs/>
                <w:szCs w:val="21"/>
              </w:rPr>
              <w:t>块硬盘，保证视频录像存储时间不低于</w:t>
            </w:r>
            <w:r>
              <w:rPr>
                <w:rFonts w:hint="eastAsia" w:ascii="宋体" w:hAnsi="宋体" w:eastAsia="宋体" w:cs="宋体"/>
                <w:bCs/>
                <w:szCs w:val="21"/>
              </w:rPr>
              <w:t>1年</w:t>
            </w:r>
            <w:r>
              <w:rPr>
                <w:rFonts w:ascii="宋体" w:hAnsi="宋体" w:eastAsia="宋体" w:cs="宋体"/>
                <w:bCs/>
                <w:szCs w:val="21"/>
              </w:rPr>
              <w:t>；支持VGA、HDMI输出接口。</w:t>
            </w:r>
            <w:r>
              <w:rPr>
                <w:rFonts w:hint="eastAsia" w:ascii="宋体" w:hAnsi="宋体" w:eastAsia="宋体" w:cs="宋体"/>
                <w:bCs/>
                <w:szCs w:val="21"/>
              </w:rPr>
              <w:t>存贮时间不少于1年。</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台</w:t>
            </w:r>
          </w:p>
        </w:tc>
        <w:tc>
          <w:tcPr>
            <w:tcW w:w="1404" w:type="dxa"/>
            <w:gridSpan w:val="2"/>
            <w:vAlign w:val="center"/>
          </w:tcPr>
          <w:p>
            <w:pPr>
              <w:jc w:val="center"/>
              <w:rPr>
                <w:rFonts w:hint="eastAsia" w:ascii="宋体" w:hAnsi="宋体" w:eastAsia="宋体" w:cs="宋体"/>
                <w:bCs/>
                <w:szCs w:val="21"/>
              </w:rPr>
            </w:pPr>
            <w:r>
              <w:rPr>
                <w:rFonts w:hint="eastAsia" w:ascii="宋体" w:hAnsi="宋体" w:eastAsia="宋体" w:cs="宋体"/>
                <w:bCs/>
                <w:szCs w:val="21"/>
              </w:rPr>
              <w:t>海康/大华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ascii="宋体" w:hAnsi="宋体" w:eastAsia="宋体" w:cs="宋体"/>
                <w:bCs/>
                <w:szCs w:val="21"/>
              </w:rPr>
              <w:t>监控硬盘</w:t>
            </w:r>
          </w:p>
        </w:tc>
        <w:tc>
          <w:tcPr>
            <w:tcW w:w="1050" w:type="dxa"/>
            <w:vAlign w:val="center"/>
          </w:tcPr>
          <w:p>
            <w:pPr>
              <w:jc w:val="center"/>
              <w:rPr>
                <w:rFonts w:hint="eastAsia" w:ascii="宋体" w:hAnsi="宋体" w:eastAsia="宋体" w:cs="宋体"/>
                <w:bCs/>
                <w:szCs w:val="21"/>
              </w:rPr>
            </w:pPr>
            <w:r>
              <w:rPr>
                <w:rFonts w:hint="eastAsia" w:ascii="宋体" w:hAnsi="宋体" w:eastAsia="宋体" w:cs="宋体"/>
                <w:bCs/>
                <w:szCs w:val="21"/>
              </w:rPr>
              <w:t>18</w:t>
            </w:r>
            <w:r>
              <w:rPr>
                <w:rFonts w:ascii="宋体" w:hAnsi="宋体" w:eastAsia="宋体" w:cs="宋体"/>
                <w:bCs/>
                <w:szCs w:val="21"/>
              </w:rPr>
              <w:t>T</w:t>
            </w:r>
          </w:p>
        </w:tc>
        <w:tc>
          <w:tcPr>
            <w:tcW w:w="3529" w:type="dxa"/>
            <w:vAlign w:val="center"/>
          </w:tcPr>
          <w:p>
            <w:pPr>
              <w:rPr>
                <w:rFonts w:hint="eastAsia" w:ascii="宋体" w:hAnsi="宋体" w:eastAsia="宋体" w:cs="宋体"/>
                <w:bCs/>
                <w:szCs w:val="21"/>
              </w:rPr>
            </w:pPr>
            <w:r>
              <w:rPr>
                <w:rFonts w:hint="eastAsia" w:ascii="宋体" w:hAnsi="宋体" w:eastAsia="宋体" w:cs="宋体"/>
                <w:bCs/>
                <w:szCs w:val="21"/>
              </w:rPr>
              <w:t>12000G，</w:t>
            </w:r>
            <w:r>
              <w:rPr>
                <w:rFonts w:ascii="宋体" w:hAnsi="宋体" w:eastAsia="宋体" w:cs="宋体"/>
                <w:bCs/>
                <w:szCs w:val="21"/>
              </w:rPr>
              <w:t>全新机械硬盘。硬盘质保</w:t>
            </w:r>
            <w:r>
              <w:rPr>
                <w:rFonts w:hint="eastAsia" w:ascii="宋体" w:hAnsi="宋体" w:eastAsia="宋体" w:cs="宋体"/>
                <w:bCs/>
                <w:szCs w:val="21"/>
              </w:rPr>
              <w:t>3</w:t>
            </w:r>
            <w:r>
              <w:rPr>
                <w:rFonts w:ascii="宋体" w:hAnsi="宋体" w:eastAsia="宋体" w:cs="宋体"/>
                <w:bCs/>
                <w:szCs w:val="21"/>
              </w:rPr>
              <w:t>年。</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3块</w:t>
            </w:r>
          </w:p>
        </w:tc>
        <w:tc>
          <w:tcPr>
            <w:tcW w:w="1404" w:type="dxa"/>
            <w:gridSpan w:val="2"/>
            <w:vAlign w:val="center"/>
          </w:tcPr>
          <w:p>
            <w:pPr>
              <w:jc w:val="center"/>
              <w:rPr>
                <w:rFonts w:hint="eastAsia" w:ascii="宋体" w:hAnsi="宋体" w:eastAsia="宋体" w:cs="宋体"/>
                <w:bCs/>
                <w:szCs w:val="21"/>
              </w:rPr>
            </w:pPr>
            <w:r>
              <w:rPr>
                <w:rFonts w:hint="eastAsia" w:ascii="宋体" w:hAnsi="宋体" w:eastAsia="宋体" w:cs="宋体"/>
                <w:bCs/>
                <w:szCs w:val="21"/>
              </w:rPr>
              <w:t>西数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hint="eastAsia" w:ascii="宋体" w:hAnsi="宋体" w:eastAsia="宋体" w:cs="宋体"/>
                <w:bCs/>
                <w:szCs w:val="21"/>
              </w:rPr>
              <w:t>交换机</w:t>
            </w:r>
          </w:p>
        </w:tc>
        <w:tc>
          <w:tcPr>
            <w:tcW w:w="1050" w:type="dxa"/>
            <w:vAlign w:val="center"/>
          </w:tcPr>
          <w:p>
            <w:pPr>
              <w:jc w:val="center"/>
              <w:rPr>
                <w:rFonts w:hint="eastAsia" w:ascii="宋体" w:hAnsi="宋体" w:eastAsia="宋体" w:cs="宋体"/>
                <w:bCs/>
                <w:szCs w:val="21"/>
              </w:rPr>
            </w:pPr>
            <w:r>
              <w:rPr>
                <w:rFonts w:hint="eastAsia" w:ascii="宋体" w:hAnsi="宋体" w:eastAsia="宋体" w:cs="宋体"/>
                <w:bCs/>
                <w:szCs w:val="21"/>
              </w:rPr>
              <w:t>16</w:t>
            </w:r>
            <w:r>
              <w:rPr>
                <w:rFonts w:ascii="宋体" w:hAnsi="宋体" w:eastAsia="宋体" w:cs="宋体"/>
                <w:bCs/>
                <w:szCs w:val="21"/>
              </w:rPr>
              <w:t>口百兆</w:t>
            </w:r>
          </w:p>
        </w:tc>
        <w:tc>
          <w:tcPr>
            <w:tcW w:w="3529" w:type="dxa"/>
            <w:vAlign w:val="center"/>
          </w:tcPr>
          <w:p>
            <w:pPr>
              <w:rPr>
                <w:rFonts w:hint="eastAsia" w:ascii="宋体" w:hAnsi="宋体" w:eastAsia="宋体" w:cs="宋体"/>
                <w:bCs/>
                <w:szCs w:val="21"/>
              </w:rPr>
            </w:pPr>
            <w:r>
              <w:rPr>
                <w:rFonts w:hint="eastAsia" w:ascii="宋体" w:hAnsi="宋体" w:eastAsia="宋体" w:cs="宋体"/>
                <w:bCs/>
                <w:szCs w:val="21"/>
              </w:rPr>
              <w:t>16</w:t>
            </w:r>
            <w:r>
              <w:rPr>
                <w:rFonts w:ascii="宋体" w:hAnsi="宋体" w:eastAsia="宋体" w:cs="宋体"/>
                <w:bCs/>
                <w:szCs w:val="21"/>
              </w:rPr>
              <w:t>口百兆交换机</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台</w:t>
            </w:r>
          </w:p>
        </w:tc>
        <w:tc>
          <w:tcPr>
            <w:tcW w:w="1404" w:type="dxa"/>
            <w:gridSpan w:val="2"/>
            <w:vAlign w:val="center"/>
          </w:tcPr>
          <w:p>
            <w:pPr>
              <w:jc w:val="center"/>
              <w:rPr>
                <w:rFonts w:hint="eastAsia" w:ascii="宋体" w:hAnsi="宋体" w:eastAsia="宋体" w:cs="宋体"/>
                <w:bCs/>
                <w:szCs w:val="21"/>
              </w:rPr>
            </w:pPr>
            <w:r>
              <w:rPr>
                <w:rFonts w:ascii="宋体" w:hAnsi="宋体" w:eastAsia="宋体" w:cs="宋体"/>
                <w:bCs/>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ascii="宋体" w:hAnsi="宋体" w:eastAsia="宋体" w:cs="宋体"/>
                <w:bCs/>
                <w:szCs w:val="21"/>
              </w:rPr>
              <w:t>监视器</w:t>
            </w:r>
          </w:p>
        </w:tc>
        <w:tc>
          <w:tcPr>
            <w:tcW w:w="1050" w:type="dxa"/>
            <w:vAlign w:val="center"/>
          </w:tcPr>
          <w:p>
            <w:pPr>
              <w:jc w:val="center"/>
              <w:rPr>
                <w:rFonts w:hint="eastAsia" w:ascii="宋体" w:hAnsi="宋体" w:eastAsia="宋体" w:cs="宋体"/>
                <w:bCs/>
                <w:szCs w:val="21"/>
              </w:rPr>
            </w:pPr>
          </w:p>
        </w:tc>
        <w:tc>
          <w:tcPr>
            <w:tcW w:w="3529" w:type="dxa"/>
            <w:vAlign w:val="center"/>
          </w:tcPr>
          <w:p>
            <w:pPr>
              <w:rPr>
                <w:rFonts w:hint="eastAsia" w:ascii="宋体" w:hAnsi="宋体" w:eastAsia="宋体" w:cs="宋体"/>
                <w:bCs/>
                <w:szCs w:val="21"/>
              </w:rPr>
            </w:pPr>
            <w:r>
              <w:rPr>
                <w:rFonts w:hint="eastAsia" w:ascii="宋体" w:hAnsi="宋体" w:eastAsia="宋体" w:cs="宋体"/>
                <w:bCs/>
                <w:szCs w:val="21"/>
              </w:rPr>
              <w:t>尺寸不低于</w:t>
            </w:r>
            <w:r>
              <w:rPr>
                <w:rFonts w:ascii="宋体" w:hAnsi="宋体" w:eastAsia="宋体" w:cs="宋体"/>
                <w:bCs/>
                <w:szCs w:val="21"/>
              </w:rPr>
              <w:t>21寸</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台</w:t>
            </w:r>
          </w:p>
        </w:tc>
        <w:tc>
          <w:tcPr>
            <w:tcW w:w="1404" w:type="dxa"/>
            <w:gridSpan w:val="2"/>
            <w:vAlign w:val="center"/>
          </w:tcPr>
          <w:p>
            <w:pPr>
              <w:jc w:val="cente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jc w:val="center"/>
              <w:rPr>
                <w:rFonts w:hint="eastAsia" w:ascii="宋体" w:hAnsi="宋体" w:eastAsia="宋体" w:cs="宋体"/>
                <w:bCs/>
                <w:szCs w:val="21"/>
              </w:rPr>
            </w:pPr>
            <w:r>
              <w:rPr>
                <w:rFonts w:hint="eastAsia" w:ascii="宋体" w:hAnsi="宋体" w:eastAsia="宋体" w:cs="宋体"/>
                <w:bCs/>
                <w:szCs w:val="21"/>
              </w:rPr>
              <w:t>机柜</w:t>
            </w:r>
          </w:p>
        </w:tc>
        <w:tc>
          <w:tcPr>
            <w:tcW w:w="1050" w:type="dxa"/>
            <w:vAlign w:val="center"/>
          </w:tcPr>
          <w:p>
            <w:pPr>
              <w:jc w:val="center"/>
              <w:rPr>
                <w:rFonts w:hint="eastAsia" w:ascii="宋体" w:hAnsi="宋体" w:eastAsia="宋体" w:cs="宋体"/>
                <w:bCs/>
                <w:szCs w:val="21"/>
              </w:rPr>
            </w:pPr>
            <w:r>
              <w:rPr>
                <w:rFonts w:ascii="宋体" w:hAnsi="宋体" w:eastAsia="宋体" w:cs="宋体"/>
                <w:bCs/>
                <w:szCs w:val="21"/>
              </w:rPr>
              <w:t>--</w:t>
            </w:r>
          </w:p>
        </w:tc>
        <w:tc>
          <w:tcPr>
            <w:tcW w:w="3529" w:type="dxa"/>
            <w:vAlign w:val="center"/>
          </w:tcPr>
          <w:p>
            <w:pPr>
              <w:rPr>
                <w:rFonts w:hint="eastAsia" w:ascii="宋体" w:hAnsi="宋体" w:eastAsia="宋体" w:cs="宋体"/>
                <w:bCs/>
                <w:szCs w:val="21"/>
              </w:rPr>
            </w:pPr>
            <w:r>
              <w:rPr>
                <w:rFonts w:hint="eastAsia" w:ascii="宋体" w:hAnsi="宋体" w:eastAsia="宋体" w:cs="宋体"/>
                <w:bCs/>
                <w:szCs w:val="21"/>
              </w:rPr>
              <w:t>配置</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台</w:t>
            </w:r>
          </w:p>
        </w:tc>
        <w:tc>
          <w:tcPr>
            <w:tcW w:w="1404" w:type="dxa"/>
            <w:gridSpan w:val="2"/>
            <w:vAlign w:val="center"/>
          </w:tcPr>
          <w:p>
            <w:pPr>
              <w:jc w:val="center"/>
              <w:rPr>
                <w:rFonts w:hint="eastAsia" w:ascii="宋体" w:hAnsi="宋体" w:eastAsia="宋体" w:cs="宋体"/>
                <w:bCs/>
                <w:szCs w:val="21"/>
              </w:rPr>
            </w:pPr>
            <w:r>
              <w:rPr>
                <w:rFonts w:hint="eastAsia" w:ascii="宋体" w:hAnsi="宋体" w:eastAsia="宋体" w:cs="宋体"/>
                <w:bCs/>
                <w:szCs w:val="21"/>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vAlign w:val="center"/>
          </w:tcPr>
          <w:p>
            <w:pPr>
              <w:jc w:val="center"/>
              <w:rPr>
                <w:rFonts w:hint="eastAsia" w:ascii="宋体" w:hAnsi="宋体" w:eastAsia="宋体" w:cs="宋体"/>
                <w:bCs/>
                <w:szCs w:val="21"/>
              </w:rPr>
            </w:pPr>
            <w:r>
              <w:rPr>
                <w:rFonts w:hint="eastAsia" w:ascii="宋体" w:hAnsi="宋体" w:eastAsia="宋体" w:cs="宋体"/>
                <w:bCs/>
                <w:szCs w:val="21"/>
              </w:rPr>
              <w:t>线缆</w:t>
            </w:r>
          </w:p>
        </w:tc>
        <w:tc>
          <w:tcPr>
            <w:tcW w:w="1050" w:type="dxa"/>
            <w:vAlign w:val="center"/>
          </w:tcPr>
          <w:p>
            <w:pPr>
              <w:rPr>
                <w:rFonts w:hint="eastAsia" w:ascii="宋体" w:hAnsi="宋体" w:eastAsia="宋体" w:cs="宋体"/>
                <w:bCs/>
                <w:szCs w:val="21"/>
              </w:rPr>
            </w:pPr>
          </w:p>
        </w:tc>
        <w:tc>
          <w:tcPr>
            <w:tcW w:w="3529" w:type="dxa"/>
            <w:vAlign w:val="center"/>
          </w:tcPr>
          <w:p>
            <w:pPr>
              <w:rPr>
                <w:rFonts w:hint="eastAsia" w:ascii="宋体" w:hAnsi="宋体" w:eastAsia="宋体" w:cs="宋体"/>
                <w:bCs/>
                <w:szCs w:val="21"/>
              </w:rPr>
            </w:pPr>
            <w:r>
              <w:rPr>
                <w:rFonts w:hint="eastAsia" w:ascii="宋体" w:hAnsi="宋体" w:eastAsia="宋体" w:cs="宋体"/>
                <w:bCs/>
                <w:szCs w:val="21"/>
              </w:rPr>
              <w:t>有线传输</w:t>
            </w: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按需</w:t>
            </w:r>
          </w:p>
        </w:tc>
        <w:tc>
          <w:tcPr>
            <w:tcW w:w="1395" w:type="dxa"/>
            <w:vAlign w:val="center"/>
          </w:tcPr>
          <w:p>
            <w:pPr>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29" w:hRule="atLeast"/>
          <w:jc w:val="center"/>
        </w:trPr>
        <w:tc>
          <w:tcPr>
            <w:tcW w:w="1357" w:type="dxa"/>
            <w:vAlign w:val="center"/>
          </w:tcPr>
          <w:p>
            <w:pPr>
              <w:jc w:val="center"/>
              <w:rPr>
                <w:rFonts w:hint="eastAsia" w:ascii="宋体" w:hAnsi="宋体" w:eastAsia="宋体" w:cs="宋体"/>
                <w:bCs/>
                <w:szCs w:val="21"/>
              </w:rPr>
            </w:pPr>
            <w:r>
              <w:rPr>
                <w:rFonts w:hint="eastAsia" w:ascii="宋体" w:hAnsi="宋体" w:eastAsia="宋体" w:cs="宋体"/>
                <w:bCs/>
                <w:szCs w:val="21"/>
              </w:rPr>
              <w:t>安装附件</w:t>
            </w:r>
          </w:p>
        </w:tc>
        <w:tc>
          <w:tcPr>
            <w:tcW w:w="1050" w:type="dxa"/>
            <w:vAlign w:val="center"/>
          </w:tcPr>
          <w:p>
            <w:pPr>
              <w:rPr>
                <w:rFonts w:hint="eastAsia" w:ascii="宋体" w:hAnsi="宋体" w:eastAsia="宋体" w:cs="宋体"/>
                <w:bCs/>
                <w:szCs w:val="21"/>
              </w:rPr>
            </w:pPr>
          </w:p>
        </w:tc>
        <w:tc>
          <w:tcPr>
            <w:tcW w:w="3529" w:type="dxa"/>
            <w:vAlign w:val="center"/>
          </w:tcPr>
          <w:p>
            <w:pPr>
              <w:rPr>
                <w:rFonts w:hint="eastAsia" w:ascii="宋体" w:hAnsi="宋体" w:eastAsia="宋体" w:cs="宋体"/>
                <w:bCs/>
                <w:szCs w:val="21"/>
              </w:rPr>
            </w:pPr>
          </w:p>
        </w:tc>
        <w:tc>
          <w:tcPr>
            <w:tcW w:w="885" w:type="dxa"/>
            <w:vAlign w:val="center"/>
          </w:tcPr>
          <w:p>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套</w:t>
            </w:r>
          </w:p>
        </w:tc>
        <w:tc>
          <w:tcPr>
            <w:tcW w:w="1395" w:type="dxa"/>
            <w:vAlign w:val="center"/>
          </w:tcPr>
          <w:p>
            <w:pPr>
              <w:rPr>
                <w:rFonts w:hint="eastAsia" w:ascii="宋体" w:hAnsi="宋体" w:eastAsia="宋体" w:cs="宋体"/>
                <w:bCs/>
                <w:szCs w:val="21"/>
              </w:rPr>
            </w:pPr>
          </w:p>
        </w:tc>
      </w:tr>
    </w:tbl>
    <w:p>
      <w:pPr>
        <w:pStyle w:val="16"/>
        <w:rPr>
          <w:rFonts w:hint="eastAsia"/>
        </w:rPr>
      </w:pPr>
    </w:p>
    <w:p>
      <w:pPr>
        <w:pStyle w:val="6"/>
        <w:spacing w:before="0" w:after="0" w:line="360" w:lineRule="auto"/>
        <w:rPr>
          <w:rFonts w:hint="eastAsia" w:ascii="宋体" w:hAnsi="宋体"/>
          <w:sz w:val="28"/>
          <w:szCs w:val="28"/>
        </w:rPr>
      </w:pPr>
      <w:r>
        <w:rPr>
          <w:rFonts w:ascii="宋体" w:hAnsi="宋体"/>
          <w:sz w:val="28"/>
          <w:szCs w:val="28"/>
        </w:rPr>
        <w:t xml:space="preserve">3.5 </w:t>
      </w:r>
      <w:r>
        <w:rPr>
          <w:rFonts w:hint="eastAsia" w:ascii="宋体" w:hAnsi="宋体"/>
          <w:sz w:val="28"/>
          <w:szCs w:val="28"/>
        </w:rPr>
        <w:t>其他要求</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3.5.1 </w:t>
      </w:r>
      <w:r>
        <w:rPr>
          <w:rFonts w:hint="eastAsia" w:ascii="宋体" w:hAnsi="宋体" w:eastAsia="宋体" w:cs="FZZD Extra JW"/>
          <w:b/>
        </w:rPr>
        <w:t>联网备案</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投标人负责现场端和监控平台的数据传输，数据传输需执行《污染物在线监控（监测）系统数据传输标准》（</w:t>
      </w:r>
      <w:r>
        <w:rPr>
          <w:rFonts w:ascii="宋体" w:hAnsi="宋体" w:eastAsia="宋体" w:cs="宋体"/>
          <w:color w:val="000000"/>
          <w:sz w:val="24"/>
        </w:rPr>
        <w:t>HJ 212），自动监控设施数据采集</w:t>
      </w:r>
      <w:r>
        <w:rPr>
          <w:rFonts w:hint="eastAsia" w:ascii="宋体" w:hAnsi="宋体" w:eastAsia="宋体" w:cs="宋体"/>
          <w:color w:val="000000"/>
          <w:sz w:val="24"/>
        </w:rPr>
        <w:t>传输仪需满足《污染源在线自动监控（监测）数据采集传输仪技术要求》（</w:t>
      </w:r>
      <w:r>
        <w:rPr>
          <w:rFonts w:ascii="宋体" w:hAnsi="宋体" w:eastAsia="宋体" w:cs="宋体"/>
          <w:color w:val="000000"/>
          <w:sz w:val="24"/>
        </w:rPr>
        <w:t>HJ 477），不得添加其他可能干扰监测数据存储、处理、传输的软件或设备。如国家或山东省出台新的数据传输技术要求，投标人须配合招标人按要求及时更新。招标人有权选择</w:t>
      </w:r>
      <w:r>
        <w:rPr>
          <w:rFonts w:hint="eastAsia" w:ascii="宋体" w:hAnsi="宋体" w:eastAsia="宋体" w:cs="宋体"/>
          <w:color w:val="000000"/>
          <w:sz w:val="24"/>
        </w:rPr>
        <w:t>最经济、适用的第三方单位实施。</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自动监控设备完成安装、调试检测并和主管部门联网后，应及时进行备案收录。由投标人组织进行备案文件的编制，招标人配合投标人将相关材料形成《自动监控设备备案文件》，文件完成后</w:t>
      </w:r>
      <w:r>
        <w:rPr>
          <w:rFonts w:ascii="宋体" w:hAnsi="宋体" w:eastAsia="宋体" w:cs="宋体"/>
          <w:color w:val="000000"/>
          <w:sz w:val="24"/>
        </w:rPr>
        <w:t>5个工作日内投标人将备案文件（含电子版）报送至辖区环保主管部门备案收录。</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投标人免费提供系统备案前所需的设备、试剂、标准物质，应注明制备单位、制备人员、制备日期、物质浓度和有效期限等重要信息。</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联网备案需要的比对由投标人负责，投标人负责委托第三方比对机构进行现场比对检测，并出具有效的比对报告。</w:t>
      </w:r>
    </w:p>
    <w:p>
      <w:pPr>
        <w:pStyle w:val="76"/>
        <w:spacing w:line="360" w:lineRule="auto"/>
        <w:ind w:firstLine="422"/>
        <w:outlineLvl w:val="3"/>
        <w:rPr>
          <w:rFonts w:hint="eastAsia" w:ascii="宋体" w:hAnsi="宋体" w:eastAsia="宋体" w:cs="FZZD Extra JW"/>
          <w:b/>
        </w:rPr>
      </w:pPr>
      <w:r>
        <w:rPr>
          <w:rFonts w:ascii="宋体" w:hAnsi="宋体" w:eastAsia="宋体" w:cs="FZZD Extra JW"/>
          <w:b/>
        </w:rPr>
        <w:t xml:space="preserve">3.5.2 </w:t>
      </w:r>
      <w:r>
        <w:rPr>
          <w:rFonts w:hint="eastAsia" w:ascii="宋体" w:hAnsi="宋体" w:eastAsia="宋体" w:cs="FZZD Extra JW"/>
          <w:b/>
        </w:rPr>
        <w:t>产品质量及保证</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投标人保证所供产品必须是全新的，原装正品，完全符合国家规定的质量标准，并提供产品合格证明。</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在质量保证期内，发现货物的质量或规格与合同规定不符，或证明货物有缺陷，招标人有权向供方提出索赔。</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在质量保证期内，货物出现非人为质量问题，投标人应负责维修或更换。</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每台仪器须经检验合格后方可出厂，并附有产品合格证书。提供的设备符合投标文件承诺和所签合同规定的技术要求。</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安全要求：设备安全防护装置齐全，安全标识规范并汉化，符合有关招标人安全生产标准化及有关安全生产规定要求。</w:t>
      </w:r>
    </w:p>
    <w:p>
      <w:pPr>
        <w:pStyle w:val="76"/>
        <w:spacing w:line="360" w:lineRule="auto"/>
        <w:ind w:firstLine="422"/>
        <w:outlineLvl w:val="3"/>
        <w:rPr>
          <w:rFonts w:hint="eastAsia" w:ascii="宋体" w:hAnsi="宋体" w:eastAsia="宋体" w:cs="宋体"/>
        </w:rPr>
      </w:pPr>
      <w:r>
        <w:rPr>
          <w:rFonts w:ascii="宋体" w:hAnsi="宋体" w:eastAsia="宋体" w:cs="FZZD Extra JW"/>
          <w:b/>
        </w:rPr>
        <w:t xml:space="preserve">3.5.3 </w:t>
      </w:r>
      <w:bookmarkStart w:id="121" w:name="_Toc40372019"/>
      <w:bookmarkStart w:id="122" w:name="_Toc31125"/>
      <w:r>
        <w:rPr>
          <w:rFonts w:hint="eastAsia" w:ascii="宋体" w:hAnsi="宋体" w:eastAsia="宋体" w:cs="FZZD Extra JW"/>
          <w:b/>
        </w:rPr>
        <w:t>软件</w:t>
      </w:r>
      <w:bookmarkEnd w:id="121"/>
      <w:bookmarkEnd w:id="122"/>
    </w:p>
    <w:p>
      <w:pPr>
        <w:adjustRightInd w:val="0"/>
        <w:snapToGrid w:val="0"/>
        <w:spacing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1.操作系统为中文正版WINDOWS专业版系统。</w:t>
      </w:r>
    </w:p>
    <w:p>
      <w:pPr>
        <w:adjustRightInd w:val="0"/>
        <w:snapToGrid w:val="0"/>
        <w:spacing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2.应有能力在同一时间内以多重窗口方式实时显示多方面的资料，以便容易对多种不同运行状态进行全面分析。</w:t>
      </w:r>
    </w:p>
    <w:p>
      <w:pPr>
        <w:adjustRightInd w:val="0"/>
        <w:snapToGrid w:val="0"/>
        <w:spacing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3.管理人员可以根据预设的权限在系统内进行各项资料的存取和监控。</w:t>
      </w:r>
    </w:p>
    <w:p>
      <w:pPr>
        <w:adjustRightInd w:val="0"/>
        <w:snapToGrid w:val="0"/>
        <w:spacing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4.系统应具有数据实时备份功能，备份的方式应符合实际场地条件等。</w:t>
      </w:r>
    </w:p>
    <w:p>
      <w:pPr>
        <w:adjustRightInd w:val="0"/>
        <w:snapToGrid w:val="0"/>
        <w:spacing w:line="360" w:lineRule="auto"/>
        <w:ind w:firstLine="480" w:firstLineChars="200"/>
        <w:rPr>
          <w:rFonts w:hint="eastAsia" w:ascii="宋体" w:hAnsi="宋体" w:eastAsia="宋体" w:cs="宋体"/>
          <w:color w:val="000000"/>
          <w:sz w:val="24"/>
        </w:rPr>
      </w:pPr>
      <w:r>
        <w:rPr>
          <w:rFonts w:ascii="宋体" w:hAnsi="宋体" w:eastAsia="宋体" w:cs="宋体"/>
          <w:color w:val="000000"/>
          <w:sz w:val="24"/>
        </w:rPr>
        <w:t>5.供方需提供生产过程中突发停电情况下，软硬件系统处理方案</w:t>
      </w:r>
      <w:r>
        <w:rPr>
          <w:rFonts w:hint="eastAsia" w:ascii="宋体" w:hAnsi="宋体" w:eastAsia="宋体" w:cs="宋体"/>
          <w:color w:val="000000"/>
          <w:sz w:val="24"/>
        </w:rPr>
        <w:t>。</w:t>
      </w:r>
    </w:p>
    <w:p>
      <w:pPr>
        <w:pStyle w:val="76"/>
        <w:spacing w:line="360" w:lineRule="auto"/>
        <w:ind w:firstLine="422"/>
        <w:outlineLvl w:val="3"/>
        <w:rPr>
          <w:rFonts w:hint="eastAsia" w:ascii="宋体" w:hAnsi="宋体" w:eastAsia="宋体" w:cs="FZZD Extra JW"/>
          <w:b/>
        </w:rPr>
      </w:pPr>
      <w:bookmarkStart w:id="123" w:name="_Toc40372022"/>
      <w:bookmarkStart w:id="124" w:name="_Toc7074"/>
      <w:r>
        <w:rPr>
          <w:rFonts w:ascii="宋体" w:hAnsi="宋体" w:eastAsia="宋体" w:cs="FZZD Extra JW"/>
          <w:b/>
        </w:rPr>
        <w:t>3.5.4 安全环保要求</w:t>
      </w:r>
      <w:bookmarkEnd w:id="123"/>
      <w:bookmarkEnd w:id="124"/>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（1）设备需满足</w:t>
      </w:r>
      <w:r>
        <w:rPr>
          <w:rFonts w:ascii="宋体" w:hAnsi="宋体" w:eastAsia="宋体" w:cs="宋体"/>
          <w:color w:val="000000"/>
          <w:sz w:val="24"/>
        </w:rPr>
        <w:t>EHS相关法规，保证操作人员安全。提供详细的安全防护指引，防止人员使用过程受伤害。系统或设备应考虑人身、操作和设备安全，设置必要的警示、防护、控制、显示、故障连锁等有效可靠的机械防护结构和安全控制装置。</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（2）电气控制应设有过载保护、短路保护、漏电保护、缺相保护、欠压及失压保护和连锁等保护装置，以确保系统工作安全可靠、稳定。</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（3）控制柜必须有良好接地保护，防止触电事故发生。</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（4）低压接线（</w:t>
      </w:r>
      <w:r>
        <w:rPr>
          <w:rFonts w:ascii="宋体" w:hAnsi="宋体" w:eastAsia="宋体" w:cs="宋体"/>
          <w:color w:val="000000"/>
          <w:sz w:val="24"/>
        </w:rPr>
        <w:t>24VDC和通讯/信号线路）应与控制盒中的控制电压和较高的电压隔离开。</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（5）仪器仪表及传感器应符合相应行业的国家标准安全规范和</w:t>
      </w:r>
      <w:r>
        <w:rPr>
          <w:rFonts w:ascii="宋体" w:hAnsi="宋体" w:eastAsia="宋体" w:cs="宋体"/>
          <w:color w:val="000000"/>
          <w:sz w:val="24"/>
        </w:rPr>
        <w:t>GB50131-2013。</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（6）突然停电时设备应进入安全状态，全部关闭，当恢复供电，没有信号输出，设备不能重新启动。</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（7）设备的噪音等级应该尽可能的低，设备周围</w:t>
      </w:r>
      <w:r>
        <w:rPr>
          <w:rFonts w:ascii="宋体" w:hAnsi="宋体" w:eastAsia="宋体" w:cs="宋体"/>
          <w:color w:val="000000"/>
          <w:sz w:val="24"/>
        </w:rPr>
        <w:t>1米噪声不得超过75分贝。</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（8）设备应有清晰、醒目、耐用的安全标识。</w:t>
      </w:r>
    </w:p>
    <w:p>
      <w:pPr>
        <w:pStyle w:val="76"/>
        <w:spacing w:line="360" w:lineRule="auto"/>
        <w:ind w:firstLine="422"/>
        <w:outlineLvl w:val="3"/>
        <w:rPr>
          <w:rFonts w:hint="eastAsia" w:ascii="宋体" w:hAnsi="宋体" w:eastAsia="宋体" w:cs="FZZD Extra JW"/>
          <w:b/>
        </w:rPr>
      </w:pPr>
      <w:bookmarkStart w:id="125" w:name="_Toc24422"/>
      <w:bookmarkStart w:id="126" w:name="_Toc40372023"/>
      <w:r>
        <w:rPr>
          <w:rFonts w:ascii="宋体" w:hAnsi="宋体" w:eastAsia="宋体" w:cs="FZZD Extra JW"/>
          <w:b/>
        </w:rPr>
        <w:t>3.5.</w:t>
      </w:r>
      <w:bookmarkEnd w:id="125"/>
      <w:bookmarkEnd w:id="126"/>
      <w:bookmarkStart w:id="127" w:name="_Toc40372024"/>
      <w:bookmarkStart w:id="128" w:name="_Toc24621"/>
      <w:r>
        <w:rPr>
          <w:rFonts w:ascii="宋体" w:hAnsi="宋体" w:eastAsia="宋体" w:cs="FZZD Extra JW"/>
          <w:b/>
        </w:rPr>
        <w:t>5 施工要求</w:t>
      </w:r>
      <w:bookmarkEnd w:id="127"/>
      <w:bookmarkEnd w:id="128"/>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（1）有详细的工程组织计划，如人员配置、工程进度等；现场委派全天的有经验的项目经理，负责对该系统设计、安装、启动和调试进行直接监督，涉及危险作业的必须办理相关手续方可开始作业。</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（2）工程过程中的文件资料和安装测试资料须真实、准确的填写并保存。</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（3）供方负责新项目自控系统的安装、调试，需方工程师配合供方。</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（4）试运行阶段供方需派专人负责现场故障处理，配合需方做好试运行。</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供方施工时须遵守国家标准及行业相关标准，每根线路应标明线号，现场元器件应标明编号，控制柜应可靠接地或接零，确保自控系统的施工质量。施工期间供方人员及设备的安全由供方负责，供方人员必须遵守需方的相关规章制度，文明施工，在施工现场认真、反复调试程序，直到达到需方自控系统实际的工艺控制要求、试运行工作稳定及安全可靠为止。</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6</w:t>
      </w:r>
      <w:r>
        <w:rPr>
          <w:rFonts w:hint="eastAsia" w:ascii="宋体" w:hAnsi="宋体" w:eastAsia="宋体" w:cs="宋体"/>
          <w:color w:val="000000"/>
          <w:sz w:val="24"/>
        </w:rPr>
        <w:t>）供方应将需方控制系统做成一个交钥匙工程项目，交付的文件清单见“</w:t>
      </w:r>
      <w:r>
        <w:rPr>
          <w:rFonts w:ascii="宋体" w:hAnsi="宋体" w:eastAsia="宋体" w:cs="宋体"/>
          <w:color w:val="000000"/>
          <w:sz w:val="24"/>
        </w:rPr>
        <w:t>6.9文件资料要求”节。</w:t>
      </w:r>
    </w:p>
    <w:p>
      <w:pPr>
        <w:pStyle w:val="5"/>
        <w:rPr>
          <w:rFonts w:hint="eastAsia" w:ascii="宋体" w:hAnsi="宋体" w:cs="宋体"/>
          <w:szCs w:val="24"/>
        </w:rPr>
      </w:pPr>
      <w:r>
        <w:rPr>
          <w:rFonts w:ascii="宋体" w:hAnsi="宋体" w:cs="宋体"/>
          <w:szCs w:val="24"/>
        </w:rPr>
        <w:t xml:space="preserve">3.6 </w:t>
      </w:r>
      <w:r>
        <w:rPr>
          <w:rFonts w:hint="eastAsia" w:ascii="宋体" w:hAnsi="宋体" w:cs="宋体"/>
          <w:szCs w:val="24"/>
        </w:rPr>
        <w:t>供电</w:t>
      </w:r>
      <w:r>
        <w:rPr>
          <w:rFonts w:ascii="宋体" w:hAnsi="宋体" w:cs="宋体"/>
          <w:szCs w:val="24"/>
        </w:rPr>
        <w:t>方案</w:t>
      </w:r>
    </w:p>
    <w:p>
      <w:pPr>
        <w:spacing w:line="360" w:lineRule="auto"/>
        <w:ind w:firstLine="480"/>
        <w:rPr>
          <w:rFonts w:hint="eastAsia" w:ascii="宋体" w:hAnsi="宋体" w:eastAsia="宋体" w:cs="宋体"/>
          <w:color w:val="000000"/>
          <w:sz w:val="24"/>
        </w:rPr>
      </w:pPr>
      <w:r>
        <w:rPr>
          <w:rFonts w:ascii="宋体" w:hAnsi="宋体" w:eastAsia="宋体" w:cs="宋体"/>
          <w:color w:val="000000"/>
          <w:sz w:val="24"/>
        </w:rPr>
        <w:t>站房供电：380V 50Hz、三相五线制（零线和地线不可共用）12KW；</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提供</w:t>
      </w:r>
      <w:r>
        <w:rPr>
          <w:rFonts w:ascii="宋体" w:hAnsi="宋体" w:eastAsia="宋体" w:cs="宋体"/>
          <w:color w:val="000000"/>
          <w:sz w:val="24"/>
        </w:rPr>
        <w:t>接电点</w:t>
      </w:r>
      <w:r>
        <w:rPr>
          <w:rFonts w:hint="eastAsia" w:ascii="宋体" w:hAnsi="宋体" w:eastAsia="宋体" w:cs="宋体"/>
          <w:color w:val="000000"/>
          <w:sz w:val="24"/>
        </w:rPr>
        <w:t>，</w:t>
      </w:r>
      <w:r>
        <w:rPr>
          <w:rFonts w:ascii="宋体" w:hAnsi="宋体" w:eastAsia="宋体" w:cs="宋体"/>
          <w:color w:val="000000"/>
          <w:sz w:val="24"/>
        </w:rPr>
        <w:t>由投标方自行接电。</w:t>
      </w:r>
      <w:r>
        <w:rPr>
          <w:rFonts w:hint="eastAsia" w:ascii="宋体" w:hAnsi="宋体" w:eastAsia="宋体" w:cs="宋体"/>
          <w:color w:val="000000"/>
          <w:sz w:val="24"/>
        </w:rPr>
        <w:t>如</w:t>
      </w:r>
      <w:r>
        <w:rPr>
          <w:rFonts w:ascii="宋体" w:hAnsi="宋体" w:eastAsia="宋体" w:cs="宋体"/>
          <w:color w:val="000000"/>
          <w:sz w:val="24"/>
        </w:rPr>
        <w:t>断路器不合适，可自备更换</w:t>
      </w:r>
      <w:r>
        <w:rPr>
          <w:rFonts w:hint="eastAsia" w:ascii="宋体" w:hAnsi="宋体" w:eastAsia="宋体" w:cs="宋体"/>
          <w:color w:val="000000"/>
          <w:sz w:val="24"/>
        </w:rPr>
        <w:t>。</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卡车公司莱芜厂区</w:t>
      </w:r>
      <w:r>
        <w:rPr>
          <w:rFonts w:ascii="宋体" w:hAnsi="宋体" w:eastAsia="宋体" w:cs="宋体"/>
          <w:color w:val="000000"/>
          <w:sz w:val="24"/>
        </w:rPr>
        <w:t>建设位置</w:t>
      </w:r>
      <w:r>
        <w:rPr>
          <w:rFonts w:hint="eastAsia" w:ascii="宋体" w:hAnsi="宋体" w:eastAsia="宋体" w:cs="宋体"/>
          <w:color w:val="000000"/>
          <w:sz w:val="24"/>
        </w:rPr>
        <w:t>1：配电柜</w:t>
      </w:r>
      <w:r>
        <w:rPr>
          <w:rFonts w:ascii="宋体" w:hAnsi="宋体" w:eastAsia="宋体" w:cs="宋体"/>
          <w:color w:val="000000"/>
          <w:sz w:val="24"/>
        </w:rPr>
        <w:t>接电，</w:t>
      </w:r>
      <w:r>
        <w:rPr>
          <w:rFonts w:hint="eastAsia" w:ascii="宋体" w:hAnsi="宋体" w:eastAsia="宋体" w:cs="宋体"/>
          <w:color w:val="000000"/>
          <w:sz w:val="24"/>
        </w:rPr>
        <w:t>使用</w:t>
      </w:r>
      <w:r>
        <w:rPr>
          <w:rFonts w:ascii="宋体" w:hAnsi="宋体" w:eastAsia="宋体" w:cs="宋体"/>
          <w:color w:val="000000"/>
          <w:sz w:val="24"/>
        </w:rPr>
        <w:t>线缆</w:t>
      </w:r>
      <w:r>
        <w:rPr>
          <w:rFonts w:hint="eastAsia" w:ascii="宋体" w:hAnsi="宋体" w:eastAsia="宋体" w:cs="宋体"/>
          <w:color w:val="000000"/>
          <w:sz w:val="24"/>
        </w:rPr>
        <w:t>长度＜30</w:t>
      </w:r>
      <w:r>
        <w:rPr>
          <w:rFonts w:ascii="宋体" w:hAnsi="宋体" w:eastAsia="宋体" w:cs="宋体"/>
          <w:color w:val="000000"/>
          <w:sz w:val="24"/>
        </w:rPr>
        <w:t>m</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卡车公司莱芜厂区建设</w:t>
      </w:r>
      <w:r>
        <w:rPr>
          <w:rFonts w:ascii="宋体" w:hAnsi="宋体" w:eastAsia="宋体" w:cs="宋体"/>
          <w:color w:val="000000"/>
          <w:sz w:val="24"/>
        </w:rPr>
        <w:t>位置</w:t>
      </w:r>
      <w:r>
        <w:rPr>
          <w:rFonts w:hint="eastAsia" w:ascii="宋体" w:hAnsi="宋体" w:eastAsia="宋体" w:cs="宋体"/>
          <w:color w:val="000000"/>
          <w:sz w:val="24"/>
        </w:rPr>
        <w:t>2：</w:t>
      </w:r>
      <w:r>
        <w:rPr>
          <w:rFonts w:ascii="宋体" w:hAnsi="宋体" w:eastAsia="宋体" w:cs="宋体"/>
          <w:color w:val="000000"/>
          <w:sz w:val="24"/>
        </w:rPr>
        <w:t>配电</w:t>
      </w:r>
      <w:r>
        <w:rPr>
          <w:rFonts w:hint="eastAsia" w:ascii="宋体" w:hAnsi="宋体" w:eastAsia="宋体" w:cs="宋体"/>
          <w:color w:val="000000"/>
          <w:sz w:val="24"/>
        </w:rPr>
        <w:t>柜</w:t>
      </w:r>
      <w:r>
        <w:rPr>
          <w:rFonts w:ascii="宋体" w:hAnsi="宋体" w:eastAsia="宋体" w:cs="宋体"/>
          <w:color w:val="000000"/>
          <w:sz w:val="24"/>
        </w:rPr>
        <w:t>接电，使用线缆</w:t>
      </w:r>
      <w:r>
        <w:rPr>
          <w:rFonts w:hint="eastAsia" w:ascii="宋体" w:hAnsi="宋体" w:eastAsia="宋体" w:cs="宋体"/>
          <w:color w:val="000000"/>
          <w:sz w:val="24"/>
        </w:rPr>
        <w:t>长度</w:t>
      </w:r>
      <w:r>
        <w:rPr>
          <w:rFonts w:ascii="宋体" w:hAnsi="宋体" w:eastAsia="宋体" w:cs="宋体"/>
          <w:color w:val="000000"/>
          <w:sz w:val="24"/>
        </w:rPr>
        <w:t>＜</w:t>
      </w:r>
      <w:r>
        <w:rPr>
          <w:rFonts w:hint="eastAsia" w:ascii="宋体" w:hAnsi="宋体" w:eastAsia="宋体" w:cs="宋体"/>
          <w:color w:val="000000"/>
          <w:sz w:val="24"/>
        </w:rPr>
        <w:t>10</w:t>
      </w:r>
      <w:r>
        <w:rPr>
          <w:rFonts w:ascii="宋体" w:hAnsi="宋体" w:eastAsia="宋体" w:cs="宋体"/>
          <w:color w:val="000000"/>
          <w:sz w:val="24"/>
        </w:rPr>
        <w:t>m。</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卡车公司党家</w:t>
      </w:r>
      <w:r>
        <w:rPr>
          <w:rFonts w:ascii="宋体" w:hAnsi="宋体" w:eastAsia="宋体" w:cs="宋体"/>
          <w:color w:val="000000"/>
          <w:sz w:val="24"/>
        </w:rPr>
        <w:t>厂区</w:t>
      </w:r>
      <w:r>
        <w:rPr>
          <w:rFonts w:hint="eastAsia" w:ascii="宋体" w:hAnsi="宋体" w:eastAsia="宋体" w:cs="宋体"/>
          <w:color w:val="000000"/>
          <w:sz w:val="24"/>
        </w:rPr>
        <w:t>建设</w:t>
      </w:r>
      <w:r>
        <w:rPr>
          <w:rFonts w:ascii="宋体" w:hAnsi="宋体" w:eastAsia="宋体" w:cs="宋体"/>
          <w:color w:val="000000"/>
          <w:sz w:val="24"/>
        </w:rPr>
        <w:t>位置：母线</w:t>
      </w:r>
      <w:r>
        <w:rPr>
          <w:rFonts w:hint="eastAsia" w:ascii="宋体" w:hAnsi="宋体" w:eastAsia="宋体" w:cs="宋体"/>
          <w:color w:val="000000"/>
          <w:sz w:val="24"/>
        </w:rPr>
        <w:t>排</w:t>
      </w:r>
      <w:r>
        <w:rPr>
          <w:rFonts w:ascii="宋体" w:hAnsi="宋体" w:eastAsia="宋体" w:cs="宋体"/>
          <w:color w:val="000000"/>
          <w:sz w:val="24"/>
        </w:rPr>
        <w:t>接电，</w:t>
      </w:r>
      <w:r>
        <w:rPr>
          <w:rFonts w:hint="eastAsia" w:ascii="宋体" w:hAnsi="宋体" w:eastAsia="宋体" w:cs="宋体"/>
          <w:color w:val="000000"/>
          <w:sz w:val="24"/>
        </w:rPr>
        <w:t>自备</w:t>
      </w:r>
      <w:r>
        <w:rPr>
          <w:rFonts w:ascii="宋体" w:hAnsi="宋体" w:eastAsia="宋体" w:cs="宋体"/>
          <w:color w:val="000000"/>
          <w:sz w:val="24"/>
        </w:rPr>
        <w:t>插接箱，使用线缆</w:t>
      </w:r>
      <w:r>
        <w:rPr>
          <w:rFonts w:hint="eastAsia" w:ascii="宋体" w:hAnsi="宋体" w:eastAsia="宋体" w:cs="宋体"/>
          <w:color w:val="000000"/>
          <w:sz w:val="24"/>
        </w:rPr>
        <w:t>长度＜30</w:t>
      </w:r>
      <w:r>
        <w:rPr>
          <w:rFonts w:ascii="宋体" w:hAnsi="宋体" w:eastAsia="宋体" w:cs="宋体"/>
          <w:color w:val="000000"/>
          <w:sz w:val="24"/>
        </w:rPr>
        <w:t>m。</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橡塑件公司硫化现场分部（东）</w:t>
      </w:r>
      <w:r>
        <w:rPr>
          <w:rFonts w:ascii="宋体" w:hAnsi="宋体" w:eastAsia="宋体" w:cs="宋体"/>
          <w:color w:val="000000"/>
          <w:sz w:val="24"/>
        </w:rPr>
        <w:t>建设位置</w:t>
      </w:r>
      <w:r>
        <w:rPr>
          <w:rFonts w:hint="eastAsia" w:ascii="宋体" w:hAnsi="宋体" w:eastAsia="宋体" w:cs="宋体"/>
          <w:color w:val="000000"/>
          <w:sz w:val="24"/>
        </w:rPr>
        <w:t>1：配电柜</w:t>
      </w:r>
      <w:r>
        <w:rPr>
          <w:rFonts w:ascii="宋体" w:hAnsi="宋体" w:eastAsia="宋体" w:cs="宋体"/>
          <w:color w:val="000000"/>
          <w:sz w:val="24"/>
        </w:rPr>
        <w:t>接电，</w:t>
      </w:r>
      <w:r>
        <w:rPr>
          <w:rFonts w:hint="eastAsia" w:ascii="宋体" w:hAnsi="宋体" w:eastAsia="宋体" w:cs="宋体"/>
          <w:color w:val="000000"/>
          <w:sz w:val="24"/>
        </w:rPr>
        <w:t>使用</w:t>
      </w:r>
      <w:r>
        <w:rPr>
          <w:rFonts w:ascii="宋体" w:hAnsi="宋体" w:eastAsia="宋体" w:cs="宋体"/>
          <w:color w:val="000000"/>
          <w:sz w:val="24"/>
        </w:rPr>
        <w:t>线缆</w:t>
      </w:r>
      <w:r>
        <w:rPr>
          <w:rFonts w:hint="eastAsia" w:ascii="宋体" w:hAnsi="宋体" w:eastAsia="宋体" w:cs="宋体"/>
          <w:color w:val="000000"/>
          <w:sz w:val="24"/>
        </w:rPr>
        <w:t>长度＜30</w:t>
      </w:r>
      <w:r>
        <w:rPr>
          <w:rFonts w:ascii="宋体" w:hAnsi="宋体" w:eastAsia="宋体" w:cs="宋体"/>
          <w:color w:val="000000"/>
          <w:sz w:val="24"/>
        </w:rPr>
        <w:t>m</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橡塑件公司硫化现场分部（西）建设</w:t>
      </w:r>
      <w:r>
        <w:rPr>
          <w:rFonts w:ascii="宋体" w:hAnsi="宋体" w:eastAsia="宋体" w:cs="宋体"/>
          <w:color w:val="000000"/>
          <w:sz w:val="24"/>
        </w:rPr>
        <w:t>位置</w:t>
      </w:r>
      <w:r>
        <w:rPr>
          <w:rFonts w:hint="eastAsia" w:ascii="宋体" w:hAnsi="宋体" w:eastAsia="宋体" w:cs="宋体"/>
          <w:color w:val="000000"/>
          <w:sz w:val="24"/>
        </w:rPr>
        <w:t>2：</w:t>
      </w:r>
      <w:r>
        <w:rPr>
          <w:rFonts w:ascii="宋体" w:hAnsi="宋体" w:eastAsia="宋体" w:cs="宋体"/>
          <w:color w:val="000000"/>
          <w:sz w:val="24"/>
        </w:rPr>
        <w:t>配电</w:t>
      </w:r>
      <w:r>
        <w:rPr>
          <w:rFonts w:hint="eastAsia" w:ascii="宋体" w:hAnsi="宋体" w:eastAsia="宋体" w:cs="宋体"/>
          <w:color w:val="000000"/>
          <w:sz w:val="24"/>
        </w:rPr>
        <w:t>柜</w:t>
      </w:r>
      <w:r>
        <w:rPr>
          <w:rFonts w:ascii="宋体" w:hAnsi="宋体" w:eastAsia="宋体" w:cs="宋体"/>
          <w:color w:val="000000"/>
          <w:sz w:val="24"/>
        </w:rPr>
        <w:t>接电，使用线缆</w:t>
      </w:r>
      <w:r>
        <w:rPr>
          <w:rFonts w:hint="eastAsia" w:ascii="宋体" w:hAnsi="宋体" w:eastAsia="宋体" w:cs="宋体"/>
          <w:color w:val="000000"/>
          <w:sz w:val="24"/>
        </w:rPr>
        <w:t>长度</w:t>
      </w:r>
      <w:r>
        <w:rPr>
          <w:rFonts w:ascii="宋体" w:hAnsi="宋体" w:eastAsia="宋体" w:cs="宋体"/>
          <w:color w:val="000000"/>
          <w:sz w:val="24"/>
        </w:rPr>
        <w:t>＜</w:t>
      </w:r>
      <w:r>
        <w:rPr>
          <w:rFonts w:hint="eastAsia" w:ascii="宋体" w:hAnsi="宋体" w:eastAsia="宋体" w:cs="宋体"/>
          <w:color w:val="000000"/>
          <w:sz w:val="24"/>
        </w:rPr>
        <w:t>30</w:t>
      </w:r>
      <w:r>
        <w:rPr>
          <w:rFonts w:ascii="宋体" w:hAnsi="宋体" w:eastAsia="宋体" w:cs="宋体"/>
          <w:color w:val="000000"/>
          <w:sz w:val="24"/>
        </w:rPr>
        <w:t>m。</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橡塑件公司混炼现场分部</w:t>
      </w:r>
      <w:r>
        <w:rPr>
          <w:rFonts w:ascii="宋体" w:hAnsi="宋体" w:eastAsia="宋体" w:cs="宋体"/>
          <w:color w:val="000000"/>
          <w:sz w:val="24"/>
        </w:rPr>
        <w:t>建设位置</w:t>
      </w:r>
      <w:r>
        <w:rPr>
          <w:rFonts w:hint="eastAsia" w:ascii="宋体" w:hAnsi="宋体" w:eastAsia="宋体" w:cs="宋体"/>
          <w:color w:val="000000"/>
          <w:sz w:val="24"/>
        </w:rPr>
        <w:t>3：配电柜接电</w:t>
      </w:r>
      <w:r>
        <w:rPr>
          <w:rFonts w:ascii="宋体" w:hAnsi="宋体" w:eastAsia="宋体" w:cs="宋体"/>
          <w:color w:val="000000"/>
          <w:sz w:val="24"/>
        </w:rPr>
        <w:t>，使用线缆</w:t>
      </w:r>
      <w:r>
        <w:rPr>
          <w:rFonts w:hint="eastAsia" w:ascii="宋体" w:hAnsi="宋体" w:eastAsia="宋体" w:cs="宋体"/>
          <w:color w:val="000000"/>
          <w:sz w:val="24"/>
        </w:rPr>
        <w:t>长度＜30</w:t>
      </w:r>
      <w:r>
        <w:rPr>
          <w:rFonts w:ascii="宋体" w:hAnsi="宋体" w:eastAsia="宋体" w:cs="宋体"/>
          <w:color w:val="000000"/>
          <w:sz w:val="24"/>
        </w:rPr>
        <w:t>m。</w:t>
      </w:r>
    </w:p>
    <w:p>
      <w:pPr>
        <w:pStyle w:val="16"/>
        <w:rPr>
          <w:rFonts w:hint="eastAsia"/>
        </w:rPr>
      </w:pPr>
    </w:p>
    <w:bookmarkEnd w:id="105"/>
    <w:p>
      <w:pPr>
        <w:pStyle w:val="3"/>
        <w:numPr>
          <w:ilvl w:val="255"/>
          <w:numId w:val="0"/>
        </w:numPr>
        <w:tabs>
          <w:tab w:val="left" w:pos="0"/>
        </w:tabs>
        <w:snapToGrid w:val="0"/>
        <w:spacing w:line="360" w:lineRule="auto"/>
        <w:rPr>
          <w:rFonts w:hint="eastAsia" w:ascii="宋体" w:hAnsi="宋体" w:cs="宋体"/>
          <w:bCs w:val="0"/>
          <w:i w:val="0"/>
          <w:iCs w:val="0"/>
        </w:rPr>
      </w:pPr>
      <w:r>
        <w:rPr>
          <w:rFonts w:hint="eastAsia" w:ascii="宋体" w:hAnsi="宋体" w:cs="宋体"/>
          <w:bCs w:val="0"/>
          <w:i w:val="0"/>
          <w:iCs w:val="0"/>
        </w:rPr>
        <w:t>第二章 电气</w:t>
      </w:r>
      <w:r>
        <w:rPr>
          <w:rFonts w:ascii="宋体" w:hAnsi="宋体" w:cs="宋体"/>
          <w:bCs w:val="0"/>
          <w:i w:val="0"/>
          <w:iCs w:val="0"/>
        </w:rPr>
        <w:t>通用</w:t>
      </w:r>
      <w:r>
        <w:rPr>
          <w:rFonts w:hint="eastAsia" w:ascii="宋体" w:hAnsi="宋体" w:cs="宋体"/>
          <w:bCs w:val="0"/>
          <w:i w:val="0"/>
          <w:iCs w:val="0"/>
        </w:rPr>
        <w:t>技术规范</w:t>
      </w:r>
    </w:p>
    <w:p>
      <w:pPr>
        <w:pStyle w:val="128"/>
        <w:numPr>
          <w:ilvl w:val="0"/>
          <w:numId w:val="15"/>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基本要求</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color w:val="000000"/>
          <w:sz w:val="24"/>
          <w:szCs w:val="24"/>
        </w:rPr>
        <w:t>投标方所供的货物，必须符合中国最新版的法律、法规和相关标准、规范的要求，符合项目所在地政府有关特殊要求。严格保证设计质量，确保处理后排放废气指标达到国家和地方规定的排放标准</w:t>
      </w:r>
      <w:r>
        <w:rPr>
          <w:rFonts w:hint="eastAsia" w:ascii="宋体" w:hAnsi="宋体" w:eastAsia="宋体" w:cs="宋体"/>
          <w:sz w:val="24"/>
          <w:szCs w:val="24"/>
        </w:rPr>
        <w:t>。</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投标方所供设备涉及的专利权技术以及知识产权保护其它技术等，应保证招标方不因此受到第三方侵权指控以及实际损失。</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color w:val="000000"/>
          <w:sz w:val="24"/>
          <w:szCs w:val="24"/>
        </w:rPr>
        <w:t>投标方应保证所供货物的先进性、可靠性、经济性和实用性，并为全新货物（或设备）。</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color w:val="000000"/>
          <w:sz w:val="24"/>
          <w:szCs w:val="24"/>
        </w:rPr>
        <w:t>投标方应满足招标方提出的各项技术要求，必要时应当免费提供技术承诺或担保。</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color w:val="000000"/>
          <w:sz w:val="24"/>
          <w:szCs w:val="24"/>
        </w:rPr>
        <w:t>投标方保证所供货物的完整性和成套性，能保证货物的正常运行、使用。</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投标方应对招标方采购的设备所涉及的技术、产能等信息负有保密义务。</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color w:val="000000"/>
          <w:sz w:val="24"/>
          <w:szCs w:val="24"/>
        </w:rPr>
        <w:t>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本招标技术条件提出的是最低限度的技术要求，并未对一切技术细节做出规定，也未充分引述有关标准、规程和规范的条文，投标方应保证提供符合本招标技术条件和有关中国国家现行最新标准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若有异议，不管是多么微小，都应在投标文件“技术偏离”中予以详细说明。</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本技术要求所使用的标准、规范等，如与投标方所执行的标准、规范不一致时，应按高于本技术要求所列的标准、规范执行，并在投标文件“技术偏离”中予以说明。</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投标方认为所供货物（或生产线）必需由招标方配备、解决或提供的其它要求，如设备基础隔振和减振设施、软化水、洁净气源等，均应在投标文件“技术偏离”中予以充分说明。</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可以根据自身经验以及对本技术规范书和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numPr>
          <w:ilvl w:val="0"/>
          <w:numId w:val="16"/>
        </w:numPr>
        <w:snapToGrid w:val="0"/>
        <w:spacing w:line="360" w:lineRule="auto"/>
        <w:ind w:left="0" w:firstLine="0"/>
        <w:rPr>
          <w:rFonts w:hint="eastAsia" w:ascii="宋体" w:hAnsi="宋体" w:eastAsia="宋体" w:cs="宋体"/>
          <w:color w:val="000000"/>
          <w:sz w:val="24"/>
          <w:szCs w:val="24"/>
        </w:rPr>
      </w:pPr>
      <w:r>
        <w:rPr>
          <w:rFonts w:hint="eastAsia" w:ascii="宋体" w:hAnsi="宋体" w:eastAsia="宋体" w:cs="宋体"/>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numPr>
          <w:ilvl w:val="0"/>
          <w:numId w:val="16"/>
        </w:numPr>
        <w:snapToGrid w:val="0"/>
        <w:spacing w:line="360" w:lineRule="auto"/>
        <w:ind w:left="0" w:firstLine="0"/>
        <w:rPr>
          <w:rFonts w:hint="eastAsia" w:ascii="宋体" w:hAnsi="宋体" w:eastAsia="宋体" w:cs="宋体"/>
          <w:color w:val="000000"/>
          <w:sz w:val="24"/>
          <w:szCs w:val="24"/>
        </w:rPr>
      </w:pPr>
      <w:r>
        <w:rPr>
          <w:rFonts w:hint="eastAsia" w:ascii="宋体" w:hAnsi="宋体" w:eastAsia="宋体" w:cs="宋体"/>
          <w:sz w:val="24"/>
          <w:szCs w:val="24"/>
        </w:rPr>
        <w:t>在本标书中没有提及到的部分，所有供应商必须保证设备各部分功能齐全并便于使用，这部分价格应该包含在报价中，而不得另行加价。</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投标方不得在任何情况下以任何方式限制招标方对设备的使用，如定时或远程等方式锁定某设备。</w:t>
      </w:r>
    </w:p>
    <w:p>
      <w:pPr>
        <w:numPr>
          <w:ilvl w:val="0"/>
          <w:numId w:val="16"/>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投标方所供设备应按“交钥匙工程”要求。</w:t>
      </w:r>
    </w:p>
    <w:p>
      <w:pPr>
        <w:pStyle w:val="128"/>
        <w:numPr>
          <w:ilvl w:val="0"/>
          <w:numId w:val="15"/>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自动化控制要求</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自动化控制系统（PLC、工业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控制系统通讯应当满足下述工业通讯部分的要求。</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自动化控制系统建议选用西门子S7-1500系列PLC产品，S7-1500PLC适用于大、中规模的自动化控制系统、车间设备信息采集主控系统，S7-1200PLC适用于中、小规模的自动化控制系统。可选产品西门子S7-1500、S7-1200系列PLC，分别适用于大、中、小型自动化系统。</w:t>
      </w:r>
    </w:p>
    <w:p>
      <w:pPr>
        <w:numPr>
          <w:ilvl w:val="0"/>
          <w:numId w:val="18"/>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小型自动化系统指最大I/O点不大于50的应用，建议选择S7-1200系列PLC。</w:t>
      </w:r>
    </w:p>
    <w:p>
      <w:pPr>
        <w:numPr>
          <w:ilvl w:val="0"/>
          <w:numId w:val="18"/>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中型自动化系统指最大I/O点不大于100的应用,建议选择S7-1200系列PLC。</w:t>
      </w:r>
    </w:p>
    <w:p>
      <w:pPr>
        <w:numPr>
          <w:ilvl w:val="0"/>
          <w:numId w:val="18"/>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大型自动化系统指最大I/O点大于100的应用，建议选择S7-1500系列PLC。</w:t>
      </w:r>
    </w:p>
    <w:p>
      <w:pPr>
        <w:numPr>
          <w:ilvl w:val="0"/>
          <w:numId w:val="18"/>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有故障安全或安全停机要求的自动化控制系统应选择故障安全型PLC，如：s7-1215F、S7-1517F控制器。</w:t>
      </w:r>
    </w:p>
    <w:p>
      <w:pPr>
        <w:numPr>
          <w:ilvl w:val="0"/>
          <w:numId w:val="18"/>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有高可靠性要求的自动化控制系统应选择冗余PLC，如：S7-1500R/H 系列冗余控制系统。</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数据采集与监视控制系统（SCADA）建议选用西门子WINCC组态。</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编程组态工具：建议优先选用西门子TIA博图软件进行开发。PLC编程语言，符合GB/T 15969.3-2017 《可编程序控制器 第3部分：编程语言》（等同采用IEC61131-3标准）的梯形图（优选）及其它PLC常用语言。</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控制系统应采取有效措施，以防止各类计算机病毒的侵害和PLC系统内各存储器的数据丢失。系统设计应满足工业信息安全标准、规范。</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PLC控制系统应当留有以下的裕量：</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--最忙时，CPU的负荷率不大于50%。</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--内部存储器占用容量不大于50%，外部存储器占有容量不大于40%。</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--通讯总线负荷率不大于40%。</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--每种I/O点裕量10%-20%（具体根据项目确定，下同）</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--I/O模块槽裕量10%-20%（备用插槽应配置必要的硬件，保证今后插入模块即能投入运行）</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--电源负荷裕量大于30－40％〔备用模块插入后的裕量〕</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以上这些参数都应是按系统正式投运时的最终容量计算的百分比值。</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如控制系统包含在设备内，控制系统设计使用寿命应满足设备整体设计使用寿命的要求；独立采购的控制系统设计使用寿命应不低于15年,PLC所有模块（板）的平均无故障时间(MTBF)不小于20万小时。</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在执行合同的过程中，随着项目设计进程和技术资料逐渐完善，在不超出I/O信号总量的前提下，硬件、软件冻结前后，招标人对I/O信号及控制要求的变更，投标人应及时更新设计。在保证10%-20%备用量的前提下不增加费用。</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控制柜外壳防护等级：</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控制柜的外壳防护等级不宜低于IP67；</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环境及抗干扰</w:t>
      </w:r>
    </w:p>
    <w:p>
      <w:pPr>
        <w:numPr>
          <w:ilvl w:val="0"/>
          <w:numId w:val="19"/>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系统能在电子噪声、射频干扰及振动都很大的现场环境中连续运行，且不降低系统的性能。</w:t>
      </w:r>
    </w:p>
    <w:p>
      <w:pPr>
        <w:numPr>
          <w:ilvl w:val="0"/>
          <w:numId w:val="19"/>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系统设计应采用各种抗噪声技术，包括光电隔离、高共模抑制比、合理的接地和屏蔽。</w:t>
      </w:r>
    </w:p>
    <w:p>
      <w:pPr>
        <w:numPr>
          <w:ilvl w:val="0"/>
          <w:numId w:val="19"/>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在距电子设备1.2m以外发出的工作频率达470MHz、功率输出达5W的电磁干扰和射频干扰，不会影响系统正常工作。</w:t>
      </w:r>
    </w:p>
    <w:p>
      <w:pPr>
        <w:numPr>
          <w:ilvl w:val="0"/>
          <w:numId w:val="19"/>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系统应能在环境温度0～45℃（控制站0～50℃），相对湿度10～95%（不结露）的环境中连续运行。</w:t>
      </w:r>
    </w:p>
    <w:p>
      <w:pPr>
        <w:numPr>
          <w:ilvl w:val="0"/>
          <w:numId w:val="19"/>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系统抗干扰能力</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--共模电压不小于500V，继电器输出350V；</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--共模抑制比不小于120dB，50Hz； </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--差模电压不小于60V</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--差模抑制比不小于60dB；50Hz。</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控制柜和接线</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控制柜门应有导电门封垫条，以提高抗射频干扰（RFI）能力。</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控制柜的设计应满足电缆由柜底引入的要求，投标人提供的电缆接线应采用接线端子排方式，而非将电缆直接连接在元件端子上，内部接线应预置。</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对需散热的控制柜，投标人提供排气风扇和内部循环风扇。排气风扇和内部循环风扇应易于更换。风扇故障应有报警。当风扇不能满足控制柜散热要求时，投标人应当配置工业控制柜空调，在投标文件中注明，并单独报价。</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所提供的控制柜内应安装设温度检测开关，当温度过高时应进行报警。</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装有风扇的控制柜应提供易于更换的空气过滤器。</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控制柜内的端子排应布置在易于安装接线的地方，即为离柜底300mm以上和距柜顶150mm以下。</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控制柜（控制台）尺寸、颜色、外形结构相同，其控制柜、控制台颜色由招标人确定。控制柜外壳刚度能满足现场要求（最小厚度≥2mm）。控制柜内附有关本控制柜情况的资料袋。</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所有外部接线至少满足1.5m㎡线芯截面的接线要求。</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控制柜内的每个电气元件、端子排和端子都有清晰的标志，并与图纸和接线表相符。</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端子排、电缆夹头、电缆走线槽及接线槽均由“阻燃”型材料制造。</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控制系统使用的通讯、控制、电力电缆（包括两端的接触件），这些电缆符合国标防火标准。</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所有I/O模块和现场信号的接线接口应为接线端子排，卡件和端子排之间的连线在制造厂内接好，并在端子排上注有明显标记。</w:t>
      </w:r>
    </w:p>
    <w:p>
      <w:pPr>
        <w:numPr>
          <w:ilvl w:val="0"/>
          <w:numId w:val="20"/>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控制柜内应预留充足的空间，元器件安装裕量大于20%，使招标人能增加部分元器件，方便地接线、汇线、布线和查线。所有信号屏蔽层接地应在控制柜侧完成。</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控制系统应留有与MES系统的通讯接口。如需要则应提供冗余光纤、通讯电缆和全部通讯附件。投标人应根据招标人提供的MES、ERP或工厂自动化数据集成商给出的数据采集规范，将设备的过程数据、状态数据整理，写入PLC的存储区。投标人应保证无条件的与招标人选定的数据采集系统集成商、MES、ERP等软件供应商配合。数据交换规范以MES系统供应商提出的标准为准（或集团公司制造执行系统现场设备数据交换（采集）标准）。</w:t>
      </w:r>
    </w:p>
    <w:p>
      <w:pPr>
        <w:numPr>
          <w:ilvl w:val="0"/>
          <w:numId w:val="21"/>
        </w:numPr>
        <w:overflowPunct w:val="0"/>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设备控制系统向MES主控PLC（或上位机）提供的状态信息包含但不限于：</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--设备启动、停机信息；</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--上位机心跳：如0.5Hz,占空比50%的方波；</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--控制器（PLC）心跳：如0.5Hz,占空比50%的方波；控制器与设备（如：机器人）、HMI等设备间的心跳信号由系统集成商确定；</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--故障状态信息；</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--故障代码；</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--故障时间；</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--加工时间；</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--累计运行时间；</w:t>
      </w:r>
    </w:p>
    <w:p>
      <w:pPr>
        <w:overflowPunct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--生产计数（或加工循环计数）。</w:t>
      </w:r>
    </w:p>
    <w:p>
      <w:pPr>
        <w:numPr>
          <w:ilvl w:val="0"/>
          <w:numId w:val="21"/>
        </w:numPr>
        <w:overflowPunct w:val="0"/>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设备控制系统应支持常用OPC服务器（如：SIMATIC NET）将PLC的内存数据映射到上位机的OPC服务器中；或与MES主控PLC通讯，实现MES对设备过程、状态信息数据采集和控制信息的交互。</w:t>
      </w:r>
    </w:p>
    <w:p>
      <w:pPr>
        <w:numPr>
          <w:ilvl w:val="0"/>
          <w:numId w:val="17"/>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PLC控制系统应结合系统特点并按功能分散和物理分散的原则进行设计。</w:t>
      </w:r>
    </w:p>
    <w:p>
      <w:pPr>
        <w:pStyle w:val="128"/>
        <w:numPr>
          <w:ilvl w:val="0"/>
          <w:numId w:val="15"/>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工业通讯</w:t>
      </w:r>
    </w:p>
    <w:p>
      <w:pPr>
        <w:numPr>
          <w:ilvl w:val="0"/>
          <w:numId w:val="22"/>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设备、控制系统宜选用工业以太网，小型设备可选用RS485串行总线通讯方式。</w:t>
      </w:r>
    </w:p>
    <w:p>
      <w:pPr>
        <w:numPr>
          <w:ilvl w:val="0"/>
          <w:numId w:val="22"/>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通讯协议：宜采用ProfiNet；设备因实现特定应用，必须采用其它通讯协议的，项目实施部门应当充分论证。但设备与上位机（系统）通讯协议宜采用工业以太网，ProfiNet通讯协议。</w:t>
      </w:r>
    </w:p>
    <w:p>
      <w:pPr>
        <w:numPr>
          <w:ilvl w:val="0"/>
          <w:numId w:val="22"/>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能源采集通讯协议：宜采用Modbus-RTU、Modbus-TCP。</w:t>
      </w:r>
    </w:p>
    <w:p>
      <w:pPr>
        <w:numPr>
          <w:ilvl w:val="0"/>
          <w:numId w:val="22"/>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设备过程数据、状态数据的采集，宜采用OPC方式。</w:t>
      </w:r>
    </w:p>
    <w:p>
      <w:pPr>
        <w:numPr>
          <w:ilvl w:val="0"/>
          <w:numId w:val="22"/>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每台（套）设备控制系统应预留一个工业以太网模块（网卡，至少有一个网口），用于与上位系统（如：MES）通讯。</w:t>
      </w:r>
    </w:p>
    <w:p>
      <w:pPr>
        <w:pStyle w:val="128"/>
        <w:numPr>
          <w:ilvl w:val="0"/>
          <w:numId w:val="15"/>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工业信息安全</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规划时通过工业控制网络边界防护设备对工业控制网络与企业网或互联网之间的边界进行安全防护，禁止没有防护的工业控制网络与互联网连接。</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通过设置工业防火墙、网闸等设备对工业控制网络与企业网之间进行逻辑隔离安全防护。</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投标人在设计规划时，对工程师站、工业数据库、服务器等核心工业控制软硬件所在区域应采取访问控制、视频监控、专人值守等物理安全防护措施。</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较大规模的生产线（如：自动化冲压生产线），在工业主机登录、应用服务资源访问、SCADA软件登陆、控制系统维护等过程中应设计身份认证管理。对于关键设备、系统和平台的访问宜采用多因素认证。</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根据应用的重要性，对关键系统、网络设备、控制系统组件选择冗余配置。</w:t>
      </w:r>
    </w:p>
    <w:p>
      <w:pPr>
        <w:numPr>
          <w:ilvl w:val="0"/>
          <w:numId w:val="23"/>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投标人在设计规划时，应考虑重要工业数据进行保护，定期备份关键业务数据。</w:t>
      </w:r>
    </w:p>
    <w:p>
      <w:pPr>
        <w:pStyle w:val="128"/>
        <w:numPr>
          <w:ilvl w:val="0"/>
          <w:numId w:val="15"/>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节能</w:t>
      </w:r>
    </w:p>
    <w:p>
      <w:pPr>
        <w:numPr>
          <w:ilvl w:val="0"/>
          <w:numId w:val="24"/>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在满足生产线设备性能、可靠性、美观和国家标准等条件下(变频电机不参与国标电机能耗标准考核)，优先采购节能产品、环境标志产品和达到国家一级能效标准、节能评价值或国家“节能产品惠民工程”推广目录中的产品和设备。可参照节能机电设备(产品)推荐目录(工信部)、“能效之星立品目录(工信部)、“节能产品惠民工程”推广目录。不在节能评价值或国家“节能产品惠民工程推广目录中的产品和设备，对应国际标准电动机的能效等级不低于IE4。</w:t>
      </w:r>
    </w:p>
    <w:p>
      <w:pPr>
        <w:snapToGrid w:val="0"/>
        <w:spacing w:line="360" w:lineRule="auto"/>
        <w:rPr>
          <w:rFonts w:hint="eastAsia" w:ascii="宋体" w:hAnsi="宋体" w:eastAsia="宋体" w:cs="宋体"/>
          <w:sz w:val="24"/>
          <w:szCs w:val="24"/>
        </w:rPr>
      </w:pPr>
      <w:r>
        <w:rPr>
          <w:rFonts w:ascii="宋体" w:hAnsi="宋体" w:eastAsia="宋体" w:cs="宋体"/>
          <w:sz w:val="24"/>
          <w:szCs w:val="24"/>
        </w:rPr>
        <w:t>电机功率≥7.5kW，必须选用一级能效。电机功率＜7.5kW，优先选用一级能效；其中对于能源供应类设备及年运行时间≥2000h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r>
        <w:rPr>
          <w:rFonts w:hint="eastAsia" w:ascii="宋体" w:hAnsi="宋体" w:eastAsia="宋体" w:cs="宋体"/>
          <w:sz w:val="24"/>
          <w:szCs w:val="24"/>
        </w:rPr>
        <w:t>。</w:t>
      </w:r>
    </w:p>
    <w:p>
      <w:pPr>
        <w:numPr>
          <w:ilvl w:val="0"/>
          <w:numId w:val="24"/>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能源计量</w:t>
      </w:r>
    </w:p>
    <w:p>
      <w:pPr>
        <w:numPr>
          <w:ilvl w:val="0"/>
          <w:numId w:val="25"/>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主要用能设备应当按照GB17167《用能单位能源计量器具配备和管理通则》的要求配备能源计量器具。</w:t>
      </w:r>
    </w:p>
    <w:p>
      <w:pPr>
        <w:numPr>
          <w:ilvl w:val="0"/>
          <w:numId w:val="25"/>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当主要用能设备能源消耗量（或功率）达到下列限定值时，应当配备能源计量器具：</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--电力：55KW; 多功能电能表的准确度等级应不低于0.5S级。</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--天然气：40Nm3/h; 天然气计量表的准确度等级应不低于1.0级。</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--热（冷）水：1.4MW；热量计量表的准确度等级应不低于1.0级。</w:t>
      </w:r>
    </w:p>
    <w:p>
      <w:pPr>
        <w:numPr>
          <w:ilvl w:val="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--水：1t/h; 水计量表的准确度等级，管径不大于250mm应不低于2.5级。管径大于250mm应不低于1.5级。</w:t>
      </w:r>
    </w:p>
    <w:p>
      <w:pPr>
        <w:numPr>
          <w:ilvl w:val="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--其他：29.26GJ/h；计量表的准确度等级应不低于2.0级。</w:t>
      </w:r>
    </w:p>
    <w:p>
      <w:pPr>
        <w:numPr>
          <w:ilvl w:val="0"/>
          <w:numId w:val="25"/>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设备能源消耗（或功率）虽达不到上一的要求，但对需要测量能源消耗或能效的关键设备应当加装能源计量仪表。</w:t>
      </w:r>
    </w:p>
    <w:p>
      <w:pPr>
        <w:numPr>
          <w:ilvl w:val="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每一组动力柜的电源进线柜、每一组控制柜的进线柜需安装一块多功能电表；每一台功率55kW及以上的电动机或用电设备需安装一块多功能电表；需要通过电流、功率值进行状态监测的电动机根据应用需要确定是否安装多功能电表。</w:t>
      </w:r>
    </w:p>
    <w:p>
      <w:pPr>
        <w:numPr>
          <w:ilvl w:val="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--每一条生产线、组合式空调、热风炉等设备宜单独配备天然气、热（冷）水计量仪表。</w:t>
      </w:r>
    </w:p>
    <w:p>
      <w:pPr>
        <w:numPr>
          <w:ilvl w:val="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--消耗压缩空气大于等于1200Nm3/h的设备、生产线宜单独配备流量计。</w:t>
      </w:r>
    </w:p>
    <w:p>
      <w:pPr>
        <w:numPr>
          <w:ilvl w:val="0"/>
          <w:numId w:val="25"/>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能源计量仪表应带远传功能，通讯应满足第3条工业通讯的要求。</w:t>
      </w:r>
    </w:p>
    <w:p>
      <w:pPr>
        <w:numPr>
          <w:ilvl w:val="0"/>
          <w:numId w:val="25"/>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加装能源计量仪表的要求应写入设备招标文件，并包含在投标价格内。</w:t>
      </w:r>
    </w:p>
    <w:p>
      <w:pPr>
        <w:numPr>
          <w:ilvl w:val="0"/>
          <w:numId w:val="24"/>
        </w:numPr>
        <w:snapToGrid w:val="0"/>
        <w:spacing w:line="360" w:lineRule="auto"/>
        <w:ind w:left="0" w:firstLine="0"/>
        <w:rPr>
          <w:rFonts w:hint="eastAsia" w:ascii="宋体" w:hAnsi="宋体" w:eastAsia="宋体" w:cs="宋体"/>
          <w:sz w:val="24"/>
          <w:szCs w:val="24"/>
        </w:rPr>
      </w:pPr>
      <w:r>
        <w:rPr>
          <w:rFonts w:hint="eastAsia" w:ascii="宋体" w:hAnsi="宋体" w:eastAsia="宋体" w:cs="宋体"/>
          <w:sz w:val="24"/>
          <w:szCs w:val="24"/>
        </w:rPr>
        <w:t>能源计量仪表配备要求</w:t>
      </w:r>
    </w:p>
    <w:tbl>
      <w:tblPr>
        <w:tblStyle w:val="38"/>
        <w:tblW w:w="8672" w:type="dxa"/>
        <w:tblInd w:w="0" w:type="dxa"/>
        <w:tblLayout w:type="autofit"/>
        <w:tblCellMar>
          <w:top w:w="0" w:type="dxa"/>
          <w:left w:w="108" w:type="dxa"/>
          <w:bottom w:w="0" w:type="dxa"/>
          <w:right w:w="108" w:type="dxa"/>
        </w:tblCellMar>
      </w:tblPr>
      <w:tblGrid>
        <w:gridCol w:w="421"/>
        <w:gridCol w:w="576"/>
        <w:gridCol w:w="666"/>
        <w:gridCol w:w="756"/>
        <w:gridCol w:w="2977"/>
        <w:gridCol w:w="936"/>
        <w:gridCol w:w="751"/>
        <w:gridCol w:w="1589"/>
      </w:tblGrid>
      <w:tr>
        <w:tblPrEx>
          <w:tblCellMar>
            <w:top w:w="0" w:type="dxa"/>
            <w:left w:w="108" w:type="dxa"/>
            <w:bottom w:w="0" w:type="dxa"/>
            <w:right w:w="108" w:type="dxa"/>
          </w:tblCellMar>
        </w:tblPrEx>
        <w:trPr>
          <w:trHeight w:val="702" w:hRule="atLeast"/>
        </w:trPr>
        <w:tc>
          <w:tcPr>
            <w:tcW w:w="4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序号</w:t>
            </w:r>
          </w:p>
        </w:tc>
        <w:tc>
          <w:tcPr>
            <w:tcW w:w="5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仪表种类</w:t>
            </w:r>
          </w:p>
        </w:tc>
        <w:tc>
          <w:tcPr>
            <w:tcW w:w="6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接口标准</w:t>
            </w:r>
          </w:p>
        </w:tc>
        <w:tc>
          <w:tcPr>
            <w:tcW w:w="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协议</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参数</w:t>
            </w:r>
          </w:p>
        </w:tc>
        <w:tc>
          <w:tcPr>
            <w:tcW w:w="9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波特率</w:t>
            </w:r>
          </w:p>
        </w:tc>
        <w:tc>
          <w:tcPr>
            <w:tcW w:w="7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精度</w:t>
            </w:r>
          </w:p>
        </w:tc>
        <w:tc>
          <w:tcPr>
            <w:tcW w:w="15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备注</w:t>
            </w:r>
          </w:p>
        </w:tc>
      </w:tr>
      <w:tr>
        <w:tblPrEx>
          <w:tblCellMar>
            <w:top w:w="0" w:type="dxa"/>
            <w:left w:w="108" w:type="dxa"/>
            <w:bottom w:w="0" w:type="dxa"/>
            <w:right w:w="108" w:type="dxa"/>
          </w:tblCellMar>
        </w:tblPrEx>
        <w:trPr>
          <w:trHeight w:val="2265"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多功能电表</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r>
              <w:rPr>
                <w:rFonts w:hint="eastAsia" w:ascii="宋体" w:hAnsi="宋体" w:eastAsia="宋体" w:cs="宋体"/>
                <w:b/>
                <w:bCs/>
                <w:color w:val="000000"/>
                <w:kern w:val="0"/>
                <w:sz w:val="18"/>
                <w:szCs w:val="18"/>
              </w:rPr>
              <w:t>（双接口）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压电流、有功功率、无功功率、视在功率、功率因数、有功电能、无功电能、视在电能、三相电压/电流奇次、偶次及总谐波率、三相电压/电流分次谐波畸变率（2-63次）、电压/电流不平衡度及电压偏差、频率偏差、电压三相不平衡、电流三相不平衡、频率、实时需量、预测需量、滑动需量、最值记录、分时计费功能</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38400bps</w:t>
            </w:r>
          </w:p>
        </w:tc>
        <w:tc>
          <w:tcPr>
            <w:tcW w:w="7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0.5S%</w:t>
            </w:r>
          </w:p>
        </w:tc>
        <w:tc>
          <w:tcPr>
            <w:tcW w:w="15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配电所、车间变配电所高低压计量或重要工艺用电设备。配电所、</w:t>
            </w:r>
            <w:r>
              <w:rPr>
                <w:rFonts w:hint="eastAsia" w:ascii="宋体" w:hAnsi="宋体" w:eastAsia="宋体" w:cs="宋体"/>
                <w:b/>
                <w:bCs/>
                <w:color w:val="000000"/>
                <w:kern w:val="0"/>
                <w:sz w:val="18"/>
                <w:szCs w:val="18"/>
              </w:rPr>
              <w:t>车间变配电所高低压计量多功能电表需要双RS485接口型号</w:t>
            </w:r>
          </w:p>
        </w:tc>
      </w:tr>
      <w:tr>
        <w:tblPrEx>
          <w:tblCellMar>
            <w:top w:w="0" w:type="dxa"/>
            <w:left w:w="108" w:type="dxa"/>
            <w:bottom w:w="0" w:type="dxa"/>
            <w:right w:w="108" w:type="dxa"/>
          </w:tblCellMar>
        </w:tblPrEx>
        <w:trPr>
          <w:trHeight w:val="1140"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多功能电表</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三相电压、三相电流、有功功率、无功功率、视在功率、功率因数、有功电能、无功电能、视在电能、频率</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38400bps</w:t>
            </w:r>
          </w:p>
        </w:tc>
        <w:tc>
          <w:tcPr>
            <w:tcW w:w="7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0.5S%</w:t>
            </w:r>
          </w:p>
        </w:tc>
        <w:tc>
          <w:tcPr>
            <w:tcW w:w="158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照明、风机等公用动力设备配电柜（箱）</w:t>
            </w:r>
          </w:p>
        </w:tc>
      </w:tr>
      <w:tr>
        <w:tblPrEx>
          <w:tblCellMar>
            <w:top w:w="0" w:type="dxa"/>
            <w:left w:w="108" w:type="dxa"/>
            <w:bottom w:w="0" w:type="dxa"/>
            <w:right w:w="108" w:type="dxa"/>
          </w:tblCellMar>
        </w:tblPrEx>
        <w:trPr>
          <w:trHeight w:val="702"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流量计</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压力、温度、流速、瞬时流量、累积流量</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19200bps</w:t>
            </w:r>
          </w:p>
        </w:tc>
        <w:tc>
          <w:tcPr>
            <w:tcW w:w="7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0.5%</w:t>
            </w:r>
          </w:p>
        </w:tc>
        <w:tc>
          <w:tcPr>
            <w:tcW w:w="15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水、压缩空气</w:t>
            </w:r>
          </w:p>
        </w:tc>
      </w:tr>
      <w:tr>
        <w:tblPrEx>
          <w:tblCellMar>
            <w:top w:w="0" w:type="dxa"/>
            <w:left w:w="108" w:type="dxa"/>
            <w:bottom w:w="0" w:type="dxa"/>
            <w:right w:w="108" w:type="dxa"/>
          </w:tblCellMar>
        </w:tblPrEx>
        <w:trPr>
          <w:trHeight w:val="702"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流量计</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压力、温度、流速、瞬时流量、累积流量</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19200bps</w:t>
            </w:r>
          </w:p>
        </w:tc>
        <w:tc>
          <w:tcPr>
            <w:tcW w:w="7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w:t>
            </w:r>
          </w:p>
        </w:tc>
        <w:tc>
          <w:tcPr>
            <w:tcW w:w="15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天然气</w:t>
            </w:r>
          </w:p>
        </w:tc>
      </w:tr>
      <w:tr>
        <w:tblPrEx>
          <w:tblCellMar>
            <w:top w:w="0" w:type="dxa"/>
            <w:left w:w="108" w:type="dxa"/>
            <w:bottom w:w="0" w:type="dxa"/>
            <w:right w:w="108" w:type="dxa"/>
          </w:tblCellMar>
        </w:tblPrEx>
        <w:trPr>
          <w:trHeight w:val="702" w:hRule="atLeast"/>
        </w:trPr>
        <w:tc>
          <w:tcPr>
            <w:tcW w:w="4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57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冷、热量计</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供/回水温度、流速、流量、瞬时/累积热量、瞬时/累积冷流量、净累积冷\热量</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19200bps</w:t>
            </w:r>
          </w:p>
        </w:tc>
        <w:tc>
          <w:tcPr>
            <w:tcW w:w="7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w:t>
            </w:r>
          </w:p>
        </w:tc>
        <w:tc>
          <w:tcPr>
            <w:tcW w:w="158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冷冻水、高温热水</w:t>
            </w:r>
          </w:p>
        </w:tc>
      </w:tr>
      <w:tr>
        <w:tblPrEx>
          <w:tblCellMar>
            <w:top w:w="0" w:type="dxa"/>
            <w:left w:w="108" w:type="dxa"/>
            <w:bottom w:w="0" w:type="dxa"/>
            <w:right w:w="108" w:type="dxa"/>
          </w:tblCellMar>
        </w:tblPrEx>
        <w:trPr>
          <w:trHeight w:val="702" w:hRule="atLeast"/>
        </w:trPr>
        <w:tc>
          <w:tcPr>
            <w:tcW w:w="4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5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远传水表</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RS485 串口</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Modbus RTU</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累积流量</w:t>
            </w:r>
          </w:p>
        </w:tc>
        <w:tc>
          <w:tcPr>
            <w:tcW w:w="9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19200bps</w:t>
            </w:r>
          </w:p>
        </w:tc>
        <w:tc>
          <w:tcPr>
            <w:tcW w:w="7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p>
        </w:tc>
        <w:tc>
          <w:tcPr>
            <w:tcW w:w="15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w:t>
            </w:r>
          </w:p>
        </w:tc>
      </w:tr>
    </w:tbl>
    <w:p>
      <w:pPr>
        <w:spacing w:line="360" w:lineRule="auto"/>
        <w:rPr>
          <w:rFonts w:hint="eastAsia" w:ascii="宋体" w:hAnsi="宋体" w:eastAsia="宋体" w:cs="宋体"/>
          <w:sz w:val="24"/>
          <w:szCs w:val="24"/>
        </w:rPr>
      </w:pP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注：1、所有仪表需经山东省、济南市计量研究院或有资质的计量单位检定合格。</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2、设备上安装的多功能电表三相电压/电流分次谐波畸变率（2-31次）。</w:t>
      </w:r>
    </w:p>
    <w:p>
      <w:pPr>
        <w:pStyle w:val="3"/>
        <w:numPr>
          <w:ilvl w:val="255"/>
          <w:numId w:val="0"/>
        </w:numPr>
        <w:tabs>
          <w:tab w:val="left" w:pos="0"/>
        </w:tabs>
        <w:snapToGrid w:val="0"/>
        <w:spacing w:line="360" w:lineRule="auto"/>
        <w:rPr>
          <w:rFonts w:hint="eastAsia" w:ascii="宋体" w:hAnsi="宋体" w:cs="宋体"/>
          <w:bCs w:val="0"/>
          <w:i w:val="0"/>
          <w:iCs w:val="0"/>
        </w:rPr>
      </w:pPr>
      <w:r>
        <w:rPr>
          <w:rFonts w:hint="eastAsia" w:ascii="宋体" w:hAnsi="宋体" w:cs="宋体"/>
          <w:bCs w:val="0"/>
          <w:i w:val="0"/>
          <w:iCs w:val="0"/>
        </w:rPr>
        <w:t>第三章 技术资料</w:t>
      </w:r>
    </w:p>
    <w:p>
      <w:pPr>
        <w:pStyle w:val="5"/>
        <w:rPr>
          <w:rFonts w:hint="eastAsia" w:ascii="宋体" w:hAnsi="宋体" w:cs="宋体"/>
          <w:szCs w:val="24"/>
        </w:rPr>
      </w:pPr>
      <w:r>
        <w:rPr>
          <w:rFonts w:hint="eastAsia" w:ascii="宋体" w:hAnsi="宋体" w:cs="宋体"/>
          <w:szCs w:val="24"/>
        </w:rPr>
        <w:t>一</w:t>
      </w:r>
      <w:r>
        <w:rPr>
          <w:rFonts w:ascii="宋体" w:hAnsi="宋体" w:cs="宋体"/>
          <w:szCs w:val="24"/>
        </w:rPr>
        <w:t>、</w:t>
      </w:r>
      <w:r>
        <w:rPr>
          <w:rFonts w:hint="eastAsia" w:ascii="宋体" w:hAnsi="宋体" w:cs="宋体"/>
          <w:szCs w:val="24"/>
        </w:rPr>
        <w:t>硬件资料</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投标人至少应提供下列手册和图纸：</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--设备竣工图（包括总图、基础图、装配图、机械原理图、气动、液压原理图、电气原理图、接线图和元器件布置图、PLC 梯形图、变频器的组态文件、HMI的组态文件等）</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--设备硬件手册。</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--设备操作手册（含安全操作规程、操作和安全事项的使用说明书）。</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--设备维护手册（含润滑图表、含有易损件的检查更换指南、易损件使用时间）。</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--设备组态手册。</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--仪器仪表检定证书和使用维修说明书。</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--构成设备所有部件的原理图。</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--内部布置图。</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--符合招标人要求格式的外部连接图，图上应有电缆编号和端子编号。</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--每只控制柜、操作台的总布置图，这些图中应标明各模件和组装件的编号，并包括正视图、后视图、开孔图、总尺寸及开门所需的净空距离。</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--所有控制和调整装置在维护时所需的校验曲线。</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--所有卖方外购设备手册。</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PLC使用的部件详图。</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--安装步骤、包括装配细节、设备散热和设备重量等。</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--材料清册，包括备件、易损件和耗材清单。</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--所有外围设备的样本（包括主机、显示器、键盘、打印机等）。</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--产品合格证。</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--开箱记录等随机文件材料。</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--施工文件。</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--用于说明采购件名称、型号、规格、厂家等的采购件明细表。</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--设备出厂所必须的精度检验证书、性能测试记录和报告。</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--设备分支动力管线的设计竣工图。</w:t>
      </w:r>
    </w:p>
    <w:p>
      <w:pPr>
        <w:pStyle w:val="5"/>
      </w:pPr>
      <w:r>
        <w:rPr>
          <w:rFonts w:hint="eastAsia" w:ascii="宋体" w:hAnsi="宋体" w:cs="宋体"/>
          <w:szCs w:val="24"/>
        </w:rPr>
        <w:t>二</w:t>
      </w:r>
      <w:r>
        <w:rPr>
          <w:rFonts w:ascii="宋体" w:hAnsi="宋体" w:cs="宋体"/>
          <w:szCs w:val="24"/>
        </w:rPr>
        <w:t>、</w:t>
      </w:r>
      <w:r>
        <w:rPr>
          <w:rFonts w:hint="eastAsia"/>
        </w:rPr>
        <w:t>软件资料</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--设备可编程器件（PLC、触摸屏、伺服器等）的原控制程序、组态程序电子文档。</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--编程指导材料，投标人应提供用于各系统程序的源码说明，包括交互在程序中的注释，以便整个程序的理解，这一资料应存放在工程师站和U盘内提供给招标人。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w:t>
      </w:r>
    </w:p>
    <w:p>
      <w:pPr>
        <w:pStyle w:val="3"/>
        <w:numPr>
          <w:ilvl w:val="255"/>
          <w:numId w:val="0"/>
        </w:numPr>
        <w:tabs>
          <w:tab w:val="left" w:pos="0"/>
        </w:tabs>
        <w:snapToGrid w:val="0"/>
        <w:spacing w:line="360" w:lineRule="auto"/>
        <w:rPr>
          <w:rFonts w:hint="eastAsia" w:ascii="宋体" w:hAnsi="宋体" w:cs="宋体"/>
          <w:bCs w:val="0"/>
          <w:i w:val="0"/>
          <w:iCs w:val="0"/>
          <w:szCs w:val="36"/>
        </w:rPr>
      </w:pPr>
      <w:r>
        <w:rPr>
          <w:rFonts w:hint="eastAsia" w:ascii="宋体" w:hAnsi="宋体" w:cs="宋体"/>
          <w:bCs w:val="0"/>
          <w:i w:val="0"/>
          <w:iCs w:val="0"/>
          <w:szCs w:val="36"/>
        </w:rPr>
        <w:t>第四章 包装运输</w:t>
      </w:r>
    </w:p>
    <w:p>
      <w:pPr>
        <w:pStyle w:val="5"/>
        <w:rPr>
          <w:rFonts w:hint="eastAsia" w:ascii="宋体" w:hAnsi="宋体" w:cs="宋体"/>
          <w:szCs w:val="24"/>
        </w:rPr>
      </w:pPr>
      <w:r>
        <w:rPr>
          <w:rFonts w:hint="eastAsia" w:ascii="宋体" w:hAnsi="宋体" w:cs="宋体"/>
          <w:szCs w:val="24"/>
        </w:rPr>
        <w:t>一、包装</w:t>
      </w:r>
    </w:p>
    <w:p>
      <w:pPr>
        <w:tabs>
          <w:tab w:val="left" w:pos="0"/>
        </w:tabs>
        <w:adjustRightInd w:val="0"/>
        <w:snapToGrid w:val="0"/>
        <w:spacing w:line="360" w:lineRule="auto"/>
        <w:ind w:left="480" w:hanging="480" w:hangingChars="200"/>
        <w:rPr>
          <w:rFonts w:hint="eastAsia" w:ascii="宋体" w:hAnsi="宋体" w:eastAsia="宋体" w:cs="宋体"/>
          <w:sz w:val="24"/>
          <w:szCs w:val="24"/>
        </w:rPr>
      </w:pPr>
      <w:r>
        <w:rPr>
          <w:rFonts w:ascii="宋体" w:hAnsi="宋体" w:eastAsia="宋体" w:cs="宋体"/>
          <w:sz w:val="24"/>
          <w:szCs w:val="24"/>
        </w:rPr>
        <w:t xml:space="preserve">1.1 </w:t>
      </w:r>
      <w:r>
        <w:rPr>
          <w:rFonts w:hint="eastAsia" w:ascii="宋体" w:hAnsi="宋体" w:eastAsia="宋体" w:cs="宋体"/>
          <w:sz w:val="24"/>
          <w:szCs w:val="24"/>
        </w:rPr>
        <w:t>投标方所提供货物（或设备）的包装，应遵照国家标准和有关包装、包皮的技术条件，或按照最好的商业惯例进行包装。</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投标方所提供货物（或设备）的包装，应能防止其一般性被窃或受外力破坏；一般不得采用有大缝隙的板条包装。</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投标方应对包装件做必要的加固和固定，以防止运输可能造成的损坏。</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每个包装件应有装箱单，并至少标明名称、型号规格、数量、净重和毛重、投标方（或供货商）名称和制造日期等相关内容。</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每个包装箱应有明显标志，并具有中文书写的合同号、装运标志、发货和到货地点名称、发货人和收货人名称、设备名称和项目号、箱号和外型尺寸等内容。</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投标方还应按照不同的装运要求在包装箱上标明“小心轻放”、“箭头向上”、“防潮”、“防磁”、“不准平放”等标志，以及其它适用的国标通用标志。</w:t>
      </w:r>
    </w:p>
    <w:p>
      <w:pPr>
        <w:pStyle w:val="128"/>
        <w:numPr>
          <w:ilvl w:val="1"/>
          <w:numId w:val="26"/>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包装箱应连续编号，不应出现重复编号。</w:t>
      </w:r>
    </w:p>
    <w:p>
      <w:pPr>
        <w:pStyle w:val="5"/>
        <w:rPr>
          <w:rFonts w:hint="eastAsia" w:ascii="宋体" w:hAnsi="宋体" w:cs="宋体"/>
          <w:szCs w:val="24"/>
        </w:rPr>
      </w:pPr>
      <w:r>
        <w:rPr>
          <w:rFonts w:hint="eastAsia" w:ascii="宋体" w:hAnsi="宋体" w:cs="宋体"/>
          <w:szCs w:val="24"/>
        </w:rPr>
        <w:t>二、运输</w:t>
      </w:r>
    </w:p>
    <w:p>
      <w:pPr>
        <w:tabs>
          <w:tab w:val="left" w:pos="0"/>
        </w:tabs>
        <w:adjustRightInd w:val="0"/>
        <w:snapToGrid w:val="0"/>
        <w:spacing w:line="360" w:lineRule="auto"/>
        <w:ind w:left="480" w:hanging="480" w:hangingChars="200"/>
        <w:rPr>
          <w:rFonts w:hint="eastAsia" w:ascii="宋体" w:hAnsi="宋体" w:eastAsia="宋体" w:cs="宋体"/>
          <w:sz w:val="24"/>
          <w:szCs w:val="24"/>
        </w:rPr>
      </w:pPr>
      <w:r>
        <w:rPr>
          <w:rFonts w:hint="eastAsia" w:ascii="宋体" w:hAnsi="宋体" w:eastAsia="宋体" w:cs="宋体"/>
          <w:sz w:val="24"/>
          <w:szCs w:val="24"/>
        </w:rPr>
        <w:t>2.1</w:t>
      </w:r>
      <w:r>
        <w:rPr>
          <w:rFonts w:ascii="宋体" w:hAnsi="宋体" w:eastAsia="宋体" w:cs="宋体"/>
          <w:sz w:val="24"/>
          <w:szCs w:val="24"/>
        </w:rPr>
        <w:t xml:space="preserve"> </w:t>
      </w:r>
      <w:r>
        <w:rPr>
          <w:rFonts w:hint="eastAsia" w:ascii="宋体" w:hAnsi="宋体" w:eastAsia="宋体" w:cs="宋体"/>
          <w:sz w:val="24"/>
          <w:szCs w:val="24"/>
        </w:rPr>
        <w:t>投标方应负责将货物（或设备）运到目的地，并必须做到货物（或设备）在任何运输过程中不受损坏和遗失。同批货物（或设备）应统一包装、编号运输。</w:t>
      </w:r>
    </w:p>
    <w:p>
      <w:pPr>
        <w:pStyle w:val="128"/>
        <w:numPr>
          <w:ilvl w:val="1"/>
          <w:numId w:val="27"/>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一般情况下，经由铁路、公路运输的包装件尺寸和重量不应超过国家所规定的尺寸限制。特殊情况应予以说明。</w:t>
      </w:r>
    </w:p>
    <w:p>
      <w:pPr>
        <w:pStyle w:val="128"/>
        <w:numPr>
          <w:ilvl w:val="1"/>
          <w:numId w:val="27"/>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在每批货物（或设备）发出后，投标方应立即通知招标方；通知中应指明：合同号、货运单号、件数、重量和货物（或设备）发出日期等相关内容。</w:t>
      </w:r>
    </w:p>
    <w:p>
      <w:pPr>
        <w:pStyle w:val="128"/>
        <w:numPr>
          <w:ilvl w:val="1"/>
          <w:numId w:val="27"/>
        </w:numPr>
        <w:tabs>
          <w:tab w:val="left" w:pos="0"/>
        </w:tabs>
        <w:adjustRightInd w:val="0"/>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货物（或设备）运抵招标方现场后，投标方应负责货物（或设备）的卸货、搬运、保管等事宜。卖方在设备及材料运进工厂时，应确保不损坏车间地表面和厂房内设施，并按买方规定位置存放，堆放整齐。</w:t>
      </w:r>
    </w:p>
    <w:p>
      <w:pPr>
        <w:pStyle w:val="3"/>
        <w:numPr>
          <w:ilvl w:val="255"/>
          <w:numId w:val="0"/>
        </w:numPr>
        <w:tabs>
          <w:tab w:val="left" w:pos="0"/>
        </w:tabs>
        <w:snapToGrid w:val="0"/>
        <w:spacing w:line="360" w:lineRule="auto"/>
      </w:pPr>
      <w:r>
        <w:rPr>
          <w:rFonts w:hint="eastAsia" w:ascii="宋体" w:hAnsi="宋体" w:cs="宋体"/>
          <w:bCs w:val="0"/>
          <w:i w:val="0"/>
          <w:iCs w:val="0"/>
        </w:rPr>
        <w:t>第五章 安装调试</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投标方免费负责设备的安装、调试，并接受用户的技术咨询；</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设备的运输和到货后卸车、设备的安装调试工作和安装时的起重由卖方负责。</w:t>
      </w:r>
    </w:p>
    <w:p>
      <w:pPr>
        <w:tabs>
          <w:tab w:val="left" w:pos="0"/>
        </w:tabs>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自动化仪表施工安装必须遵守《自动化仪表工程施工及质量验收规范》</w:t>
      </w:r>
      <w:r>
        <w:rPr>
          <w:rFonts w:ascii="宋体" w:hAnsi="宋体" w:eastAsia="宋体" w:cs="宋体"/>
          <w:color w:val="000000"/>
          <w:sz w:val="24"/>
        </w:rPr>
        <w:t>GB50093-2013</w:t>
      </w:r>
      <w:r>
        <w:rPr>
          <w:rFonts w:hint="eastAsia" w:ascii="宋体" w:hAnsi="宋体" w:eastAsia="宋体" w:cs="宋体"/>
          <w:color w:val="000000"/>
          <w:sz w:val="24"/>
        </w:rPr>
        <w:t>。仪表工程的施工应按照设计施工图纸和仪表安装使用说明书进行。仪表工程的焊接工作应符合现行的国家标准《现场设备、工业管道焊接工程施工规范》的规定。特殊仪表的安装、</w:t>
      </w:r>
      <w:r>
        <w:rPr>
          <w:rFonts w:ascii="宋体" w:hAnsi="宋体" w:eastAsia="宋体" w:cs="宋体"/>
          <w:color w:val="000000"/>
          <w:sz w:val="24"/>
        </w:rPr>
        <w:t>调试，应取得相应制造厂家的技术支持。</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rPr>
        <w:t>电缆管线从控制室或</w:t>
      </w:r>
      <w:r>
        <w:rPr>
          <w:rFonts w:ascii="宋体" w:hAnsi="宋体" w:eastAsia="宋体" w:cs="宋体"/>
          <w:color w:val="000000"/>
          <w:sz w:val="24"/>
        </w:rPr>
        <w:t>PLC</w:t>
      </w:r>
      <w:r>
        <w:rPr>
          <w:rFonts w:hint="eastAsia" w:ascii="宋体" w:hAnsi="宋体" w:eastAsia="宋体" w:cs="宋体"/>
          <w:color w:val="000000"/>
          <w:sz w:val="24"/>
        </w:rPr>
        <w:t>控制器引出后沿桥架敷设然后穿镀锌钢管至现场各检测点。管线敷设以明敷为宜。</w:t>
      </w:r>
    </w:p>
    <w:p>
      <w:pPr>
        <w:tabs>
          <w:tab w:val="left" w:pos="0"/>
        </w:tabs>
        <w:snapToGrid w:val="0"/>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rPr>
        <w:t>PLC</w:t>
      </w:r>
      <w:r>
        <w:rPr>
          <w:rFonts w:hint="eastAsia" w:ascii="宋体" w:hAnsi="宋体" w:eastAsia="宋体" w:cs="宋体"/>
          <w:color w:val="000000"/>
          <w:sz w:val="24"/>
        </w:rPr>
        <w:t>控制机柜、仪表盘及仪表均要求一点接地，并应符合《仪表系统接地设计规范》</w:t>
      </w:r>
      <w:r>
        <w:rPr>
          <w:rFonts w:ascii="宋体" w:hAnsi="宋体" w:eastAsia="宋体" w:cs="宋体"/>
          <w:color w:val="000000"/>
          <w:sz w:val="24"/>
        </w:rPr>
        <w:t>HG/T 20513-2014</w:t>
      </w:r>
      <w:r>
        <w:rPr>
          <w:rFonts w:hint="eastAsia" w:ascii="宋体" w:hAnsi="宋体" w:eastAsia="宋体" w:cs="宋体"/>
          <w:color w:val="000000"/>
          <w:sz w:val="24"/>
        </w:rPr>
        <w:t>的要求。仪表工作接地采用单独接地，接地电阻不大于</w:t>
      </w:r>
      <w:r>
        <w:rPr>
          <w:rFonts w:ascii="宋体" w:hAnsi="宋体" w:eastAsia="宋体" w:cs="宋体"/>
          <w:color w:val="000000"/>
          <w:sz w:val="24"/>
        </w:rPr>
        <w:t>1</w:t>
      </w:r>
      <w:r>
        <w:rPr>
          <w:rFonts w:hint="eastAsia" w:ascii="宋体" w:hAnsi="宋体" w:eastAsia="宋体" w:cs="宋体"/>
          <w:color w:val="000000"/>
          <w:sz w:val="24"/>
        </w:rPr>
        <w:t>欧姆。保护接地与现场电气地就近连接。</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rPr>
        <w:t>温度仪表安装要求参见《自控安装图册》（</w:t>
      </w:r>
      <w:r>
        <w:rPr>
          <w:rFonts w:ascii="宋体" w:hAnsi="宋体" w:eastAsia="宋体" w:cs="宋体"/>
          <w:color w:val="000000"/>
          <w:sz w:val="24"/>
        </w:rPr>
        <w:t>HG/T21581-2012</w:t>
      </w:r>
      <w:r>
        <w:rPr>
          <w:rFonts w:hint="eastAsia" w:ascii="宋体" w:hAnsi="宋体" w:eastAsia="宋体" w:cs="宋体"/>
          <w:color w:val="000000"/>
          <w:sz w:val="24"/>
        </w:rPr>
        <w:t>）中温度测量仪表安装图册（</w:t>
      </w:r>
      <w:r>
        <w:rPr>
          <w:rFonts w:ascii="宋体" w:hAnsi="宋体" w:eastAsia="宋体" w:cs="宋体"/>
          <w:color w:val="000000"/>
          <w:sz w:val="24"/>
        </w:rPr>
        <w:t>HK04</w:t>
      </w:r>
      <w:r>
        <w:rPr>
          <w:rFonts w:hint="eastAsia" w:ascii="宋体" w:hAnsi="宋体" w:eastAsia="宋体" w:cs="宋体"/>
          <w:color w:val="000000"/>
          <w:sz w:val="24"/>
        </w:rPr>
        <w:t>）；压力</w:t>
      </w:r>
      <w:r>
        <w:rPr>
          <w:rFonts w:ascii="宋体" w:hAnsi="宋体" w:eastAsia="宋体" w:cs="宋体"/>
          <w:color w:val="000000"/>
          <w:sz w:val="24"/>
        </w:rPr>
        <w:t>/</w:t>
      </w:r>
      <w:r>
        <w:rPr>
          <w:rFonts w:hint="eastAsia" w:ascii="宋体" w:hAnsi="宋体" w:eastAsia="宋体" w:cs="宋体"/>
          <w:color w:val="000000"/>
          <w:sz w:val="24"/>
        </w:rPr>
        <w:t>压差测量仪表安装要求参见《自控安装图册》（</w:t>
      </w:r>
      <w:r>
        <w:rPr>
          <w:rFonts w:ascii="宋体" w:hAnsi="宋体" w:eastAsia="宋体" w:cs="宋体"/>
          <w:color w:val="000000"/>
          <w:sz w:val="24"/>
        </w:rPr>
        <w:t>HG/T21581-2012</w:t>
      </w:r>
      <w:r>
        <w:rPr>
          <w:rFonts w:hint="eastAsia" w:ascii="宋体" w:hAnsi="宋体" w:eastAsia="宋体" w:cs="宋体"/>
          <w:color w:val="000000"/>
          <w:sz w:val="24"/>
        </w:rPr>
        <w:t>）中压力／压差测量仪表管路连接图册（</w:t>
      </w:r>
      <w:r>
        <w:rPr>
          <w:rFonts w:ascii="宋体" w:hAnsi="宋体" w:eastAsia="宋体" w:cs="宋体"/>
          <w:color w:val="000000"/>
          <w:sz w:val="24"/>
        </w:rPr>
        <w:t>HK03</w:t>
      </w:r>
      <w:r>
        <w:rPr>
          <w:rFonts w:hint="eastAsia" w:ascii="宋体" w:hAnsi="宋体" w:eastAsia="宋体" w:cs="宋体"/>
          <w:color w:val="000000"/>
          <w:sz w:val="24"/>
        </w:rPr>
        <w:t>）；流量测量仪表安装要求参见《自控安装图册》（</w:t>
      </w:r>
      <w:r>
        <w:rPr>
          <w:rFonts w:ascii="宋体" w:hAnsi="宋体" w:eastAsia="宋体" w:cs="宋体"/>
          <w:color w:val="000000"/>
          <w:sz w:val="24"/>
        </w:rPr>
        <w:t>HG/T21581-2012</w:t>
      </w:r>
      <w:r>
        <w:rPr>
          <w:rFonts w:hint="eastAsia" w:ascii="宋体" w:hAnsi="宋体" w:eastAsia="宋体" w:cs="宋体"/>
          <w:color w:val="000000"/>
          <w:sz w:val="24"/>
        </w:rPr>
        <w:t>）中流量测量仪表管路连接图册（</w:t>
      </w:r>
      <w:r>
        <w:rPr>
          <w:rFonts w:ascii="宋体" w:hAnsi="宋体" w:eastAsia="宋体" w:cs="宋体"/>
          <w:color w:val="000000"/>
          <w:sz w:val="24"/>
        </w:rPr>
        <w:t>HK01</w:t>
      </w:r>
      <w:r>
        <w:rPr>
          <w:rFonts w:hint="eastAsia" w:ascii="宋体" w:hAnsi="宋体" w:eastAsia="宋体" w:cs="宋体"/>
          <w:color w:val="000000"/>
          <w:sz w:val="24"/>
        </w:rPr>
        <w:t>）；气动调节阀</w:t>
      </w:r>
      <w:r>
        <w:rPr>
          <w:rFonts w:ascii="宋体" w:hAnsi="宋体" w:eastAsia="宋体" w:cs="宋体"/>
          <w:color w:val="000000"/>
          <w:sz w:val="24"/>
        </w:rPr>
        <w:t>/</w:t>
      </w:r>
      <w:r>
        <w:rPr>
          <w:rFonts w:hint="eastAsia" w:ascii="宋体" w:hAnsi="宋体" w:eastAsia="宋体" w:cs="宋体"/>
          <w:color w:val="000000"/>
          <w:sz w:val="24"/>
        </w:rPr>
        <w:t>开关阀安装要求参见《自控安装图册》（</w:t>
      </w:r>
      <w:r>
        <w:rPr>
          <w:rFonts w:ascii="宋体" w:hAnsi="宋体" w:eastAsia="宋体" w:cs="宋体"/>
          <w:color w:val="000000"/>
          <w:sz w:val="24"/>
        </w:rPr>
        <w:t>HG/T21581-2012</w:t>
      </w:r>
      <w:r>
        <w:rPr>
          <w:rFonts w:hint="eastAsia" w:ascii="宋体" w:hAnsi="宋体" w:eastAsia="宋体" w:cs="宋体"/>
          <w:color w:val="000000"/>
          <w:sz w:val="24"/>
        </w:rPr>
        <w:t>）中气动控制阀／切断阀管路连接图册（</w:t>
      </w:r>
      <w:r>
        <w:rPr>
          <w:rFonts w:ascii="宋体" w:hAnsi="宋体" w:eastAsia="宋体" w:cs="宋体"/>
          <w:color w:val="000000"/>
          <w:sz w:val="24"/>
        </w:rPr>
        <w:t>HK103</w:t>
      </w:r>
      <w:r>
        <w:rPr>
          <w:rFonts w:hint="eastAsia" w:ascii="宋体" w:hAnsi="宋体" w:eastAsia="宋体" w:cs="宋体"/>
          <w:color w:val="000000"/>
          <w:sz w:val="24"/>
        </w:rPr>
        <w:t>）；现场仪表及仪表箱安装要求参见《自控安装图册》（</w:t>
      </w:r>
      <w:r>
        <w:rPr>
          <w:rFonts w:ascii="宋体" w:hAnsi="宋体" w:eastAsia="宋体" w:cs="宋体"/>
          <w:color w:val="000000"/>
          <w:sz w:val="24"/>
        </w:rPr>
        <w:t>HG/T21581-2012</w:t>
      </w:r>
      <w:r>
        <w:rPr>
          <w:rFonts w:hint="eastAsia" w:ascii="宋体" w:hAnsi="宋体" w:eastAsia="宋体" w:cs="宋体"/>
          <w:color w:val="000000"/>
          <w:sz w:val="24"/>
        </w:rPr>
        <w:t>）中现场仪表及仪表箱（盘</w:t>
      </w:r>
      <w:r>
        <w:rPr>
          <w:rFonts w:ascii="宋体" w:hAnsi="宋体" w:eastAsia="宋体" w:cs="宋体"/>
          <w:color w:val="000000"/>
          <w:sz w:val="24"/>
        </w:rPr>
        <w:t>.柜）安装图册（HK102</w:t>
      </w:r>
      <w:r>
        <w:rPr>
          <w:rFonts w:hint="eastAsia" w:ascii="宋体" w:hAnsi="宋体" w:eastAsia="宋体" w:cs="宋体"/>
          <w:color w:val="000000"/>
          <w:sz w:val="24"/>
        </w:rPr>
        <w:t>）。</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rPr>
        <w:t>一次仪表的安装位置以相关专业的设备、管道位置为准，工艺设备上的仪表接口形式及尺寸以实际工艺设备为准。安装要求参见相应制造厂家安装使用说明书。</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rPr>
        <w:t>施工时桥架敷设应待工艺设备及主要管路就位后再施工，桥架宽度、高度可根据现场实际情况适当调整。所有电缆桥架支架、桁架、吊架采用槽钢或角钢现场制作。</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rPr>
        <w:t>未尽事宜以现行相关规范为准。</w:t>
      </w:r>
    </w:p>
    <w:p>
      <w:pPr>
        <w:pStyle w:val="3"/>
        <w:numPr>
          <w:ilvl w:val="255"/>
          <w:numId w:val="0"/>
        </w:numPr>
        <w:tabs>
          <w:tab w:val="left" w:pos="0"/>
        </w:tabs>
        <w:snapToGrid w:val="0"/>
        <w:spacing w:line="360" w:lineRule="auto"/>
        <w:rPr>
          <w:rFonts w:hint="eastAsia" w:ascii="宋体" w:hAnsi="宋体" w:cs="宋体"/>
          <w:bCs w:val="0"/>
          <w:i w:val="0"/>
          <w:iCs w:val="0"/>
        </w:rPr>
      </w:pPr>
      <w:r>
        <w:rPr>
          <w:rFonts w:hint="eastAsia" w:ascii="宋体" w:hAnsi="宋体" w:cs="宋体"/>
          <w:bCs w:val="0"/>
          <w:i w:val="0"/>
          <w:iCs w:val="0"/>
        </w:rPr>
        <w:t>第六章 验收</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终验收时执行的标准：执行国家最新相关标准或行业标准、规范，验收时卖方应提供设备制造、安装、验收时所采用的标准或规范的文字样本供买方参考。</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终验收时的实际数据应满足国家标准、本标书及验收方案中的相关规定；</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终验收在安装调试完成后的买方现场进行。所有的项目在终验收时重新检验。</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一</w:t>
      </w:r>
      <w:r>
        <w:rPr>
          <w:rFonts w:ascii="宋体" w:hAnsi="宋体" w:eastAsia="宋体" w:cs="宋体"/>
          <w:sz w:val="24"/>
          <w:szCs w:val="24"/>
        </w:rPr>
        <w:t>、</w:t>
      </w:r>
      <w:r>
        <w:rPr>
          <w:rFonts w:hint="eastAsia" w:ascii="宋体" w:hAnsi="宋体" w:eastAsia="宋体" w:cs="宋体"/>
          <w:sz w:val="24"/>
          <w:szCs w:val="24"/>
        </w:rPr>
        <w:t>终验收规程：</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在生产工况满足的情况下，应按照《固定污染源废气 非甲烷总烃连续监测技术规范》（HJ 1286—2023）要求，开展验收工作，并完成当地生态环境部门联网备案工作。除用户方面因素外，必须达到以下要求：</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1.1 在整个终验收过程中没有维修、更换零部件或元件行为；</w:t>
      </w:r>
    </w:p>
    <w:p>
      <w:pPr>
        <w:snapToGrid w:val="0"/>
        <w:spacing w:line="360" w:lineRule="auto"/>
        <w:rPr>
          <w:rFonts w:hint="eastAsia" w:ascii="宋体" w:hAnsi="宋体" w:eastAsia="宋体" w:cs="宋体"/>
          <w:sz w:val="24"/>
          <w:szCs w:val="24"/>
        </w:rPr>
      </w:pPr>
      <w:r>
        <w:rPr>
          <w:rFonts w:ascii="宋体" w:hAnsi="宋体" w:eastAsia="宋体" w:cs="宋体"/>
          <w:sz w:val="24"/>
          <w:szCs w:val="24"/>
        </w:rPr>
        <w:t xml:space="preserve">1.2 </w:t>
      </w:r>
      <w:r>
        <w:rPr>
          <w:rFonts w:hint="eastAsia" w:ascii="宋体" w:hAnsi="宋体" w:eastAsia="宋体" w:cs="宋体"/>
          <w:sz w:val="24"/>
          <w:szCs w:val="24"/>
        </w:rPr>
        <w:t>所有出现的调整，每次调整时间均不超过 30 分钟；</w:t>
      </w:r>
    </w:p>
    <w:p>
      <w:pPr>
        <w:snapToGrid w:val="0"/>
        <w:spacing w:line="360" w:lineRule="auto"/>
        <w:rPr>
          <w:rFonts w:hint="eastAsia" w:ascii="宋体" w:hAnsi="宋体" w:eastAsia="宋体" w:cs="宋体"/>
          <w:sz w:val="24"/>
          <w:szCs w:val="24"/>
        </w:rPr>
      </w:pPr>
      <w:r>
        <w:rPr>
          <w:rFonts w:ascii="宋体" w:hAnsi="宋体" w:eastAsia="宋体" w:cs="宋体"/>
          <w:sz w:val="24"/>
          <w:szCs w:val="24"/>
        </w:rPr>
        <w:t xml:space="preserve">1.3 </w:t>
      </w:r>
      <w:r>
        <w:rPr>
          <w:rFonts w:hint="eastAsia" w:ascii="宋体" w:hAnsi="宋体" w:eastAsia="宋体" w:cs="宋体"/>
          <w:sz w:val="24"/>
          <w:szCs w:val="24"/>
        </w:rPr>
        <w:t>终验收原则上要求一次完成。</w:t>
      </w:r>
    </w:p>
    <w:p>
      <w:pPr>
        <w:snapToGrid w:val="0"/>
        <w:spacing w:line="360" w:lineRule="auto"/>
        <w:rPr>
          <w:rFonts w:hint="eastAsia" w:ascii="宋体" w:hAnsi="宋体" w:eastAsia="宋体" w:cs="宋体"/>
          <w:sz w:val="24"/>
          <w:szCs w:val="24"/>
        </w:rPr>
      </w:pPr>
      <w:r>
        <w:rPr>
          <w:rFonts w:ascii="宋体" w:hAnsi="宋体" w:eastAsia="宋体" w:cs="宋体"/>
          <w:sz w:val="24"/>
          <w:szCs w:val="24"/>
        </w:rPr>
        <w:t xml:space="preserve">1.4 </w:t>
      </w:r>
      <w:r>
        <w:rPr>
          <w:rFonts w:hint="eastAsia" w:ascii="宋体" w:hAnsi="宋体" w:eastAsia="宋体" w:cs="宋体"/>
          <w:sz w:val="24"/>
          <w:szCs w:val="24"/>
        </w:rPr>
        <w:t>终验收通过后买卖双方共同签署终验收报告。</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二</w:t>
      </w:r>
      <w:r>
        <w:rPr>
          <w:rFonts w:ascii="宋体" w:hAnsi="宋体" w:eastAsia="宋体" w:cs="宋体"/>
          <w:sz w:val="24"/>
          <w:szCs w:val="24"/>
        </w:rPr>
        <w:t>、</w:t>
      </w:r>
      <w:r>
        <w:rPr>
          <w:rFonts w:hint="eastAsia" w:ascii="宋体" w:hAnsi="宋体" w:eastAsia="宋体" w:cs="宋体"/>
          <w:sz w:val="24"/>
          <w:szCs w:val="24"/>
        </w:rPr>
        <w:t>设备终验收的一般标准与要求：</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2.1 备案验收资料齐全性、完整性和有效性。</w:t>
      </w:r>
    </w:p>
    <w:p>
      <w:pPr>
        <w:snapToGrid w:val="0"/>
        <w:spacing w:line="360" w:lineRule="auto"/>
        <w:ind w:left="480" w:hanging="480" w:hangingChars="200"/>
        <w:rPr>
          <w:rFonts w:hint="eastAsia" w:ascii="宋体" w:hAnsi="宋体" w:eastAsia="宋体" w:cs="宋体"/>
          <w:sz w:val="24"/>
          <w:szCs w:val="24"/>
        </w:rPr>
      </w:pPr>
      <w:r>
        <w:rPr>
          <w:rFonts w:ascii="宋体" w:hAnsi="宋体" w:eastAsia="宋体" w:cs="宋体"/>
          <w:sz w:val="24"/>
          <w:szCs w:val="24"/>
        </w:rPr>
        <w:t xml:space="preserve">2.2 </w:t>
      </w:r>
      <w:r>
        <w:rPr>
          <w:rFonts w:hint="eastAsia" w:ascii="宋体" w:hAnsi="宋体" w:eastAsia="宋体" w:cs="宋体"/>
          <w:sz w:val="24"/>
          <w:szCs w:val="24"/>
        </w:rPr>
        <w:t>设备应运行灵活、稳定、可靠、安全，无异常声音和非正常振动。设备不允许出现漏水、漏液、漏气（汽）。运动的零部件（应动作平稳、没有异常声音，不松动或易于调整；</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设备外观应无损伤，应该涂满同种明亮清晰的油漆（特殊标志除外）。设备应该完整且所有的零部件应该安装牢固，所有的焊缝饱满、无残渣等缺陷；</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所有的管道和电缆线等，应排列有序（正确、牢固、整齐）无皱褶、收缩和裂缝，电缆线在整个长度范围内，所有的接头应完全正确地连接；</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设备应有的标牌、</w:t>
      </w:r>
      <w:r>
        <w:rPr>
          <w:rFonts w:ascii="宋体" w:hAnsi="宋体" w:eastAsia="宋体" w:cs="宋体"/>
          <w:sz w:val="24"/>
          <w:szCs w:val="24"/>
        </w:rPr>
        <w:t>铭牌齐全</w:t>
      </w:r>
      <w:r>
        <w:rPr>
          <w:rFonts w:hint="eastAsia" w:ascii="宋体" w:hAnsi="宋体" w:eastAsia="宋体" w:cs="宋体"/>
          <w:sz w:val="24"/>
          <w:szCs w:val="24"/>
        </w:rPr>
        <w:t>，且清晰易见；</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设备的润滑系统工作可靠，润滑点易于到达；</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设备的安全要求符合中国最新的相关法律、法规、标准和规范以及合同要求；</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地线连接和地极符合国际（ISO/IEC）标准规范；</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所有的压力容器应具备合格证（如果有压力容器）；</w:t>
      </w:r>
    </w:p>
    <w:p>
      <w:pPr>
        <w:pStyle w:val="128"/>
        <w:numPr>
          <w:ilvl w:val="1"/>
          <w:numId w:val="28"/>
        </w:numPr>
        <w:snapToGrid w:val="0"/>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计量仪器、仪表配套合理，采用中国的法定计量单位，计量准确、灵敏可靠。保证设计指标和仪器说明书的参数的实现，要求竣工验收交付一次合格，返修更换校调不超过  48 小时，特殊情况除外；</w:t>
      </w:r>
    </w:p>
    <w:p>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三</w:t>
      </w:r>
      <w:r>
        <w:rPr>
          <w:rFonts w:ascii="宋体" w:hAnsi="宋体" w:eastAsia="宋体" w:cs="宋体"/>
          <w:sz w:val="24"/>
          <w:szCs w:val="24"/>
        </w:rPr>
        <w:t>、</w:t>
      </w:r>
      <w:r>
        <w:rPr>
          <w:rFonts w:hint="eastAsia" w:ascii="宋体" w:hAnsi="宋体" w:eastAsia="宋体" w:cs="宋体"/>
          <w:sz w:val="24"/>
          <w:szCs w:val="24"/>
        </w:rPr>
        <w:t>终验收条件</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依据招标文件、投标文件、答疑文件、技术交流文件等形成并达成一致的技术协议书和合同规定的终验收条件验收。</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验收合格后双方代表在验收报告上签字生效。</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若属于国家相关机关单位强制要求检验校准的设备，以通过相关检查校准，作为项目终验收合格的依据。</w:t>
      </w:r>
    </w:p>
    <w:p>
      <w:pPr>
        <w:pStyle w:val="3"/>
        <w:tabs>
          <w:tab w:val="left" w:pos="0"/>
        </w:tabs>
        <w:snapToGrid w:val="0"/>
        <w:spacing w:line="360" w:lineRule="auto"/>
        <w:ind w:left="0"/>
        <w:rPr>
          <w:rFonts w:hint="eastAsia" w:ascii="宋体" w:hAnsi="宋体" w:cs="宋体"/>
          <w:bCs w:val="0"/>
          <w:i w:val="0"/>
          <w:iCs w:val="0"/>
        </w:rPr>
      </w:pPr>
      <w:r>
        <w:rPr>
          <w:rFonts w:hint="eastAsia" w:ascii="宋体" w:hAnsi="宋体" w:cs="宋体"/>
          <w:bCs w:val="0"/>
          <w:i w:val="0"/>
          <w:iCs w:val="0"/>
        </w:rPr>
        <w:t>第七章 培训</w:t>
      </w:r>
    </w:p>
    <w:p>
      <w:pPr>
        <w:tabs>
          <w:tab w:val="left" w:pos="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卖方免费负责买方技术人员、操作人员和维修人员的培训。</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培训内容：设备的工作原理、结构性能、使用注意事项、操作方法、程序及其它相关内容。</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培训教材：设备的相关图纸及技术文件</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培训方式：在终验收前，卖方专业技术人员讲课，使买方人员达到具有独立操作及排除故障的能力。</w:t>
      </w:r>
    </w:p>
    <w:p>
      <w:pPr>
        <w:pStyle w:val="76"/>
        <w:spacing w:line="360" w:lineRule="auto"/>
        <w:ind w:firstLine="422"/>
        <w:outlineLvl w:val="3"/>
        <w:rPr>
          <w:rFonts w:hint="eastAsia" w:ascii="宋体" w:hAnsi="宋体" w:eastAsia="宋体" w:cs="FZZD Extra JW"/>
          <w:b/>
        </w:rPr>
      </w:pPr>
      <w:r>
        <w:rPr>
          <w:rFonts w:hint="eastAsia" w:ascii="宋体" w:hAnsi="宋体" w:eastAsia="宋体" w:cs="宋体"/>
        </w:rPr>
        <w:t>设备出厂前及在买方现场安装调试过程中，对买方人员进行培训，使之熟悉、掌握该设备的结构、性能、操作方法和一般常见故障的分析、判断、排除技能。</w:t>
      </w:r>
    </w:p>
    <w:p>
      <w:pPr>
        <w:pStyle w:val="3"/>
        <w:numPr>
          <w:ilvl w:val="255"/>
          <w:numId w:val="0"/>
        </w:numPr>
        <w:tabs>
          <w:tab w:val="left" w:pos="0"/>
        </w:tabs>
        <w:snapToGrid w:val="0"/>
        <w:spacing w:line="360" w:lineRule="auto"/>
        <w:rPr>
          <w:rFonts w:hint="eastAsia" w:ascii="宋体" w:hAnsi="宋体" w:cs="宋体"/>
          <w:bCs w:val="0"/>
          <w:i w:val="0"/>
          <w:iCs w:val="0"/>
        </w:rPr>
      </w:pPr>
      <w:r>
        <w:rPr>
          <w:rFonts w:hint="eastAsia" w:ascii="宋体" w:hAnsi="宋体" w:cs="宋体"/>
          <w:bCs w:val="0"/>
          <w:i w:val="0"/>
          <w:iCs w:val="0"/>
        </w:rPr>
        <w:t>第八章 质量保证及售后服务</w:t>
      </w:r>
    </w:p>
    <w:p>
      <w:pPr>
        <w:tabs>
          <w:tab w:val="left" w:pos="0"/>
        </w:tabs>
        <w:snapToGrid w:val="0"/>
        <w:spacing w:line="360" w:lineRule="auto"/>
        <w:ind w:firstLine="480"/>
        <w:rPr>
          <w:rFonts w:hint="eastAsia" w:ascii="宋体" w:hAnsi="宋体" w:eastAsia="宋体" w:cs="宋体"/>
          <w:sz w:val="24"/>
          <w:szCs w:val="24"/>
          <w:highlight w:val="yellow"/>
        </w:rPr>
      </w:pPr>
      <w:r>
        <w:rPr>
          <w:rFonts w:hint="eastAsia" w:ascii="宋体" w:hAnsi="宋体" w:eastAsia="宋体" w:cs="宋体"/>
          <w:sz w:val="24"/>
          <w:szCs w:val="24"/>
          <w:highlight w:val="yellow"/>
        </w:rPr>
        <w:t>设备质保期为从最终验收之日起</w:t>
      </w:r>
      <w:r>
        <w:rPr>
          <w:rFonts w:ascii="宋体" w:hAnsi="宋体" w:eastAsia="宋体" w:cs="宋体"/>
          <w:sz w:val="24"/>
          <w:szCs w:val="24"/>
          <w:highlight w:val="yellow"/>
        </w:rPr>
        <w:t>12个月</w:t>
      </w:r>
      <w:r>
        <w:rPr>
          <w:rFonts w:hint="eastAsia" w:ascii="宋体" w:hAnsi="宋体" w:eastAsia="宋体" w:cs="宋体"/>
          <w:sz w:val="24"/>
          <w:szCs w:val="24"/>
          <w:highlight w:val="yellow"/>
        </w:rPr>
        <w:t>。在此期间由于设备缺陷而引起的故障及机械电气损坏</w:t>
      </w:r>
      <w:r>
        <w:rPr>
          <w:rFonts w:ascii="宋体" w:hAnsi="宋体" w:eastAsia="宋体" w:cs="宋体"/>
          <w:sz w:val="24"/>
          <w:szCs w:val="24"/>
          <w:highlight w:val="yellow"/>
        </w:rPr>
        <w:t>,均应由卖方免费维修和置换。</w:t>
      </w:r>
    </w:p>
    <w:p>
      <w:pPr>
        <w:tabs>
          <w:tab w:val="left" w:pos="0"/>
        </w:tabs>
        <w:snapToGrid w:val="0"/>
        <w:spacing w:line="360" w:lineRule="auto"/>
        <w:ind w:firstLine="480"/>
        <w:rPr>
          <w:rFonts w:hint="eastAsia" w:ascii="宋体" w:hAnsi="宋体" w:eastAsia="宋体" w:cs="宋体"/>
          <w:sz w:val="24"/>
          <w:szCs w:val="24"/>
          <w:highlight w:val="yellow"/>
        </w:rPr>
      </w:pPr>
      <w:r>
        <w:rPr>
          <w:rFonts w:hint="eastAsia" w:ascii="宋体" w:hAnsi="宋体" w:eastAsia="宋体" w:cs="宋体"/>
          <w:sz w:val="24"/>
          <w:szCs w:val="24"/>
          <w:highlight w:val="yellow"/>
        </w:rPr>
        <w:t>卖方应</w:t>
      </w:r>
      <w:r>
        <w:rPr>
          <w:rFonts w:ascii="宋体" w:hAnsi="宋体" w:eastAsia="宋体" w:cs="宋体"/>
          <w:sz w:val="24"/>
          <w:szCs w:val="24"/>
          <w:highlight w:val="yellow"/>
        </w:rPr>
        <w:t>免费提供</w:t>
      </w:r>
      <w:r>
        <w:rPr>
          <w:rFonts w:hint="eastAsia" w:ascii="宋体" w:hAnsi="宋体" w:eastAsia="宋体" w:cs="宋体"/>
          <w:sz w:val="24"/>
          <w:szCs w:val="24"/>
          <w:highlight w:val="yellow"/>
        </w:rPr>
        <w:t>系统运维服务至少</w:t>
      </w:r>
      <w:r>
        <w:rPr>
          <w:rFonts w:ascii="宋体" w:hAnsi="宋体" w:eastAsia="宋体" w:cs="宋体"/>
          <w:sz w:val="24"/>
          <w:szCs w:val="24"/>
          <w:highlight w:val="yellow"/>
        </w:rPr>
        <w:t>1年，</w:t>
      </w:r>
      <w:r>
        <w:rPr>
          <w:rFonts w:hint="eastAsia" w:ascii="宋体" w:hAnsi="宋体" w:eastAsia="宋体" w:cs="宋体"/>
          <w:sz w:val="24"/>
          <w:szCs w:val="24"/>
          <w:highlight w:val="yellow"/>
        </w:rPr>
        <w:t>自设备安装调试联网之日起计算。</w:t>
      </w:r>
    </w:p>
    <w:p>
      <w:pPr>
        <w:tabs>
          <w:tab w:val="left" w:pos="0"/>
        </w:tabs>
        <w:snapToGrid w:val="0"/>
        <w:spacing w:line="360" w:lineRule="auto"/>
        <w:rPr>
          <w:rFonts w:hint="eastAsia" w:ascii="宋体" w:hAnsi="宋体" w:eastAsia="宋体" w:cs="宋体"/>
          <w:szCs w:val="24"/>
          <w:highlight w:val="yellow"/>
        </w:rPr>
      </w:pP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投标人必须提供全天候</w:t>
      </w:r>
      <w:r>
        <w:rPr>
          <w:rFonts w:ascii="宋体" w:hAnsi="宋体" w:eastAsia="宋体" w:cs="宋体"/>
          <w:sz w:val="24"/>
          <w:szCs w:val="24"/>
          <w:highlight w:val="yellow"/>
        </w:rPr>
        <w:t>7×24小时服务，在确认用户的服务请求后,30分钟内响应，2</w:t>
      </w:r>
      <w:r>
        <w:rPr>
          <w:rFonts w:hint="eastAsia" w:ascii="宋体" w:hAnsi="宋体" w:eastAsia="宋体" w:cs="宋体"/>
          <w:sz w:val="24"/>
          <w:szCs w:val="24"/>
          <w:highlight w:val="yellow"/>
        </w:rPr>
        <w:t>小时内到达现场，</w:t>
      </w:r>
      <w:r>
        <w:rPr>
          <w:rFonts w:ascii="宋体" w:hAnsi="宋体" w:eastAsia="宋体" w:cs="宋体"/>
          <w:sz w:val="24"/>
          <w:szCs w:val="24"/>
          <w:highlight w:val="yellow"/>
        </w:rPr>
        <w:t>8</w:t>
      </w:r>
      <w:r>
        <w:rPr>
          <w:rFonts w:hint="eastAsia" w:ascii="宋体" w:hAnsi="宋体" w:eastAsia="宋体" w:cs="宋体"/>
          <w:sz w:val="24"/>
          <w:szCs w:val="24"/>
          <w:highlight w:val="yellow"/>
        </w:rPr>
        <w:t>小时之内修复解决问题。解决不了的，</w:t>
      </w:r>
      <w:r>
        <w:rPr>
          <w:rFonts w:ascii="宋体" w:hAnsi="宋体" w:eastAsia="宋体" w:cs="宋体"/>
          <w:sz w:val="24"/>
          <w:szCs w:val="24"/>
          <w:highlight w:val="yellow"/>
        </w:rPr>
        <w:t>24小时内更换备机，超出24小时的，应委托第三方监测机构进行比对。</w:t>
      </w:r>
    </w:p>
    <w:p>
      <w:pPr>
        <w:tabs>
          <w:tab w:val="left" w:pos="0"/>
        </w:tabs>
        <w:snapToGrid w:val="0"/>
        <w:spacing w:line="360" w:lineRule="auto"/>
        <w:ind w:firstLine="480" w:firstLineChars="200"/>
        <w:rPr>
          <w:rFonts w:hint="eastAsia" w:ascii="宋体" w:hAnsi="宋体" w:eastAsia="宋体" w:cs="宋体"/>
          <w:szCs w:val="24"/>
          <w:highlight w:val="yellow"/>
        </w:rPr>
      </w:pPr>
      <w:r>
        <w:rPr>
          <w:rFonts w:hint="eastAsia" w:ascii="宋体" w:hAnsi="宋体" w:eastAsia="宋体" w:cs="宋体"/>
          <w:sz w:val="24"/>
          <w:szCs w:val="24"/>
          <w:highlight w:val="yellow"/>
        </w:rPr>
        <w:t>质保期内</w:t>
      </w:r>
      <w:r>
        <w:rPr>
          <w:rFonts w:ascii="宋体" w:hAnsi="宋体" w:eastAsia="宋体" w:cs="宋体"/>
          <w:sz w:val="24"/>
          <w:szCs w:val="24"/>
          <w:highlight w:val="yellow"/>
        </w:rPr>
        <w:t>,卖方应提供免费维修服务,并免费提供因设备缺陷所至的维修零配件；质保期过后,卖方应提供终身维修服务,并只收成本费</w:t>
      </w:r>
      <w:r>
        <w:rPr>
          <w:rFonts w:hint="eastAsia" w:ascii="宋体" w:hAnsi="宋体" w:eastAsia="宋体" w:cs="宋体"/>
          <w:sz w:val="24"/>
          <w:szCs w:val="24"/>
          <w:highlight w:val="yellow"/>
        </w:rPr>
        <w:t>。</w:t>
      </w:r>
    </w:p>
    <w:bookmarkEnd w:id="97"/>
    <w:p>
      <w:pPr>
        <w:pStyle w:val="3"/>
        <w:tabs>
          <w:tab w:val="right" w:leader="dot" w:pos="9061"/>
        </w:tabs>
        <w:ind w:left="0"/>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9" w:type="dxa"/>
            <w:vAlign w:val="center"/>
          </w:tcPr>
          <w:p>
            <w:pPr>
              <w:widowControl/>
              <w:jc w:val="center"/>
              <w:rPr>
                <w:rFonts w:hint="eastAsia" w:ascii="宋体" w:hAnsi="宋体" w:eastAsia="宋体" w:cs="宋体"/>
                <w:kern w:val="0"/>
                <w:szCs w:val="21"/>
              </w:rPr>
            </w:pPr>
            <w:r>
              <w:rPr>
                <w:rFonts w:hint="eastAsia" w:ascii="宋体" w:hAnsi="宋体" w:eastAsia="宋体"/>
                <w:szCs w:val="21"/>
              </w:rPr>
              <w:t>一</w:t>
            </w:r>
          </w:p>
        </w:tc>
        <w:tc>
          <w:tcPr>
            <w:tcW w:w="1541" w:type="dxa"/>
            <w:vAlign w:val="center"/>
          </w:tcPr>
          <w:p>
            <w:pPr>
              <w:jc w:val="left"/>
              <w:rPr>
                <w:rFonts w:hint="eastAsia" w:ascii="宋体" w:hAnsi="宋体" w:eastAsia="宋体"/>
                <w:color w:val="000000"/>
                <w:szCs w:val="21"/>
              </w:rPr>
            </w:pPr>
            <w:r>
              <w:rPr>
                <w:rFonts w:hint="eastAsia" w:ascii="宋体" w:hAnsi="宋体" w:eastAsia="宋体"/>
                <w:color w:val="000000"/>
                <w:szCs w:val="21"/>
              </w:rPr>
              <w:t>固定源VOCs在线监测系统</w:t>
            </w:r>
          </w:p>
        </w:tc>
        <w:tc>
          <w:tcPr>
            <w:tcW w:w="2126" w:type="dxa"/>
            <w:vAlign w:val="center"/>
          </w:tcPr>
          <w:p>
            <w:pPr>
              <w:pStyle w:val="28"/>
              <w:spacing w:line="360" w:lineRule="auto"/>
              <w:ind w:left="480" w:hanging="480"/>
              <w:jc w:val="left"/>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烟气采样器</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1.2</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温压流检测器</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1.3</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在线气相色谱仪（总烃、甲烷、非甲烷总烃、）</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1.4</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氢湿氧检测仪</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1.5</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在线氢气发生器</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1.6</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在线除烃仪</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1.7</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预处理单元</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1.8</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工控机</w:t>
            </w:r>
          </w:p>
        </w:tc>
        <w:tc>
          <w:tcPr>
            <w:tcW w:w="2126" w:type="dxa"/>
            <w:vAlign w:val="center"/>
          </w:tcPr>
          <w:p>
            <w:pPr>
              <w:pStyle w:val="28"/>
              <w:spacing w:line="360" w:lineRule="auto"/>
              <w:ind w:left="0" w:firstLine="0"/>
              <w:jc w:val="center"/>
              <w:rPr>
                <w:rFonts w:hint="eastAsia" w:ascii="仿宋_GB2312" w:eastAsia="仿宋_GB2312" w:hAnsiTheme="minorEastAsia" w:cstheme="minorEastAsia"/>
                <w:sz w:val="24"/>
                <w:szCs w:val="24"/>
              </w:rPr>
            </w:pPr>
            <w:r>
              <w:rPr>
                <w:rFonts w:hint="eastAsia" w:ascii="宋体" w:hAnsi="宋体" w:cstheme="minorBidi"/>
                <w:color w:val="000000"/>
                <w:szCs w:val="21"/>
              </w:rPr>
              <w:t>SPCC优质冷轧钢板（厚度≥2毫米）</w:t>
            </w: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1.9</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采集、传输及处理软件</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1.10</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空气压缩机</w:t>
            </w:r>
          </w:p>
        </w:tc>
        <w:tc>
          <w:tcPr>
            <w:tcW w:w="2126" w:type="dxa"/>
            <w:vAlign w:val="center"/>
          </w:tcPr>
          <w:p>
            <w:pPr>
              <w:jc w:val="center"/>
              <w:rPr>
                <w:rFonts w:hint="eastAsia" w:ascii="宋体" w:hAnsi="宋体" w:eastAsia="宋体"/>
                <w:color w:val="000000"/>
                <w:szCs w:val="21"/>
              </w:rPr>
            </w:pPr>
            <w:r>
              <w:rPr>
                <w:rFonts w:hint="eastAsia" w:ascii="宋体" w:hAnsi="宋体" w:eastAsia="宋体"/>
                <w:color w:val="000000"/>
                <w:szCs w:val="21"/>
              </w:rPr>
              <w:t>75030</w:t>
            </w: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1.11</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油水分离器</w:t>
            </w:r>
          </w:p>
        </w:tc>
        <w:tc>
          <w:tcPr>
            <w:tcW w:w="2126" w:type="dxa"/>
            <w:vAlign w:val="center"/>
          </w:tcPr>
          <w:p>
            <w:pPr>
              <w:jc w:val="center"/>
              <w:rPr>
                <w:rFonts w:hint="eastAsia" w:ascii="宋体" w:hAnsi="宋体" w:eastAsia="宋体"/>
                <w:color w:val="000000"/>
                <w:szCs w:val="21"/>
              </w:rPr>
            </w:pPr>
            <w:r>
              <w:rPr>
                <w:rFonts w:hint="eastAsia" w:ascii="宋体" w:hAnsi="宋体" w:eastAsia="宋体"/>
                <w:color w:val="000000"/>
                <w:szCs w:val="21"/>
              </w:rPr>
              <w:t>HX-10</w:t>
            </w: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1.12</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机柜</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1.13</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安装辅料</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1.14</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配套耗材</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二</w:t>
            </w:r>
          </w:p>
        </w:tc>
        <w:tc>
          <w:tcPr>
            <w:tcW w:w="1541" w:type="dxa"/>
            <w:vAlign w:val="center"/>
          </w:tcPr>
          <w:p>
            <w:pPr>
              <w:jc w:val="left"/>
              <w:rPr>
                <w:rFonts w:hint="eastAsia" w:ascii="宋体" w:hAnsi="宋体" w:eastAsia="宋体"/>
                <w:color w:val="000000"/>
                <w:szCs w:val="21"/>
              </w:rPr>
            </w:pPr>
            <w:r>
              <w:rPr>
                <w:rFonts w:hint="eastAsia" w:ascii="宋体" w:hAnsi="宋体" w:eastAsia="宋体"/>
                <w:color w:val="000000"/>
                <w:szCs w:val="21"/>
              </w:rPr>
              <w:t>气体/气瓶</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瓶</w:t>
            </w: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2.1</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甲烷/丙烷混合标气</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theme="minorBidi"/>
                <w:color w:val="000000"/>
                <w:szCs w:val="21"/>
              </w:rPr>
              <w:t>8L（高/中/低浓度）</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瓶</w:t>
            </w: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2.2</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氮气钢瓶</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宋体"/>
                <w:color w:val="000000"/>
                <w:kern w:val="0"/>
                <w:sz w:val="22"/>
                <w:szCs w:val="22"/>
                <w:lang w:bidi="ar"/>
              </w:rPr>
              <w:t>国产优质</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瓶</w:t>
            </w: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三</w:t>
            </w:r>
          </w:p>
        </w:tc>
        <w:tc>
          <w:tcPr>
            <w:tcW w:w="1541" w:type="dxa"/>
            <w:vAlign w:val="center"/>
          </w:tcPr>
          <w:p>
            <w:pPr>
              <w:jc w:val="left"/>
              <w:rPr>
                <w:rFonts w:hint="eastAsia" w:ascii="宋体" w:hAnsi="宋体" w:eastAsia="宋体"/>
                <w:color w:val="000000"/>
                <w:szCs w:val="21"/>
              </w:rPr>
            </w:pPr>
            <w:r>
              <w:rPr>
                <w:rFonts w:hint="eastAsia" w:ascii="宋体" w:hAnsi="宋体" w:eastAsia="宋体"/>
                <w:color w:val="000000"/>
                <w:szCs w:val="21"/>
              </w:rPr>
              <w:t>其他设备设施</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3.1</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采样管及电源信号线缆</w:t>
            </w:r>
          </w:p>
        </w:tc>
        <w:tc>
          <w:tcPr>
            <w:tcW w:w="2126" w:type="dxa"/>
            <w:vAlign w:val="center"/>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8mm*2 180℃</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套</w:t>
            </w:r>
          </w:p>
        </w:tc>
        <w:tc>
          <w:tcPr>
            <w:tcW w:w="812" w:type="dxa"/>
            <w:vAlign w:val="center"/>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3.2</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数采仪</w:t>
            </w:r>
          </w:p>
        </w:tc>
        <w:tc>
          <w:tcPr>
            <w:tcW w:w="2126" w:type="dxa"/>
            <w:vAlign w:val="center"/>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国产优质</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3.3</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UPS</w:t>
            </w:r>
          </w:p>
        </w:tc>
        <w:tc>
          <w:tcPr>
            <w:tcW w:w="2126" w:type="dxa"/>
            <w:vAlign w:val="center"/>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16*100ah，8KW，续电2小时</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3.4</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视频监控</w:t>
            </w:r>
          </w:p>
        </w:tc>
        <w:tc>
          <w:tcPr>
            <w:tcW w:w="2126" w:type="dxa"/>
            <w:vAlign w:val="center"/>
          </w:tcPr>
          <w:p>
            <w:pPr>
              <w:jc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视频保存1年</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套</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3.5</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在线监测站房</w:t>
            </w:r>
          </w:p>
        </w:tc>
        <w:tc>
          <w:tcPr>
            <w:tcW w:w="2126" w:type="dxa"/>
            <w:vAlign w:val="center"/>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3m*4m*2.8m（钢制）</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个</w:t>
            </w:r>
          </w:p>
        </w:tc>
        <w:tc>
          <w:tcPr>
            <w:tcW w:w="812" w:type="dxa"/>
          </w:tcPr>
          <w:p>
            <w:pPr>
              <w:widowControl/>
              <w:jc w:val="center"/>
              <w:textAlignment w:val="center"/>
              <w:rPr>
                <w:rFonts w:hint="eastAsia" w:ascii="仿宋_GB2312" w:eastAsia="仿宋_GB2312" w:hAnsiTheme="minorEastAsia" w:cstheme="minorEastAsia"/>
                <w:sz w:val="24"/>
                <w:szCs w:val="24"/>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3.6</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冷暖两用空调</w:t>
            </w:r>
          </w:p>
        </w:tc>
        <w:tc>
          <w:tcPr>
            <w:tcW w:w="2126" w:type="dxa"/>
            <w:vAlign w:val="center"/>
          </w:tcPr>
          <w:p>
            <w:pPr>
              <w:jc w:val="center"/>
              <w:rPr>
                <w:rFonts w:hint="eastAsia" w:ascii="宋体" w:hAnsi="宋体" w:eastAsia="宋体"/>
                <w:color w:val="000000"/>
                <w:szCs w:val="21"/>
              </w:rPr>
            </w:pPr>
            <w:r>
              <w:rPr>
                <w:rFonts w:hint="eastAsia" w:ascii="宋体" w:hAnsi="宋体" w:eastAsia="宋体"/>
                <w:color w:val="000000"/>
                <w:szCs w:val="21"/>
              </w:rPr>
              <w:t>1.5P</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台</w:t>
            </w:r>
          </w:p>
        </w:tc>
        <w:tc>
          <w:tcPr>
            <w:tcW w:w="812" w:type="dxa"/>
          </w:tcPr>
          <w:p>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3.7</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 xml:space="preserve">可燃气体报警器        </w:t>
            </w:r>
          </w:p>
        </w:tc>
        <w:tc>
          <w:tcPr>
            <w:tcW w:w="2126" w:type="dxa"/>
            <w:vAlign w:val="center"/>
          </w:tcPr>
          <w:p>
            <w:pPr>
              <w:jc w:val="center"/>
              <w:rPr>
                <w:rFonts w:hint="eastAsia" w:ascii="宋体" w:hAnsi="宋体" w:eastAsia="宋体"/>
                <w:color w:val="000000"/>
                <w:szCs w:val="21"/>
              </w:rPr>
            </w:pPr>
            <w:r>
              <w:rPr>
                <w:rFonts w:hint="eastAsia" w:ascii="宋体" w:hAnsi="宋体" w:eastAsia="宋体"/>
                <w:color w:val="000000"/>
                <w:szCs w:val="21"/>
              </w:rPr>
              <w:t>国产优质</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个</w:t>
            </w:r>
          </w:p>
        </w:tc>
        <w:tc>
          <w:tcPr>
            <w:tcW w:w="812" w:type="dxa"/>
          </w:tcPr>
          <w:p>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3.8</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声光报警器</w:t>
            </w:r>
          </w:p>
        </w:tc>
        <w:tc>
          <w:tcPr>
            <w:tcW w:w="2126" w:type="dxa"/>
            <w:vAlign w:val="center"/>
          </w:tcPr>
          <w:p>
            <w:pPr>
              <w:jc w:val="center"/>
              <w:rPr>
                <w:rFonts w:hint="eastAsia" w:ascii="宋体" w:hAnsi="宋体" w:eastAsia="宋体"/>
                <w:color w:val="000000"/>
                <w:szCs w:val="21"/>
              </w:rPr>
            </w:pPr>
            <w:r>
              <w:rPr>
                <w:rFonts w:hint="eastAsia" w:ascii="宋体" w:hAnsi="宋体" w:eastAsia="宋体"/>
                <w:color w:val="000000"/>
                <w:szCs w:val="21"/>
              </w:rPr>
              <w:t>国产优质</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个</w:t>
            </w:r>
          </w:p>
        </w:tc>
        <w:tc>
          <w:tcPr>
            <w:tcW w:w="812" w:type="dxa"/>
          </w:tcPr>
          <w:p>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3.9</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二层平台、扶梯及辅助设施（橡塑件公司）</w:t>
            </w:r>
          </w:p>
        </w:tc>
        <w:tc>
          <w:tcPr>
            <w:tcW w:w="2126" w:type="dxa"/>
            <w:vAlign w:val="center"/>
          </w:tcPr>
          <w:p>
            <w:pPr>
              <w:pStyle w:val="28"/>
              <w:spacing w:line="360" w:lineRule="auto"/>
              <w:ind w:left="480" w:hanging="480"/>
              <w:jc w:val="left"/>
              <w:rPr>
                <w:szCs w:val="21"/>
              </w:rPr>
            </w:pPr>
            <w:r>
              <w:rPr>
                <w:rFonts w:hint="eastAsia"/>
                <w:szCs w:val="21"/>
              </w:rPr>
              <w:t>不低于18号工字钢</w:t>
            </w:r>
          </w:p>
          <w:p>
            <w:pPr>
              <w:pStyle w:val="28"/>
              <w:spacing w:line="360" w:lineRule="auto"/>
              <w:ind w:left="480" w:hanging="480"/>
              <w:jc w:val="left"/>
              <w:rPr>
                <w:szCs w:val="21"/>
              </w:rPr>
            </w:pPr>
            <w:r>
              <w:rPr>
                <w:rFonts w:hint="eastAsia"/>
                <w:szCs w:val="21"/>
              </w:rPr>
              <w:t>支撑，平台采用槽钢</w:t>
            </w:r>
          </w:p>
          <w:p>
            <w:pPr>
              <w:pStyle w:val="28"/>
              <w:spacing w:line="360" w:lineRule="auto"/>
              <w:ind w:left="480" w:hanging="480"/>
              <w:jc w:val="left"/>
              <w:rPr>
                <w:szCs w:val="21"/>
              </w:rPr>
            </w:pPr>
            <w:r>
              <w:rPr>
                <w:rFonts w:hint="eastAsia"/>
                <w:szCs w:val="21"/>
              </w:rPr>
              <w:t>交叉布设，平台尺寸</w:t>
            </w:r>
          </w:p>
          <w:p>
            <w:pPr>
              <w:jc w:val="center"/>
              <w:rPr>
                <w:rFonts w:hint="eastAsia" w:ascii="宋体" w:hAnsi="宋体" w:eastAsia="宋体"/>
                <w:color w:val="000000"/>
                <w:szCs w:val="21"/>
              </w:rPr>
            </w:pPr>
            <w:r>
              <w:rPr>
                <w:rFonts w:hint="eastAsia" w:ascii="Times New Roman" w:hAnsi="Times New Roman" w:eastAsia="宋体" w:cs="Times New Roman"/>
                <w:szCs w:val="21"/>
              </w:rPr>
              <w:t>5米*4米；扶梯宽80cm*高3m</w:t>
            </w: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1</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四</w:t>
            </w:r>
          </w:p>
        </w:tc>
        <w:tc>
          <w:tcPr>
            <w:tcW w:w="1541" w:type="dxa"/>
            <w:vAlign w:val="center"/>
          </w:tcPr>
          <w:p>
            <w:pPr>
              <w:jc w:val="left"/>
              <w:rPr>
                <w:rFonts w:hint="eastAsia" w:ascii="宋体" w:hAnsi="宋体" w:eastAsia="宋体"/>
                <w:color w:val="000000"/>
                <w:szCs w:val="21"/>
              </w:rPr>
            </w:pPr>
            <w:r>
              <w:rPr>
                <w:rFonts w:hint="eastAsia" w:ascii="宋体" w:hAnsi="宋体" w:eastAsia="宋体"/>
                <w:color w:val="000000"/>
                <w:szCs w:val="21"/>
              </w:rPr>
              <w:t>其他费用</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4.1</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设备运输</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次</w:t>
            </w:r>
          </w:p>
        </w:tc>
        <w:tc>
          <w:tcPr>
            <w:tcW w:w="812" w:type="dxa"/>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jc w:val="center"/>
              <w:rPr>
                <w:rFonts w:hint="eastAsia" w:ascii="宋体" w:hAnsi="宋体" w:eastAsia="宋体"/>
                <w:szCs w:val="21"/>
              </w:rPr>
            </w:pPr>
            <w:r>
              <w:rPr>
                <w:rFonts w:hint="eastAsia" w:ascii="宋体" w:hAnsi="宋体" w:eastAsia="宋体"/>
                <w:szCs w:val="21"/>
              </w:rPr>
              <w:t>4.2</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安装调试</w:t>
            </w:r>
          </w:p>
        </w:tc>
        <w:tc>
          <w:tcPr>
            <w:tcW w:w="2126" w:type="dxa"/>
            <w:shd w:val="clear" w:color="auto" w:fill="auto"/>
            <w:vAlign w:val="center"/>
          </w:tcPr>
          <w:p>
            <w:pPr>
              <w:widowControl/>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安装调试72和168，比对验收监测报告</w:t>
            </w: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次</w:t>
            </w:r>
          </w:p>
        </w:tc>
        <w:tc>
          <w:tcPr>
            <w:tcW w:w="812" w:type="dxa"/>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宋体"/>
                <w:color w:val="000000"/>
                <w:kern w:val="0"/>
                <w:sz w:val="22"/>
                <w:lang w:bidi="ar"/>
              </w:rPr>
              <w:t>6</w:t>
            </w: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widowControl/>
              <w:jc w:val="center"/>
              <w:rPr>
                <w:rFonts w:hint="eastAsia" w:ascii="宋体" w:hAnsi="宋体" w:eastAsia="宋体" w:cs="宋体"/>
                <w:kern w:val="0"/>
                <w:szCs w:val="21"/>
              </w:rPr>
            </w:pPr>
            <w:r>
              <w:rPr>
                <w:rFonts w:hint="eastAsia" w:ascii="宋体" w:hAnsi="宋体" w:eastAsia="宋体"/>
                <w:szCs w:val="21"/>
              </w:rPr>
              <w:t>4.3</w:t>
            </w:r>
          </w:p>
        </w:tc>
        <w:tc>
          <w:tcPr>
            <w:tcW w:w="1541" w:type="dxa"/>
            <w:vAlign w:val="center"/>
          </w:tcPr>
          <w:p>
            <w:pPr>
              <w:jc w:val="center"/>
              <w:rPr>
                <w:rFonts w:hint="eastAsia" w:ascii="宋体" w:hAnsi="宋体" w:eastAsia="宋体"/>
                <w:color w:val="000000"/>
                <w:szCs w:val="21"/>
              </w:rPr>
            </w:pPr>
            <w:r>
              <w:rPr>
                <w:rFonts w:hint="eastAsia" w:ascii="宋体" w:hAnsi="宋体" w:eastAsia="宋体"/>
                <w:color w:val="000000"/>
                <w:szCs w:val="21"/>
              </w:rPr>
              <w:t>设备验收</w:t>
            </w: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次</w:t>
            </w:r>
          </w:p>
        </w:tc>
        <w:tc>
          <w:tcPr>
            <w:tcW w:w="812" w:type="dxa"/>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宋体" w:hAnsi="宋体" w:cs="宋体"/>
                <w:color w:val="000000"/>
                <w:kern w:val="0"/>
                <w:sz w:val="22"/>
                <w:lang w:bidi="ar"/>
              </w:rPr>
              <w:t>6</w:t>
            </w: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pStyle w:val="3"/>
        <w:tabs>
          <w:tab w:val="right" w:leader="dot" w:pos="9061"/>
        </w:tabs>
        <w:ind w:left="0"/>
        <w:jc w:val="both"/>
        <w:rPr>
          <w:rFonts w:hint="eastAsia" w:asciiTheme="minorEastAsia" w:hAnsiTheme="minorEastAsia" w:eastAsiaTheme="minorEastAsia" w:cstheme="minorEastAsia"/>
          <w:sz w:val="20"/>
        </w:rPr>
      </w:pPr>
    </w:p>
    <w:p>
      <w:pPr>
        <w:pStyle w:val="2"/>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2"/>
      </w:pPr>
    </w:p>
    <w:p>
      <w:pPr>
        <w:pStyle w:val="2"/>
        <w:rPr>
          <w:rFonts w:hint="eastAsia" w:hAnsi="宋体" w:eastAsia="宋体" w:cs="Times New Roman"/>
          <w:b/>
          <w:color w:val="000000"/>
          <w:sz w:val="24"/>
          <w:szCs w:val="24"/>
          <w:lang w:val="en-US" w:eastAsia="zh-CN"/>
        </w:rPr>
      </w:pPr>
    </w:p>
    <w:p>
      <w:pPr>
        <w:pStyle w:val="3"/>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pStyle w:val="3"/>
        <w:bidi w:val="0"/>
        <w:jc w:val="center"/>
        <w:rPr>
          <w:rFonts w:hint="eastAsia" w:ascii="仿宋_GB2312" w:hAnsi="仿宋_GB2312" w:eastAsia="仿宋_GB2312" w:cs="仿宋_GB2312"/>
          <w:sz w:val="44"/>
          <w:szCs w:val="44"/>
          <w:lang w:val="en-US" w:eastAsia="zh-CN"/>
        </w:rPr>
      </w:pPr>
      <w:bookmarkStart w:id="129" w:name="_Toc5682"/>
      <w:bookmarkStart w:id="130" w:name="_Toc1143"/>
      <w:bookmarkStart w:id="131" w:name="_Toc2424"/>
      <w:bookmarkStart w:id="132" w:name="_Toc28505"/>
      <w:bookmarkStart w:id="133" w:name="_Toc32377"/>
      <w:bookmarkStart w:id="134" w:name="_Toc12273"/>
      <w:r>
        <w:rPr>
          <w:rFonts w:hint="eastAsia" w:ascii="仿宋_GB2312" w:hAnsi="仿宋_GB2312" w:eastAsia="仿宋_GB2312" w:cs="仿宋_GB2312"/>
          <w:sz w:val="44"/>
          <w:szCs w:val="44"/>
          <w:lang w:val="en-US" w:eastAsia="zh-CN"/>
        </w:rPr>
        <w:t>第五部分 设备采购合同</w:t>
      </w:r>
      <w:bookmarkEnd w:id="129"/>
      <w:bookmarkEnd w:id="130"/>
      <w:bookmarkEnd w:id="131"/>
      <w:bookmarkEnd w:id="132"/>
      <w:bookmarkEnd w:id="133"/>
      <w:bookmarkEnd w:id="134"/>
    </w:p>
    <w:p>
      <w:pPr>
        <w:ind w:right="-189" w:rightChars="-90"/>
        <w:rPr>
          <w:rFonts w:ascii="楷体_GB2312" w:hAnsi="宋体" w:eastAsia="楷体_GB2312"/>
          <w:b/>
          <w:sz w:val="24"/>
        </w:rPr>
      </w:pPr>
      <w:r>
        <w:rPr>
          <w:rFonts w:hint="eastAsia" w:ascii="仿宋_GB2312" w:hAnsi="仿宋_GB2312" w:eastAsia="仿宋_GB2312" w:cs="仿宋_GB2312"/>
          <w:sz w:val="20"/>
          <w:szCs w:val="20"/>
        </w:rPr>
        <w:t xml:space="preserve">       </w:t>
      </w:r>
      <w:bookmarkStart w:id="135" w:name="_Toc283814116"/>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adjustRightInd w:val="0"/>
        <w:snapToGrid w:val="0"/>
        <w:spacing w:line="360" w:lineRule="auto"/>
        <w:ind w:firstLine="1899" w:firstLineChars="678"/>
        <w:jc w:val="left"/>
        <w:rPr>
          <w:rFonts w:ascii="宋体" w:hAnsi="宋体"/>
          <w:b/>
          <w:sz w:val="28"/>
          <w:szCs w:val="36"/>
        </w:rPr>
      </w:pPr>
    </w:p>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szCs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 w:val="24"/>
          <w:szCs w:val="24"/>
        </w:rPr>
        <w:br w:type="textWrapping"/>
      </w: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12.3.1卖方明确表示或者以自己的行为表明不履行主要义务的；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12.3.2卖方所提交的设备不符合本合同的规定；</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12.3.3卖方发生本合同约定的解除情形的；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8"/>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pStyle w:val="3"/>
        <w:tabs>
          <w:tab w:val="right" w:leader="dot" w:pos="9061"/>
        </w:tabs>
        <w:ind w:left="0"/>
        <w:jc w:val="both"/>
        <w:rPr>
          <w:rFonts w:asciiTheme="minorEastAsia" w:hAnsiTheme="minorEastAsia" w:eastAsiaTheme="minorEastAsia" w:cstheme="minorEastAsia"/>
          <w:sz w:val="20"/>
        </w:rPr>
      </w:pPr>
    </w:p>
    <w:p>
      <w:pPr>
        <w:spacing w:before="120" w:after="120" w:line="360" w:lineRule="exact"/>
        <w:rPr>
          <w:rFonts w:ascii="宋体" w:hAnsi="宋体"/>
          <w:sz w:val="24"/>
          <w:szCs w:val="24"/>
        </w:rPr>
      </w:pPr>
      <w:r>
        <w:rPr>
          <w:rFonts w:hint="eastAsia" w:asciiTheme="minorEastAsia" w:hAnsiTheme="minorEastAsia" w:eastAsiaTheme="minorEastAsia" w:cstheme="minorEastAsia"/>
          <w:sz w:val="20"/>
          <w:szCs w:val="20"/>
        </w:rPr>
        <w:br w:type="page"/>
      </w:r>
      <w:bookmarkEnd w:id="135"/>
    </w:p>
    <w:p>
      <w:pPr>
        <w:adjustRightInd w:val="0"/>
        <w:snapToGrid w:val="0"/>
        <w:spacing w:line="360"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 xml:space="preserve">                                 </w:t>
      </w: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6" w:name="_Toc5379"/>
      <w:bookmarkStart w:id="137" w:name="_Toc3778"/>
      <w:bookmarkStart w:id="138" w:name="_Toc25120"/>
      <w:bookmarkStart w:id="139" w:name="_Toc24623"/>
      <w:bookmarkStart w:id="140" w:name="_Toc16330037"/>
      <w:bookmarkStart w:id="141" w:name="_Toc25252"/>
      <w:bookmarkStart w:id="142" w:name="_Toc7335"/>
      <w:r>
        <w:rPr>
          <w:rFonts w:hint="eastAsia" w:ascii="仿宋_GB2312" w:hAnsi="仿宋_GB2312" w:eastAsia="仿宋_GB2312" w:cs="仿宋_GB2312"/>
          <w:b/>
          <w:bCs/>
          <w:kern w:val="2"/>
          <w:sz w:val="36"/>
          <w:szCs w:val="36"/>
          <w:lang w:val="en-US" w:eastAsia="zh-CN" w:bidi="ar-SA"/>
        </w:rPr>
        <w:t xml:space="preserve">附件二 </w:t>
      </w:r>
      <w:bookmarkEnd w:id="136"/>
      <w:bookmarkEnd w:id="137"/>
      <w:bookmarkEnd w:id="138"/>
      <w:bookmarkEnd w:id="139"/>
      <w:bookmarkEnd w:id="140"/>
      <w:r>
        <w:rPr>
          <w:rFonts w:hint="eastAsia" w:ascii="仿宋_GB2312" w:hAnsi="仿宋_GB2312" w:eastAsia="仿宋_GB2312" w:cs="仿宋_GB2312"/>
          <w:b/>
          <w:bCs/>
          <w:kern w:val="2"/>
          <w:sz w:val="36"/>
          <w:szCs w:val="36"/>
          <w:lang w:val="en-US" w:eastAsia="zh-CN" w:bidi="ar-SA"/>
        </w:rPr>
        <w:t>技术协议书</w:t>
      </w:r>
      <w:bookmarkEnd w:id="141"/>
      <w:bookmarkEnd w:id="142"/>
    </w:p>
    <w:p>
      <w:pPr>
        <w:ind w:right="360"/>
        <w:rPr>
          <w:rFonts w:hint="eastAsia" w:ascii="仿宋_GB2312" w:hAnsi="仿宋_GB2312" w:eastAsia="仿宋_GB2312" w:cs="仿宋_GB2312"/>
          <w:sz w:val="20"/>
          <w:szCs w:val="20"/>
        </w:rPr>
      </w:pPr>
    </w:p>
    <w:p>
      <w:pPr>
        <w:jc w:val="right"/>
        <w:rPr>
          <w:rFonts w:hint="eastAsia" w:ascii="仿宋_GB2312" w:hAnsi="仿宋_GB2312" w:eastAsia="仿宋_GB2312" w:cs="仿宋_GB2312"/>
          <w:sz w:val="20"/>
          <w:szCs w:val="20"/>
        </w:rPr>
      </w:pPr>
    </w:p>
    <w:p>
      <w:pPr>
        <w:jc w:val="right"/>
        <w:rPr>
          <w:rFonts w:hint="eastAsia" w:ascii="仿宋_GB2312" w:hAnsi="仿宋_GB2312" w:eastAsia="仿宋_GB2312" w:cs="仿宋_GB2312"/>
          <w:sz w:val="20"/>
          <w:szCs w:val="20"/>
        </w:rPr>
      </w:pPr>
    </w:p>
    <w:p>
      <w:pPr>
        <w:jc w:val="righ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 xml:space="preserve">                                      </w:t>
      </w:r>
    </w:p>
    <w:p>
      <w:pPr>
        <w:jc w:val="right"/>
        <w:rPr>
          <w:rFonts w:hint="eastAsia" w:ascii="仿宋_GB2312" w:hAnsi="仿宋_GB2312" w:eastAsia="仿宋_GB2312" w:cs="仿宋_GB2312"/>
          <w:sz w:val="20"/>
          <w:szCs w:val="20"/>
        </w:rPr>
      </w:pPr>
    </w:p>
    <w:p>
      <w:pPr>
        <w:wordWrap w:val="0"/>
        <w:ind w:right="480"/>
        <w:rPr>
          <w:rFonts w:hint="eastAsia" w:ascii="仿宋_GB2312" w:hAnsi="仿宋_GB2312" w:eastAsia="仿宋_GB2312" w:cs="仿宋_GB2312"/>
          <w:sz w:val="20"/>
          <w:szCs w:val="20"/>
        </w:rPr>
      </w:pPr>
    </w:p>
    <w:p>
      <w:pPr>
        <w:jc w:val="right"/>
        <w:rPr>
          <w:rFonts w:hint="eastAsia" w:ascii="仿宋_GB2312" w:hAnsi="仿宋_GB2312" w:eastAsia="仿宋_GB2312" w:cs="仿宋_GB2312"/>
          <w:sz w:val="24"/>
        </w:rPr>
      </w:pPr>
      <w:bookmarkStart w:id="143" w:name="_Toc14341849"/>
    </w:p>
    <w:p>
      <w:pPr>
        <w:ind w:right="48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rPr>
        <w:t xml:space="preserve">                                    </w:t>
      </w:r>
    </w:p>
    <w:bookmarkEnd w:id="143"/>
    <w:p>
      <w:r>
        <w:rPr>
          <w:rFonts w:hint="eastAsia" w:ascii="仿宋_GB2312" w:hAnsi="仿宋_GB2312" w:eastAsia="仿宋_GB2312" w:cs="仿宋_GB2312"/>
          <w:b/>
          <w:bCs/>
          <w:kern w:val="44"/>
          <w:sz w:val="36"/>
          <w:szCs w:val="44"/>
        </w:rPr>
        <w:br w:type="page"/>
      </w:r>
      <w:sdt>
        <w:sdtPr>
          <w:rPr>
            <w:rFonts w:ascii="宋体" w:hAnsi="宋体" w:eastAsia="宋体" w:cstheme="minorBidi"/>
            <w:kern w:val="2"/>
            <w:sz w:val="21"/>
            <w:szCs w:val="22"/>
            <w:lang w:val="en-US" w:eastAsia="zh-CN" w:bidi="ar-SA"/>
          </w:rPr>
          <w:id w:val="147478108"/>
          <w:showingPlcHdr/>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sdt>
    </w:p>
    <w:p>
      <w:pPr>
        <w:pStyle w:val="3"/>
        <w:bidi w:val="0"/>
        <w:rPr>
          <w:rFonts w:hint="eastAsia" w:ascii="仿宋_GB2312" w:hAnsi="仿宋_GB2312" w:eastAsia="仿宋_GB2312" w:cs="仿宋_GB2312"/>
          <w:sz w:val="44"/>
          <w:szCs w:val="44"/>
          <w:lang w:val="en-US" w:eastAsia="zh-CN"/>
        </w:rPr>
      </w:pPr>
      <w:bookmarkStart w:id="144" w:name="_Toc11699"/>
      <w:bookmarkStart w:id="145" w:name="_Toc31191"/>
      <w:bookmarkStart w:id="146" w:name="_Toc1903"/>
      <w:bookmarkStart w:id="147" w:name="_Toc22783"/>
      <w:bookmarkStart w:id="148" w:name="_Toc16875"/>
      <w:bookmarkStart w:id="149" w:name="_Toc3018"/>
      <w:r>
        <w:rPr>
          <w:rFonts w:hint="eastAsia" w:ascii="仿宋_GB2312" w:hAnsi="仿宋_GB2312" w:eastAsia="仿宋_GB2312" w:cs="仿宋_GB2312"/>
          <w:sz w:val="44"/>
          <w:szCs w:val="44"/>
          <w:lang w:val="en-US" w:eastAsia="zh-CN"/>
        </w:rPr>
        <w:t>第六部分 投标文件附件</w:t>
      </w:r>
      <w:bookmarkEnd w:id="144"/>
      <w:bookmarkEnd w:id="145"/>
      <w:bookmarkEnd w:id="146"/>
      <w:bookmarkEnd w:id="147"/>
      <w:bookmarkEnd w:id="148"/>
      <w:bookmarkEnd w:id="149"/>
    </w:p>
    <w:p>
      <w:pPr>
        <w:keepNext/>
        <w:keepLines/>
        <w:rPr>
          <w:rFonts w:hint="eastAsia" w:ascii="仿宋_GB2312" w:hAnsi="仿宋_GB2312" w:eastAsia="仿宋_GB2312" w:cs="仿宋_GB2312"/>
          <w:b/>
          <w:bCs/>
          <w:color w:val="000000"/>
          <w:sz w:val="24"/>
          <w:szCs w:val="24"/>
        </w:rPr>
      </w:pPr>
    </w:p>
    <w:p>
      <w:pPr>
        <w:pStyle w:val="2"/>
        <w:rPr>
          <w:rFonts w:hint="eastAsia" w:ascii="仿宋_GB2312" w:hAnsi="仿宋_GB2312" w:eastAsia="仿宋_GB2312" w:cs="仿宋_GB2312"/>
          <w:b/>
          <w:bCs/>
          <w:color w:val="000000"/>
          <w:sz w:val="24"/>
          <w:szCs w:val="24"/>
        </w:rPr>
      </w:pP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pPr>
        <w:pStyle w:val="2"/>
        <w:rPr>
          <w:rFonts w:hint="eastAsia" w:ascii="仿宋_GB2312" w:hAnsi="仿宋_GB2312" w:eastAsia="仿宋_GB2312" w:cs="仿宋_GB2312"/>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0" w:name="_Toc20564"/>
      <w:bookmarkStart w:id="151" w:name="_Toc28575"/>
      <w:bookmarkStart w:id="152" w:name="_Toc23117"/>
      <w:r>
        <w:rPr>
          <w:rFonts w:hint="eastAsia" w:ascii="仿宋_GB2312" w:hAnsi="仿宋_GB2312" w:eastAsia="仿宋_GB2312" w:cs="仿宋_GB2312"/>
          <w:b/>
          <w:bCs/>
          <w:kern w:val="2"/>
          <w:sz w:val="36"/>
          <w:szCs w:val="36"/>
          <w:lang w:val="en-US" w:eastAsia="zh-CN" w:bidi="ar-SA"/>
        </w:rPr>
        <w:t>附件1</w:t>
      </w:r>
      <w:bookmarkStart w:id="153" w:name="_Toc353881012"/>
      <w:bookmarkStart w:id="154" w:name="_Toc212369550"/>
      <w:bookmarkStart w:id="155" w:name="_Toc639004"/>
      <w:bookmarkStart w:id="156" w:name="_Toc25811"/>
      <w:r>
        <w:rPr>
          <w:rFonts w:hint="eastAsia" w:ascii="仿宋_GB2312" w:hAnsi="仿宋_GB2312" w:eastAsia="仿宋_GB2312" w:cs="仿宋_GB2312"/>
          <w:b/>
          <w:bCs/>
          <w:kern w:val="2"/>
          <w:sz w:val="36"/>
          <w:szCs w:val="36"/>
          <w:lang w:val="en-US" w:eastAsia="zh-CN" w:bidi="ar-SA"/>
        </w:rPr>
        <w:t xml:space="preserve"> 投标函</w:t>
      </w:r>
      <w:bookmarkEnd w:id="150"/>
      <w:bookmarkEnd w:id="151"/>
      <w:bookmarkEnd w:id="152"/>
      <w:bookmarkEnd w:id="153"/>
      <w:bookmarkEnd w:id="154"/>
      <w:bookmarkEnd w:id="155"/>
      <w:bookmarkEnd w:id="1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中国重汽集团卡车公司、橡塑件公司新建VOCS在线监控系统项目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pPr>
        <w:rPr>
          <w:rFonts w:hint="eastAsia" w:ascii="仿宋_GB2312" w:hAnsi="仿宋_GB2312" w:eastAsia="仿宋_GB2312" w:cs="仿宋_GB2312"/>
          <w:color w:val="000000"/>
          <w:sz w:val="24"/>
          <w:szCs w:val="24"/>
        </w:rPr>
      </w:pPr>
    </w:p>
    <w:p>
      <w:pPr>
        <w:rPr>
          <w:rFonts w:hint="eastAsia" w:ascii="仿宋_GB2312" w:hAnsi="仿宋_GB2312" w:eastAsia="仿宋_GB2312" w:cs="仿宋_GB2312"/>
          <w:color w:val="000000"/>
          <w:sz w:val="24"/>
          <w:szCs w:val="24"/>
        </w:rPr>
      </w:pPr>
    </w:p>
    <w:p>
      <w:pPr>
        <w:pStyle w:val="2"/>
        <w:rPr>
          <w:rFonts w:hint="eastAsia" w:ascii="仿宋_GB2312" w:hAnsi="仿宋_GB2312" w:eastAsia="仿宋_GB2312" w:cs="仿宋_GB2312"/>
          <w:color w:val="000000"/>
          <w:sz w:val="24"/>
          <w:szCs w:val="24"/>
        </w:rPr>
      </w:pPr>
    </w:p>
    <w:p>
      <w:pPr>
        <w:pStyle w:val="2"/>
        <w:rPr>
          <w:rFonts w:hint="eastAsia" w:ascii="仿宋_GB2312" w:hAnsi="仿宋_GB2312" w:eastAsia="仿宋_GB2312" w:cs="仿宋_GB2312"/>
          <w:color w:val="000000"/>
          <w:sz w:val="24"/>
          <w:szCs w:val="24"/>
        </w:rPr>
      </w:pPr>
    </w:p>
    <w:p>
      <w:pPr>
        <w:pStyle w:val="2"/>
        <w:rPr>
          <w:rFonts w:hint="eastAsia" w:ascii="仿宋_GB2312" w:hAnsi="仿宋_GB2312" w:eastAsia="仿宋_GB2312" w:cs="仿宋_GB2312"/>
          <w:color w:val="000000"/>
          <w:sz w:val="24"/>
          <w:szCs w:val="24"/>
        </w:rPr>
      </w:pPr>
    </w:p>
    <w:p>
      <w:pPr>
        <w:pStyle w:val="2"/>
        <w:rPr>
          <w:rFonts w:hint="eastAsia" w:ascii="仿宋_GB2312" w:hAnsi="仿宋_GB2312" w:eastAsia="仿宋_GB2312" w:cs="仿宋_GB2312"/>
          <w:color w:val="000000"/>
          <w:sz w:val="24"/>
          <w:szCs w:val="24"/>
        </w:rPr>
      </w:pPr>
    </w:p>
    <w:p>
      <w:pPr>
        <w:rPr>
          <w:rFonts w:hint="eastAsia" w:ascii="仿宋_GB2312" w:hAnsi="仿宋_GB2312" w:eastAsia="仿宋_GB2312" w:cs="仿宋_GB2312"/>
          <w:color w:val="000000"/>
          <w:sz w:val="24"/>
          <w:szCs w:val="24"/>
        </w:r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7" w:name="_Toc31515"/>
      <w:bookmarkStart w:id="158" w:name="_Toc6733"/>
      <w:bookmarkStart w:id="159" w:name="_Toc16460"/>
      <w:r>
        <w:rPr>
          <w:rFonts w:hint="eastAsia" w:ascii="仿宋_GB2312" w:hAnsi="仿宋_GB2312" w:eastAsia="仿宋_GB2312" w:cs="仿宋_GB2312"/>
          <w:b/>
          <w:bCs/>
          <w:kern w:val="2"/>
          <w:sz w:val="36"/>
          <w:szCs w:val="36"/>
          <w:lang w:val="en-US" w:eastAsia="zh-CN" w:bidi="ar-SA"/>
        </w:rPr>
        <w:t>附件2 法定代表人授权委托书</w:t>
      </w:r>
      <w:bookmarkEnd w:id="157"/>
      <w:bookmarkEnd w:id="158"/>
      <w:bookmarkEnd w:id="159"/>
    </w:p>
    <w:p>
      <w:pPr>
        <w:adjustRightInd w:val="0"/>
        <w:snapToGrid w:val="0"/>
        <w:spacing w:before="93" w:beforeLines="30" w:line="240" w:lineRule="exact"/>
        <w:jc w:val="center"/>
        <w:rPr>
          <w:rFonts w:hint="eastAsia" w:ascii="仿宋_GB2312" w:hAnsi="仿宋_GB2312" w:eastAsia="仿宋_GB2312" w:cs="仿宋_GB2312"/>
          <w:sz w:val="24"/>
          <w:szCs w:val="20"/>
        </w:rPr>
      </w:pP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中国重汽集团卡车公司、橡塑件公司新建VOCS在线监控系统项目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CGZX2024100124</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pPr>
        <w:rPr>
          <w:rFonts w:hint="eastAsia" w:ascii="仿宋_GB2312" w:hAnsi="仿宋_GB2312" w:eastAsia="仿宋_GB2312" w:cs="仿宋_GB2312"/>
          <w:b/>
          <w:bCs/>
          <w:color w:val="000000"/>
          <w:sz w:val="28"/>
          <w:szCs w:val="20"/>
        </w:rPr>
      </w:pPr>
    </w:p>
    <w:p>
      <w:pPr>
        <w:pStyle w:val="2"/>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0" w:name="_Toc27444"/>
      <w:bookmarkStart w:id="161" w:name="_Toc13989"/>
      <w:bookmarkStart w:id="162" w:name="_Toc24567"/>
      <w:r>
        <w:rPr>
          <w:rFonts w:hint="eastAsia" w:ascii="仿宋_GB2312" w:hAnsi="仿宋_GB2312" w:eastAsia="仿宋_GB2312" w:cs="仿宋_GB2312"/>
          <w:b/>
          <w:bCs/>
          <w:kern w:val="2"/>
          <w:sz w:val="36"/>
          <w:szCs w:val="36"/>
          <w:lang w:val="en-US" w:eastAsia="zh-CN" w:bidi="ar-SA"/>
        </w:rPr>
        <w:t>附件3 投标人基本情况表</w:t>
      </w:r>
      <w:bookmarkEnd w:id="160"/>
      <w:bookmarkEnd w:id="161"/>
      <w:bookmarkEnd w:id="162"/>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pPr>
              <w:pStyle w:val="6"/>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pPr>
              <w:widowControl/>
              <w:rPr>
                <w:rFonts w:hint="eastAsia" w:ascii="仿宋_GB2312" w:hAnsi="仿宋_GB2312" w:eastAsia="仿宋_GB2312" w:cs="仿宋_GB2312"/>
                <w:kern w:val="0"/>
                <w:sz w:val="24"/>
                <w:szCs w:val="24"/>
                <w:lang w:bidi="ar"/>
              </w:rPr>
            </w:pPr>
          </w:p>
        </w:tc>
        <w:tc>
          <w:tcPr>
            <w:tcW w:w="1097" w:type="dxa"/>
          </w:tcPr>
          <w:p>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pPr>
              <w:widowControl/>
              <w:textAlignment w:val="center"/>
              <w:rPr>
                <w:rFonts w:hint="eastAsia" w:ascii="仿宋_GB2312" w:hAnsi="仿宋_GB2312" w:eastAsia="仿宋_GB2312" w:cs="仿宋_GB2312"/>
                <w:sz w:val="24"/>
                <w:szCs w:val="24"/>
              </w:rPr>
            </w:pPr>
          </w:p>
        </w:tc>
        <w:tc>
          <w:tcPr>
            <w:tcW w:w="1530"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pPr>
              <w:widowControl/>
              <w:jc w:val="center"/>
              <w:textAlignment w:val="center"/>
              <w:rPr>
                <w:rFonts w:hint="eastAsia" w:ascii="仿宋_GB2312" w:hAnsi="仿宋_GB2312" w:eastAsia="仿宋_GB2312" w:cs="仿宋_GB2312"/>
                <w:sz w:val="24"/>
                <w:szCs w:val="24"/>
              </w:rPr>
            </w:pPr>
          </w:p>
        </w:tc>
        <w:tc>
          <w:tcPr>
            <w:tcW w:w="1097" w:type="dxa"/>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pPr>
              <w:widowControl/>
              <w:jc w:val="center"/>
              <w:textAlignment w:val="center"/>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pPr>
              <w:widowControl/>
              <w:jc w:val="left"/>
              <w:rPr>
                <w:rFonts w:hint="eastAsia" w:ascii="仿宋_GB2312" w:hAnsi="仿宋_GB2312" w:eastAsia="仿宋_GB2312" w:cs="仿宋_GB2312"/>
                <w:kern w:val="0"/>
                <w:sz w:val="24"/>
                <w:szCs w:val="24"/>
                <w:lang w:bidi="ar"/>
              </w:rPr>
            </w:pPr>
          </w:p>
        </w:tc>
      </w:tr>
    </w:tbl>
    <w:p>
      <w:pPr>
        <w:pStyle w:val="2"/>
        <w:rPr>
          <w:rFonts w:hint="eastAsia" w:ascii="仿宋_GB2312" w:hAnsi="仿宋_GB2312" w:eastAsia="仿宋_GB2312" w:cs="仿宋_GB2312"/>
          <w:b/>
          <w:bCs/>
          <w:color w:val="000000"/>
          <w:sz w:val="24"/>
          <w:szCs w:val="24"/>
        </w:rPr>
      </w:pPr>
    </w:p>
    <w:p>
      <w:pPr>
        <w:pStyle w:val="2"/>
        <w:rPr>
          <w:rFonts w:hint="eastAsia" w:ascii="仿宋_GB2312" w:hAnsi="仿宋_GB2312" w:eastAsia="仿宋_GB2312" w:cs="仿宋_GB2312"/>
          <w:b/>
          <w:bCs/>
          <w:color w:val="000000"/>
          <w:sz w:val="24"/>
          <w:szCs w:val="24"/>
        </w:rPr>
      </w:pPr>
    </w:p>
    <w:p>
      <w:pPr>
        <w:pStyle w:val="2"/>
        <w:rPr>
          <w:rFonts w:hint="eastAsia" w:ascii="仿宋_GB2312" w:hAnsi="仿宋_GB2312" w:eastAsia="仿宋_GB2312" w:cs="仿宋_GB2312"/>
          <w:b/>
          <w:bCs/>
          <w:color w:val="000000"/>
          <w:sz w:val="24"/>
          <w:szCs w:val="24"/>
        </w:rPr>
      </w:pPr>
    </w:p>
    <w:p>
      <w:pPr>
        <w:pStyle w:val="2"/>
        <w:rPr>
          <w:rFonts w:hint="eastAsia" w:ascii="仿宋_GB2312" w:hAnsi="仿宋_GB2312" w:eastAsia="仿宋_GB2312" w:cs="仿宋_GB2312"/>
          <w:b/>
          <w:bCs/>
          <w:color w:val="000000"/>
          <w:sz w:val="24"/>
          <w:szCs w:val="24"/>
        </w:rPr>
      </w:pPr>
    </w:p>
    <w:p>
      <w:pPr>
        <w:pStyle w:val="2"/>
        <w:rPr>
          <w:rFonts w:hint="eastAsia" w:ascii="仿宋_GB2312" w:hAnsi="仿宋_GB2312" w:eastAsia="仿宋_GB2312" w:cs="仿宋_GB2312"/>
          <w:b/>
          <w:bCs/>
          <w:color w:val="000000"/>
          <w:sz w:val="24"/>
          <w:szCs w:val="24"/>
        </w:rPr>
        <w:sectPr>
          <w:footerReference r:id="rId16" w:type="first"/>
          <w:footerReference r:id="rId15"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21977"/>
      <w:bookmarkStart w:id="164" w:name="_Toc21910"/>
      <w:bookmarkStart w:id="165" w:name="_Toc17882"/>
      <w:r>
        <w:rPr>
          <w:rFonts w:hint="eastAsia" w:ascii="仿宋_GB2312" w:hAnsi="仿宋_GB2312" w:eastAsia="仿宋_GB2312" w:cs="仿宋_GB2312"/>
          <w:b/>
          <w:bCs/>
          <w:kern w:val="2"/>
          <w:sz w:val="36"/>
          <w:szCs w:val="36"/>
          <w:lang w:val="en-US" w:eastAsia="zh-CN" w:bidi="ar-SA"/>
        </w:rPr>
        <w:t>附件4 保密承诺函</w:t>
      </w:r>
      <w:bookmarkEnd w:id="163"/>
      <w:bookmarkEnd w:id="164"/>
      <w:bookmarkEnd w:id="165"/>
    </w:p>
    <w:p>
      <w:pPr>
        <w:spacing w:line="240" w:lineRule="exact"/>
        <w:jc w:val="center"/>
        <w:rPr>
          <w:rFonts w:hint="eastAsia" w:ascii="仿宋_GB2312" w:hAnsi="仿宋_GB2312" w:eastAsia="仿宋_GB2312" w:cs="仿宋_GB2312"/>
          <w:b/>
          <w:bCs/>
          <w:sz w:val="36"/>
          <w:szCs w:val="20"/>
        </w:rPr>
      </w:pPr>
    </w:p>
    <w:p>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p>
    <w:p>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pPr>
        <w:rPr>
          <w:rFonts w:hint="eastAsia" w:ascii="仿宋_GB2312" w:hAnsi="仿宋_GB2312" w:eastAsia="仿宋_GB2312" w:cs="仿宋_GB2312"/>
          <w:b/>
          <w:bCs/>
          <w:color w:val="000000"/>
          <w:sz w:val="28"/>
          <w:szCs w:val="20"/>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20318"/>
      <w:bookmarkStart w:id="167" w:name="_Toc12909"/>
      <w:bookmarkStart w:id="168" w:name="_Toc6608"/>
      <w:r>
        <w:rPr>
          <w:rFonts w:hint="eastAsia" w:ascii="仿宋_GB2312" w:hAnsi="仿宋_GB2312" w:eastAsia="仿宋_GB2312" w:cs="仿宋_GB2312"/>
          <w:b/>
          <w:bCs/>
          <w:kern w:val="2"/>
          <w:sz w:val="36"/>
          <w:szCs w:val="36"/>
          <w:lang w:val="en-US" w:eastAsia="zh-CN" w:bidi="ar-SA"/>
        </w:rPr>
        <w:t>附件5-1 技术规格偏离表</w:t>
      </w:r>
      <w:bookmarkEnd w:id="166"/>
      <w:bookmarkEnd w:id="167"/>
      <w:bookmarkEnd w:id="16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仿宋_GB2312" w:hAnsi="仿宋_GB2312" w:eastAsia="仿宋_GB2312" w:cs="仿宋_GB2312"/>
                <w:b/>
                <w:sz w:val="24"/>
                <w:szCs w:val="20"/>
              </w:rPr>
            </w:pPr>
          </w:p>
        </w:tc>
        <w:tc>
          <w:tcPr>
            <w:tcW w:w="3449" w:type="dxa"/>
          </w:tcPr>
          <w:p>
            <w:pPr>
              <w:jc w:val="center"/>
              <w:rPr>
                <w:rFonts w:hint="eastAsia" w:ascii="仿宋_GB2312" w:hAnsi="仿宋_GB2312" w:eastAsia="仿宋_GB2312" w:cs="仿宋_GB2312"/>
                <w:b/>
                <w:sz w:val="24"/>
                <w:szCs w:val="20"/>
              </w:rPr>
            </w:pPr>
          </w:p>
        </w:tc>
        <w:tc>
          <w:tcPr>
            <w:tcW w:w="2414" w:type="dxa"/>
          </w:tcPr>
          <w:p>
            <w:pPr>
              <w:jc w:val="center"/>
              <w:rPr>
                <w:rFonts w:hint="eastAsia" w:ascii="仿宋_GB2312" w:hAnsi="仿宋_GB2312" w:eastAsia="仿宋_GB2312" w:cs="仿宋_GB2312"/>
                <w:b/>
                <w:sz w:val="24"/>
                <w:szCs w:val="20"/>
              </w:rPr>
            </w:pPr>
          </w:p>
        </w:tc>
        <w:tc>
          <w:tcPr>
            <w:tcW w:w="1608" w:type="dxa"/>
          </w:tcPr>
          <w:p>
            <w:pPr>
              <w:jc w:val="center"/>
              <w:rPr>
                <w:rFonts w:hint="eastAsia" w:ascii="仿宋_GB2312" w:hAnsi="仿宋_GB2312" w:eastAsia="仿宋_GB2312" w:cs="仿宋_GB2312"/>
                <w:b/>
                <w:sz w:val="24"/>
                <w:szCs w:val="20"/>
              </w:rPr>
            </w:pPr>
          </w:p>
        </w:tc>
      </w:tr>
    </w:tbl>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pPr>
        <w:rPr>
          <w:rFonts w:hint="eastAsia" w:ascii="仿宋_GB2312" w:hAnsi="仿宋_GB2312" w:eastAsia="仿宋_GB2312" w:cs="仿宋_GB2312"/>
          <w:b/>
          <w:bCs/>
          <w:color w:val="000000"/>
          <w:sz w:val="28"/>
          <w:szCs w:val="20"/>
        </w:rPr>
      </w:pPr>
    </w:p>
    <w:p>
      <w:pPr>
        <w:rPr>
          <w:rFonts w:hint="eastAsia" w:ascii="仿宋_GB2312" w:hAnsi="仿宋_GB2312" w:eastAsia="仿宋_GB2312" w:cs="仿宋_GB2312"/>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9" w:name="_Toc1711"/>
      <w:bookmarkStart w:id="170" w:name="_Toc16139"/>
      <w:bookmarkStart w:id="171" w:name="_Toc4359"/>
      <w:r>
        <w:rPr>
          <w:rFonts w:hint="eastAsia" w:ascii="仿宋_GB2312" w:hAnsi="仿宋_GB2312" w:eastAsia="仿宋_GB2312" w:cs="仿宋_GB2312"/>
          <w:b/>
          <w:bCs/>
          <w:kern w:val="2"/>
          <w:sz w:val="36"/>
          <w:szCs w:val="36"/>
          <w:lang w:val="en-US" w:eastAsia="zh-CN" w:bidi="ar-SA"/>
        </w:rPr>
        <w:t>附件5-2-1 设备分项配置</w:t>
      </w:r>
      <w:bookmarkEnd w:id="169"/>
      <w:bookmarkEnd w:id="170"/>
      <w:bookmarkEnd w:id="171"/>
      <w:r>
        <w:rPr>
          <w:rFonts w:hint="eastAsia" w:ascii="仿宋_GB2312" w:hAnsi="仿宋_GB2312" w:eastAsia="仿宋_GB2312" w:cs="仿宋_GB2312"/>
          <w:b/>
          <w:bCs/>
          <w:kern w:val="2"/>
          <w:sz w:val="36"/>
          <w:szCs w:val="36"/>
          <w:lang w:val="en-US" w:eastAsia="zh-CN" w:bidi="ar-SA"/>
        </w:rPr>
        <w:t>（卡车公司部分）</w:t>
      </w:r>
    </w:p>
    <w:p>
      <w:pPr>
        <w:bidi w:val="0"/>
        <w:jc w:val="center"/>
        <w:rPr>
          <w:rFonts w:hint="eastAsia" w:ascii="仿宋_GB2312" w:hAnsi="仿宋_GB2312" w:eastAsia="仿宋_GB2312" w:cs="仿宋_GB2312"/>
          <w:sz w:val="24"/>
          <w:szCs w:val="24"/>
        </w:rPr>
      </w:pPr>
      <w:bookmarkStart w:id="172"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72"/>
    </w:p>
    <w:tbl>
      <w:tblPr>
        <w:tblStyle w:val="38"/>
        <w:tblW w:w="131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0"/>
        <w:gridCol w:w="2763"/>
        <w:gridCol w:w="2763"/>
        <w:gridCol w:w="1530"/>
        <w:gridCol w:w="1530"/>
        <w:gridCol w:w="1530"/>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序号</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货物名称</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型号和规格</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数量</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单位</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原产地和制造商名称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烟气采样器</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温压流检测器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在线气相色谱仪（总烃、甲烷、非甲烷总烃、）</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氢湿氧检测仪</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在线氢气发生器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在线除烃仪</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预处理单元</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工控机</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采集、传输及处理软件</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空气压缩机</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油水分离器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安装辅料</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配套耗材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甲烷/丙烷混合标气</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氮气钢瓶</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采样管及电源信号线缆</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数采仪</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UPS</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在线监测站房</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冷暖两用空调</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可燃气体报警器        </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76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2763" w:type="dxa"/>
            <w:tcBorders>
              <w:top w:val="nil"/>
              <w:left w:val="single" w:color="000000" w:sz="8" w:space="0"/>
              <w:bottom w:val="nil"/>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nil"/>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nil"/>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以上投标设备不足之处请往下添加序号自行补充</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bl>
    <w:p>
      <w:pPr>
        <w:spacing w:before="52" w:line="221" w:lineRule="auto"/>
        <w:ind w:left="9"/>
        <w:jc w:val="right"/>
        <w:rPr>
          <w:rFonts w:hint="eastAsia" w:ascii="仿宋_GB2312" w:hAnsi="仿宋_GB2312" w:eastAsia="仿宋_GB2312" w:cs="仿宋_GB2312"/>
          <w:spacing w:val="-1"/>
          <w:szCs w:val="21"/>
        </w:rPr>
      </w:pPr>
    </w:p>
    <w:p>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p>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pPr>
        <w:spacing w:before="78" w:line="219" w:lineRule="auto"/>
        <w:ind w:left="431"/>
        <w:rPr>
          <w:rFonts w:hint="eastAsia" w:ascii="仿宋_GB2312" w:hAnsi="仿宋_GB2312" w:eastAsia="仿宋_GB2312" w:cs="仿宋_GB2312"/>
          <w:b w:val="0"/>
          <w:bCs w:val="0"/>
          <w:spacing w:val="-6"/>
          <w:szCs w:val="21"/>
          <w:lang w:val="en-US" w:eastAsia="zh-CN"/>
        </w:rPr>
      </w:pPr>
    </w:p>
    <w:p>
      <w:pPr>
        <w:spacing w:line="105" w:lineRule="exact"/>
        <w:rPr>
          <w:rFonts w:hint="eastAsia" w:ascii="仿宋_GB2312" w:hAnsi="仿宋_GB2312" w:eastAsia="仿宋_GB2312" w:cs="仿宋_GB2312"/>
        </w:rPr>
      </w:pPr>
    </w:p>
    <w:p>
      <w:pPr>
        <w:rPr>
          <w:rFonts w:hint="eastAsia" w:ascii="仿宋_GB2312" w:hAnsi="仿宋_GB2312" w:eastAsia="仿宋_GB2312" w:cs="仿宋_GB2312"/>
          <w:spacing w:val="-2"/>
          <w:sz w:val="24"/>
          <w:szCs w:val="24"/>
          <w:lang w:val="en-US" w:eastAsia="zh-CN"/>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pPr>
        <w:pStyle w:val="2"/>
        <w:rPr>
          <w:rFonts w:hint="eastAsia" w:ascii="仿宋_GB2312" w:hAnsi="仿宋_GB2312" w:eastAsia="仿宋_GB2312" w:cs="仿宋_GB2312"/>
          <w:spacing w:val="-2"/>
          <w:sz w:val="24"/>
          <w:szCs w:val="24"/>
          <w:lang w:val="en-US" w:eastAsia="zh-CN"/>
        </w:r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附件5-2-2 设备分项配置（橡塑件部分）</w:t>
      </w:r>
    </w:p>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p>
    <w:tbl>
      <w:tblPr>
        <w:tblStyle w:val="38"/>
        <w:tblW w:w="131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0"/>
        <w:gridCol w:w="2763"/>
        <w:gridCol w:w="2763"/>
        <w:gridCol w:w="1530"/>
        <w:gridCol w:w="1530"/>
        <w:gridCol w:w="1530"/>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序号</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货物名称</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型号和规格</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数量</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单位</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原产地和制造商名称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烟气采样器</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温压流检测器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5"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在线气相色谱仪（总烃、甲烷、非甲烷总烃、）</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氢湿氧检测仪</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在线氢气发生器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在线除烃仪</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预处理单元</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工控机</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采集、传输及处理软件</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空气压缩机</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油水分离器</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安装辅料</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配套耗材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甲烷/丙烷混合标气</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氮气钢瓶</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7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采样管及电源信号线缆</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数采仪</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UPS</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在线监测站房</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冷暖两用空调</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可燃气体报警器        </w:t>
            </w:r>
          </w:p>
        </w:tc>
        <w:tc>
          <w:tcPr>
            <w:tcW w:w="2763"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76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2763" w:type="dxa"/>
            <w:tcBorders>
              <w:top w:val="nil"/>
              <w:left w:val="single" w:color="000000" w:sz="8" w:space="0"/>
              <w:bottom w:val="nil"/>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530" w:type="dxa"/>
            <w:tcBorders>
              <w:top w:val="nil"/>
              <w:left w:val="single" w:color="000000" w:sz="8" w:space="0"/>
              <w:bottom w:val="nil"/>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nil"/>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76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二层平台、扶梯及辅助设施（橡塑件公司）</w:t>
            </w:r>
          </w:p>
        </w:tc>
        <w:tc>
          <w:tcPr>
            <w:tcW w:w="2763" w:type="dxa"/>
            <w:tcBorders>
              <w:top w:val="nil"/>
              <w:left w:val="single" w:color="000000" w:sz="8" w:space="0"/>
              <w:bottom w:val="nil"/>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c>
          <w:tcPr>
            <w:tcW w:w="1530"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套</w:t>
            </w:r>
          </w:p>
        </w:tc>
        <w:tc>
          <w:tcPr>
            <w:tcW w:w="1530" w:type="dxa"/>
            <w:tcBorders>
              <w:top w:val="nil"/>
              <w:left w:val="single" w:color="000000" w:sz="8" w:space="0"/>
              <w:bottom w:val="nil"/>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nil"/>
              <w:right w:val="single" w:color="000000" w:sz="8" w:space="0"/>
            </w:tcBorders>
            <w:shd w:val="clear" w:color="auto" w:fill="auto"/>
            <w:vAlign w:val="center"/>
          </w:tcPr>
          <w:p>
            <w:pP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5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以上投标设备不足之处请往下添加序号自行补充</w:t>
            </w:r>
          </w:p>
        </w:tc>
        <w:tc>
          <w:tcPr>
            <w:tcW w:w="276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kern w:val="0"/>
                <w:sz w:val="24"/>
                <w:szCs w:val="24"/>
                <w:u w:val="none"/>
                <w:lang w:val="en-US" w:eastAsia="zh-CN" w:bidi="ar"/>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kern w:val="0"/>
                <w:sz w:val="24"/>
                <w:szCs w:val="24"/>
                <w:u w:val="none"/>
                <w:lang w:val="en-US" w:eastAsia="zh-CN" w:bidi="ar"/>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30" w:type="dxa"/>
            <w:tcBorders>
              <w:top w:val="nil"/>
              <w:left w:val="single" w:color="000000" w:sz="8" w:space="0"/>
              <w:bottom w:val="single" w:color="000000" w:sz="8" w:space="0"/>
              <w:right w:val="single" w:color="000000" w:sz="8" w:space="0"/>
            </w:tcBorders>
            <w:shd w:val="clear" w:color="auto" w:fill="auto"/>
            <w:vAlign w:val="center"/>
          </w:tcPr>
          <w:p>
            <w:pPr>
              <w:rPr>
                <w:rFonts w:hint="eastAsia" w:ascii="仿宋_GB2312" w:hAnsi="宋体" w:eastAsia="仿宋_GB2312" w:cs="仿宋_GB2312"/>
                <w:i w:val="0"/>
                <w:iCs w:val="0"/>
                <w:color w:val="000000"/>
                <w:sz w:val="21"/>
                <w:szCs w:val="21"/>
                <w:u w:val="none"/>
              </w:rPr>
            </w:pPr>
          </w:p>
        </w:tc>
      </w:tr>
    </w:tbl>
    <w:p>
      <w:pPr>
        <w:spacing w:before="52" w:line="221" w:lineRule="auto"/>
        <w:ind w:left="9"/>
        <w:jc w:val="right"/>
        <w:rPr>
          <w:rFonts w:hint="eastAsia" w:ascii="仿宋_GB2312" w:hAnsi="仿宋_GB2312" w:eastAsia="仿宋_GB2312" w:cs="仿宋_GB2312"/>
          <w:spacing w:val="-1"/>
          <w:szCs w:val="21"/>
        </w:rPr>
      </w:pPr>
    </w:p>
    <w:p>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p>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pPr>
        <w:spacing w:before="78" w:line="219" w:lineRule="auto"/>
        <w:ind w:left="431"/>
        <w:rPr>
          <w:rFonts w:hint="eastAsia" w:ascii="仿宋_GB2312" w:hAnsi="仿宋_GB2312" w:eastAsia="仿宋_GB2312" w:cs="仿宋_GB2312"/>
          <w:b w:val="0"/>
          <w:bCs w:val="0"/>
          <w:spacing w:val="-6"/>
          <w:szCs w:val="21"/>
          <w:lang w:val="en-US" w:eastAsia="zh-CN"/>
        </w:rPr>
      </w:pPr>
    </w:p>
    <w:p>
      <w:pPr>
        <w:spacing w:line="105" w:lineRule="exact"/>
        <w:rPr>
          <w:rFonts w:hint="eastAsia" w:ascii="仿宋_GB2312" w:hAnsi="仿宋_GB2312" w:eastAsia="仿宋_GB2312" w:cs="仿宋_GB2312"/>
        </w:rPr>
      </w:pPr>
    </w:p>
    <w:p>
      <w:pPr>
        <w:rPr>
          <w:rFonts w:hint="eastAsia" w:ascii="仿宋_GB2312" w:hAnsi="仿宋_GB2312" w:eastAsia="仿宋_GB2312" w:cs="仿宋_GB2312"/>
          <w:spacing w:val="-2"/>
          <w:sz w:val="24"/>
          <w:szCs w:val="24"/>
          <w:lang w:val="en-US" w:eastAsia="zh-CN"/>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w:t>
      </w:r>
    </w:p>
    <w:p>
      <w:pPr>
        <w:rPr>
          <w:rFonts w:hint="eastAsia" w:ascii="仿宋_GB2312" w:hAnsi="仿宋_GB2312" w:eastAsia="仿宋_GB2312" w:cs="仿宋_GB2312"/>
          <w:spacing w:val="-2"/>
          <w:sz w:val="24"/>
          <w:szCs w:val="24"/>
          <w:lang w:val="en-US" w:eastAsia="zh-CN"/>
        </w:rPr>
      </w:pPr>
      <w:r>
        <w:rPr>
          <w:rFonts w:hint="eastAsia" w:ascii="仿宋_GB2312" w:hAnsi="仿宋_GB2312" w:eastAsia="仿宋_GB2312" w:cs="仿宋_GB2312"/>
          <w:spacing w:val="-2"/>
          <w:sz w:val="24"/>
          <w:szCs w:val="24"/>
          <w:lang w:val="en-US" w:eastAsia="zh-CN"/>
        </w:rPr>
        <w:br w:type="page"/>
      </w:r>
    </w:p>
    <w:p>
      <w:pPr>
        <w:pStyle w:val="2"/>
        <w:rPr>
          <w:rFonts w:hint="eastAsia"/>
          <w:lang w:val="en-US" w:eastAsia="zh-CN"/>
        </w:rPr>
        <w:sectPr>
          <w:footerReference r:id="rId21" w:type="default"/>
          <w:pgSz w:w="16841" w:h="11907" w:orient="landscape"/>
          <w:pgMar w:top="400" w:right="1387" w:bottom="1168" w:left="1473" w:header="0" w:footer="990" w:gutter="0"/>
          <w:pgNumType w:fmt="decimal"/>
          <w:cols w:equalWidth="0" w:num="1">
            <w:col w:w="13980"/>
          </w:cols>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3" w:name="_Toc32609"/>
      <w:bookmarkStart w:id="174" w:name="_Toc26990"/>
      <w:bookmarkStart w:id="175" w:name="_Toc17522"/>
      <w:r>
        <w:rPr>
          <w:rFonts w:hint="eastAsia" w:ascii="仿宋_GB2312" w:hAnsi="仿宋_GB2312" w:eastAsia="仿宋_GB2312" w:cs="仿宋_GB2312"/>
          <w:b/>
          <w:bCs/>
          <w:kern w:val="2"/>
          <w:sz w:val="36"/>
          <w:szCs w:val="36"/>
          <w:lang w:val="en-US" w:eastAsia="zh-CN" w:bidi="ar-SA"/>
        </w:rPr>
        <w:t>附件6 2020年1月1日至今同类项目业绩一览表</w:t>
      </w:r>
      <w:bookmarkEnd w:id="173"/>
      <w:bookmarkEnd w:id="174"/>
      <w:bookmarkEnd w:id="175"/>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合同金额</w:t>
            </w:r>
          </w:p>
        </w:tc>
        <w:tc>
          <w:tcPr>
            <w:tcW w:w="1023" w:type="dxa"/>
            <w:vAlign w:val="center"/>
          </w:tcPr>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eastAsia" w:ascii="仿宋_GB2312" w:hAnsi="仿宋_GB2312" w:eastAsia="仿宋_GB2312" w:cs="仿宋_GB2312"/>
                <w:b/>
                <w:szCs w:val="20"/>
              </w:rPr>
            </w:pPr>
          </w:p>
        </w:tc>
        <w:tc>
          <w:tcPr>
            <w:tcW w:w="2082" w:type="dxa"/>
          </w:tcPr>
          <w:p>
            <w:pPr>
              <w:ind w:left="420" w:hanging="420"/>
              <w:rPr>
                <w:rFonts w:hint="eastAsia" w:ascii="仿宋_GB2312" w:hAnsi="仿宋_GB2312" w:eastAsia="仿宋_GB2312" w:cs="仿宋_GB2312"/>
                <w:b/>
                <w:szCs w:val="20"/>
              </w:rPr>
            </w:pPr>
          </w:p>
        </w:tc>
        <w:tc>
          <w:tcPr>
            <w:tcW w:w="1355" w:type="dxa"/>
          </w:tcPr>
          <w:p>
            <w:pPr>
              <w:ind w:left="420" w:hanging="420"/>
              <w:rPr>
                <w:rFonts w:hint="eastAsia" w:ascii="仿宋_GB2312" w:hAnsi="仿宋_GB2312" w:eastAsia="仿宋_GB2312" w:cs="仿宋_GB2312"/>
                <w:b/>
                <w:szCs w:val="20"/>
              </w:rPr>
            </w:pP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20</w:t>
            </w:r>
            <w:r>
              <w:rPr>
                <w:rFonts w:hint="eastAsia" w:ascii="仿宋_GB2312" w:hAnsi="仿宋_GB2312" w:eastAsia="仿宋_GB2312" w:cs="仿宋_GB2312"/>
                <w:sz w:val="24"/>
                <w:szCs w:val="24"/>
                <w:highlight w:val="yellow"/>
              </w:rPr>
              <w:t>年1月1日至今所有业绩合同总额汇总（必填</w:t>
            </w:r>
            <w:r>
              <w:rPr>
                <w:rFonts w:hint="eastAsia" w:ascii="仿宋_GB2312" w:hAnsi="仿宋_GB2312" w:eastAsia="仿宋_GB2312" w:cs="仿宋_GB2312"/>
                <w:sz w:val="24"/>
                <w:szCs w:val="24"/>
                <w:highlight w:val="yellow"/>
                <w:lang w:eastAsia="zh-CN"/>
              </w:rPr>
              <w:t>）</w:t>
            </w:r>
          </w:p>
        </w:tc>
        <w:tc>
          <w:tcPr>
            <w:tcW w:w="826" w:type="dxa"/>
          </w:tcPr>
          <w:p>
            <w:pPr>
              <w:ind w:left="420" w:hanging="420"/>
              <w:rPr>
                <w:rFonts w:hint="eastAsia" w:ascii="仿宋_GB2312" w:hAnsi="仿宋_GB2312" w:eastAsia="仿宋_GB2312" w:cs="仿宋_GB2312"/>
                <w:b/>
                <w:szCs w:val="20"/>
              </w:rPr>
            </w:pPr>
          </w:p>
        </w:tc>
        <w:tc>
          <w:tcPr>
            <w:tcW w:w="1320" w:type="dxa"/>
          </w:tcPr>
          <w:p>
            <w:pPr>
              <w:ind w:left="420" w:hanging="420"/>
              <w:rPr>
                <w:rFonts w:hint="eastAsia" w:ascii="仿宋_GB2312" w:hAnsi="仿宋_GB2312" w:eastAsia="仿宋_GB2312" w:cs="仿宋_GB2312"/>
                <w:b/>
                <w:szCs w:val="20"/>
              </w:rPr>
            </w:pPr>
          </w:p>
        </w:tc>
        <w:tc>
          <w:tcPr>
            <w:tcW w:w="1023" w:type="dxa"/>
          </w:tcPr>
          <w:p>
            <w:pPr>
              <w:ind w:left="420" w:hanging="420"/>
              <w:rPr>
                <w:rFonts w:hint="eastAsia" w:ascii="仿宋_GB2312" w:hAnsi="仿宋_GB2312" w:eastAsia="仿宋_GB2312" w:cs="仿宋_GB2312"/>
                <w:b/>
                <w:szCs w:val="20"/>
              </w:rPr>
            </w:pPr>
          </w:p>
        </w:tc>
        <w:tc>
          <w:tcPr>
            <w:tcW w:w="1590" w:type="dxa"/>
          </w:tcPr>
          <w:p>
            <w:pPr>
              <w:ind w:left="420" w:hanging="420"/>
              <w:rPr>
                <w:rFonts w:hint="eastAsia" w:ascii="仿宋_GB2312" w:hAnsi="仿宋_GB2312" w:eastAsia="仿宋_GB2312" w:cs="仿宋_GB2312"/>
                <w:b/>
                <w:szCs w:val="20"/>
              </w:rPr>
            </w:pPr>
          </w:p>
        </w:tc>
      </w:tr>
    </w:tbl>
    <w:p>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pPr>
        <w:tabs>
          <w:tab w:val="left" w:pos="1578"/>
          <w:tab w:val="left" w:pos="10083"/>
        </w:tabs>
        <w:spacing w:line="500" w:lineRule="exact"/>
        <w:rPr>
          <w:rFonts w:hint="eastAsia" w:ascii="仿宋_GB2312" w:hAnsi="仿宋_GB2312" w:eastAsia="仿宋_GB2312" w:cs="仿宋_GB2312"/>
          <w:sz w:val="24"/>
          <w:szCs w:val="20"/>
        </w:rPr>
      </w:pP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pPr>
        <w:rPr>
          <w:rFonts w:hint="eastAsia" w:ascii="仿宋_GB2312" w:hAnsi="仿宋_GB2312" w:eastAsia="仿宋_GB2312" w:cs="仿宋_GB2312"/>
          <w:b/>
          <w:bCs/>
          <w:color w:val="000000"/>
          <w:sz w:val="28"/>
        </w:rPr>
        <w:sectPr>
          <w:footerReference r:id="rId22"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6" w:name="_Toc11000"/>
      <w:bookmarkStart w:id="177" w:name="_Toc15631"/>
      <w:bookmarkStart w:id="178" w:name="_Toc13376"/>
      <w:r>
        <w:rPr>
          <w:rFonts w:hint="eastAsia" w:ascii="仿宋_GB2312" w:hAnsi="仿宋_GB2312" w:eastAsia="仿宋_GB2312" w:cs="仿宋_GB2312"/>
          <w:b/>
          <w:bCs/>
          <w:kern w:val="2"/>
          <w:sz w:val="36"/>
          <w:szCs w:val="36"/>
          <w:lang w:val="en-US" w:eastAsia="zh-CN" w:bidi="ar-SA"/>
        </w:rPr>
        <w:t>附件7 设备质量承诺函</w:t>
      </w:r>
      <w:bookmarkEnd w:id="176"/>
      <w:bookmarkEnd w:id="177"/>
      <w:bookmarkEnd w:id="178"/>
    </w:p>
    <w:p>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p>
    <w:p>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pPr>
        <w:rPr>
          <w:rFonts w:hint="eastAsia" w:ascii="仿宋_GB2312" w:hAnsi="仿宋_GB2312" w:eastAsia="仿宋_GB2312" w:cs="仿宋_GB2312"/>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9" w:name="_Toc31406"/>
      <w:bookmarkStart w:id="180" w:name="_Toc14734"/>
      <w:bookmarkStart w:id="181" w:name="_Toc30507"/>
      <w:r>
        <w:rPr>
          <w:rFonts w:hint="eastAsia" w:ascii="仿宋_GB2312" w:hAnsi="仿宋_GB2312" w:eastAsia="仿宋_GB2312" w:cs="仿宋_GB2312"/>
          <w:b/>
          <w:bCs/>
          <w:kern w:val="2"/>
          <w:sz w:val="36"/>
          <w:szCs w:val="36"/>
          <w:lang w:val="en-US" w:eastAsia="zh-CN" w:bidi="ar-SA"/>
        </w:rPr>
        <w:t>附件8 开标一览表</w:t>
      </w:r>
      <w:bookmarkEnd w:id="179"/>
      <w:bookmarkEnd w:id="180"/>
      <w:bookmarkEnd w:id="181"/>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1</w:t>
            </w:r>
          </w:p>
        </w:tc>
        <w:tc>
          <w:tcPr>
            <w:tcW w:w="1518" w:type="dxa"/>
            <w:vAlign w:val="center"/>
          </w:tcPr>
          <w:p>
            <w:pPr>
              <w:jc w:val="center"/>
              <w:rPr>
                <w:rFonts w:hint="default"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u w:val="single"/>
                <w:lang w:val="en-US" w:eastAsia="zh-CN"/>
              </w:rPr>
              <w:t>卡车公司VOCS在线监控系统</w:t>
            </w:r>
          </w:p>
        </w:tc>
        <w:tc>
          <w:tcPr>
            <w:tcW w:w="848" w:type="dxa"/>
            <w:vAlign w:val="center"/>
          </w:tcPr>
          <w:p>
            <w:pPr>
              <w:jc w:val="center"/>
              <w:rPr>
                <w:rFonts w:hint="eastAsia" w:ascii="仿宋_GB2312" w:hAnsi="仿宋_GB2312" w:eastAsia="仿宋_GB2312" w:cs="仿宋_GB2312"/>
                <w:b/>
                <w:szCs w:val="20"/>
                <w:lang w:val="en-US" w:eastAsia="zh-CN"/>
              </w:rPr>
            </w:pPr>
            <w:r>
              <w:rPr>
                <w:rFonts w:hint="eastAsia" w:ascii="仿宋_GB2312" w:hAnsi="仿宋_GB2312" w:eastAsia="仿宋_GB2312" w:cs="仿宋_GB2312"/>
                <w:b/>
                <w:szCs w:val="20"/>
                <w:lang w:val="en-US" w:eastAsia="zh-CN"/>
              </w:rPr>
              <w:t>3</w:t>
            </w:r>
          </w:p>
        </w:tc>
        <w:tc>
          <w:tcPr>
            <w:tcW w:w="227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pPr>
              <w:jc w:val="center"/>
              <w:rPr>
                <w:rFonts w:hint="eastAsia" w:ascii="仿宋_GB2312" w:hAnsi="仿宋_GB2312" w:eastAsia="仿宋_GB2312" w:cs="仿宋_GB2312"/>
                <w:b/>
                <w:szCs w:val="20"/>
              </w:rPr>
            </w:pPr>
          </w:p>
        </w:tc>
        <w:tc>
          <w:tcPr>
            <w:tcW w:w="960" w:type="dxa"/>
            <w:vAlign w:val="center"/>
          </w:tcPr>
          <w:p>
            <w:pPr>
              <w:jc w:val="center"/>
              <w:rPr>
                <w:rFonts w:hint="eastAsia" w:ascii="仿宋_GB2312" w:hAnsi="仿宋_GB2312" w:eastAsia="仿宋_GB2312" w:cs="仿宋_GB2312"/>
                <w:b/>
                <w:szCs w:val="20"/>
              </w:rPr>
            </w:pPr>
          </w:p>
        </w:tc>
        <w:tc>
          <w:tcPr>
            <w:tcW w:w="900" w:type="dxa"/>
            <w:vAlign w:val="center"/>
          </w:tcPr>
          <w:p>
            <w:pPr>
              <w:jc w:val="center"/>
              <w:rPr>
                <w:rFonts w:hint="eastAsia" w:ascii="仿宋_GB2312" w:hAnsi="仿宋_GB2312" w:eastAsia="仿宋_GB2312" w:cs="仿宋_GB2312"/>
                <w:b/>
                <w:szCs w:val="20"/>
              </w:rPr>
            </w:pPr>
          </w:p>
        </w:tc>
        <w:tc>
          <w:tcPr>
            <w:tcW w:w="932" w:type="dxa"/>
            <w:vAlign w:val="center"/>
          </w:tcPr>
          <w:p>
            <w:pPr>
              <w:jc w:val="center"/>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pPr>
              <w:jc w:val="center"/>
              <w:rPr>
                <w:rFonts w:hint="eastAsia" w:ascii="仿宋_GB2312" w:hAnsi="仿宋_GB2312" w:eastAsia="仿宋_GB2312" w:cs="仿宋_GB2312"/>
                <w:b/>
                <w:szCs w:val="20"/>
                <w:lang w:val="en-US" w:eastAsia="zh-CN"/>
              </w:rPr>
            </w:pPr>
            <w:r>
              <w:rPr>
                <w:rFonts w:hint="eastAsia" w:ascii="仿宋_GB2312" w:hAnsi="仿宋_GB2312" w:eastAsia="仿宋_GB2312" w:cs="仿宋_GB2312"/>
                <w:b/>
                <w:szCs w:val="20"/>
                <w:lang w:val="en-US" w:eastAsia="zh-CN"/>
              </w:rPr>
              <w:t>2</w:t>
            </w:r>
          </w:p>
        </w:tc>
        <w:tc>
          <w:tcPr>
            <w:tcW w:w="1518" w:type="dxa"/>
            <w:vAlign w:val="center"/>
          </w:tcPr>
          <w:p>
            <w:pPr>
              <w:jc w:val="center"/>
              <w:rPr>
                <w:rFonts w:hint="default" w:ascii="仿宋_GB2312" w:hAnsi="仿宋_GB2312" w:eastAsia="仿宋_GB2312" w:cs="仿宋_GB2312"/>
                <w:b/>
                <w:bCs w:val="0"/>
                <w:kern w:val="2"/>
                <w:sz w:val="21"/>
                <w:szCs w:val="20"/>
                <w:lang w:val="en-US" w:eastAsia="zh-CN" w:bidi="ar-SA"/>
              </w:rPr>
            </w:pPr>
            <w:r>
              <w:rPr>
                <w:rFonts w:hint="eastAsia" w:ascii="仿宋_GB2312" w:hAnsi="仿宋_GB2312" w:eastAsia="仿宋_GB2312" w:cs="仿宋_GB2312"/>
                <w:b/>
                <w:bCs/>
                <w:sz w:val="24"/>
                <w:szCs w:val="24"/>
                <w:highlight w:val="green"/>
                <w:u w:val="single"/>
                <w:lang w:val="en-US" w:eastAsia="zh-CN"/>
              </w:rPr>
              <w:t>橡塑件公司VOCS在线监控系统</w:t>
            </w:r>
          </w:p>
        </w:tc>
        <w:tc>
          <w:tcPr>
            <w:tcW w:w="848" w:type="dxa"/>
            <w:vAlign w:val="center"/>
          </w:tcPr>
          <w:p>
            <w:pPr>
              <w:jc w:val="center"/>
              <w:rPr>
                <w:rFonts w:hint="eastAsia" w:ascii="仿宋_GB2312" w:hAnsi="仿宋_GB2312" w:eastAsia="仿宋_GB2312" w:cs="仿宋_GB2312"/>
                <w:b/>
                <w:kern w:val="2"/>
                <w:sz w:val="21"/>
                <w:szCs w:val="20"/>
                <w:lang w:val="en-US" w:eastAsia="zh-CN" w:bidi="ar-SA"/>
              </w:rPr>
            </w:pPr>
            <w:r>
              <w:rPr>
                <w:rFonts w:hint="eastAsia" w:ascii="仿宋_GB2312" w:hAnsi="仿宋_GB2312" w:eastAsia="仿宋_GB2312" w:cs="仿宋_GB2312"/>
                <w:b/>
                <w:szCs w:val="20"/>
                <w:lang w:val="en-US" w:eastAsia="zh-CN"/>
              </w:rPr>
              <w:t>3</w:t>
            </w:r>
          </w:p>
        </w:tc>
        <w:tc>
          <w:tcPr>
            <w:tcW w:w="227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pPr>
              <w:jc w:val="center"/>
              <w:rPr>
                <w:rFonts w:hint="eastAsia" w:ascii="仿宋_GB2312" w:hAnsi="仿宋_GB2312" w:eastAsia="仿宋_GB2312" w:cs="仿宋_GB2312"/>
                <w:b/>
                <w:kern w:val="2"/>
                <w:sz w:val="21"/>
                <w:szCs w:val="20"/>
                <w:lang w:val="en-US" w:eastAsia="zh-CN" w:bidi="ar-SA"/>
              </w:rPr>
            </w:pPr>
            <w:r>
              <w:rPr>
                <w:rFonts w:hint="eastAsia" w:ascii="仿宋_GB2312" w:hAnsi="仿宋_GB2312" w:eastAsia="仿宋_GB2312" w:cs="仿宋_GB2312"/>
                <w:b/>
                <w:szCs w:val="20"/>
              </w:rPr>
              <w:t>税率：</w:t>
            </w:r>
          </w:p>
        </w:tc>
        <w:tc>
          <w:tcPr>
            <w:tcW w:w="955" w:type="dxa"/>
            <w:vAlign w:val="center"/>
          </w:tcPr>
          <w:p>
            <w:pPr>
              <w:jc w:val="center"/>
              <w:rPr>
                <w:rFonts w:hint="eastAsia" w:ascii="仿宋_GB2312" w:hAnsi="仿宋_GB2312" w:eastAsia="仿宋_GB2312" w:cs="仿宋_GB2312"/>
                <w:b/>
                <w:kern w:val="2"/>
                <w:sz w:val="21"/>
                <w:szCs w:val="20"/>
                <w:lang w:val="en-US" w:eastAsia="zh-CN" w:bidi="ar-SA"/>
              </w:rPr>
            </w:pPr>
          </w:p>
        </w:tc>
        <w:tc>
          <w:tcPr>
            <w:tcW w:w="960" w:type="dxa"/>
            <w:vAlign w:val="center"/>
          </w:tcPr>
          <w:p>
            <w:pPr>
              <w:jc w:val="center"/>
              <w:rPr>
                <w:rFonts w:hint="eastAsia" w:ascii="仿宋_GB2312" w:hAnsi="仿宋_GB2312" w:eastAsia="仿宋_GB2312" w:cs="仿宋_GB2312"/>
                <w:b/>
                <w:kern w:val="2"/>
                <w:sz w:val="21"/>
                <w:szCs w:val="20"/>
                <w:lang w:val="en-US" w:eastAsia="zh-CN" w:bidi="ar-SA"/>
              </w:rPr>
            </w:pPr>
          </w:p>
        </w:tc>
        <w:tc>
          <w:tcPr>
            <w:tcW w:w="900" w:type="dxa"/>
            <w:vAlign w:val="center"/>
          </w:tcPr>
          <w:p>
            <w:pPr>
              <w:jc w:val="center"/>
              <w:rPr>
                <w:rFonts w:hint="eastAsia" w:ascii="仿宋_GB2312" w:hAnsi="仿宋_GB2312" w:eastAsia="仿宋_GB2312" w:cs="仿宋_GB2312"/>
                <w:b/>
                <w:kern w:val="2"/>
                <w:sz w:val="21"/>
                <w:szCs w:val="20"/>
                <w:lang w:val="en-US" w:eastAsia="zh-CN" w:bidi="ar-SA"/>
              </w:rPr>
            </w:pPr>
          </w:p>
        </w:tc>
        <w:tc>
          <w:tcPr>
            <w:tcW w:w="932" w:type="dxa"/>
            <w:vAlign w:val="center"/>
          </w:tcPr>
          <w:p>
            <w:pPr>
              <w:jc w:val="center"/>
              <w:rPr>
                <w:rFonts w:hint="eastAsia" w:ascii="仿宋_GB2312" w:hAnsi="仿宋_GB2312" w:eastAsia="仿宋_GB2312" w:cs="仿宋_GB2312"/>
                <w:b/>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677" w:type="dxa"/>
            <w:vAlign w:val="center"/>
          </w:tcPr>
          <w:p>
            <w:pPr>
              <w:jc w:val="center"/>
              <w:rPr>
                <w:rFonts w:hint="eastAsia" w:ascii="仿宋_GB2312" w:hAnsi="仿宋_GB2312" w:eastAsia="仿宋_GB2312" w:cs="仿宋_GB2312"/>
                <w:b/>
                <w:szCs w:val="20"/>
                <w:lang w:val="en-US" w:eastAsia="zh-CN"/>
              </w:rPr>
            </w:pPr>
            <w:r>
              <w:rPr>
                <w:rFonts w:hint="eastAsia" w:ascii="仿宋_GB2312" w:hAnsi="仿宋_GB2312" w:eastAsia="仿宋_GB2312" w:cs="仿宋_GB2312"/>
                <w:b/>
                <w:szCs w:val="20"/>
                <w:lang w:val="en-US" w:eastAsia="zh-CN"/>
              </w:rPr>
              <w:t>总计</w:t>
            </w:r>
          </w:p>
        </w:tc>
        <w:tc>
          <w:tcPr>
            <w:tcW w:w="1518" w:type="dxa"/>
            <w:vAlign w:val="center"/>
          </w:tcPr>
          <w:p>
            <w:pPr>
              <w:jc w:val="center"/>
              <w:rPr>
                <w:rFonts w:hint="eastAsia" w:ascii="仿宋_GB2312" w:hAnsi="仿宋_GB2312" w:eastAsia="仿宋_GB2312" w:cs="仿宋_GB2312"/>
                <w:b/>
                <w:bCs/>
                <w:szCs w:val="20"/>
                <w:lang w:val="en-US" w:eastAsia="zh-CN"/>
              </w:rPr>
            </w:pPr>
          </w:p>
        </w:tc>
        <w:tc>
          <w:tcPr>
            <w:tcW w:w="848" w:type="dxa"/>
            <w:vAlign w:val="center"/>
          </w:tcPr>
          <w:p>
            <w:pPr>
              <w:jc w:val="center"/>
              <w:rPr>
                <w:rFonts w:hint="eastAsia" w:ascii="仿宋_GB2312" w:hAnsi="仿宋_GB2312" w:eastAsia="仿宋_GB2312" w:cs="仿宋_GB2312"/>
                <w:b/>
                <w:szCs w:val="20"/>
              </w:rPr>
            </w:pPr>
          </w:p>
        </w:tc>
        <w:tc>
          <w:tcPr>
            <w:tcW w:w="2270" w:type="dxa"/>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pPr>
              <w:jc w:val="center"/>
              <w:rPr>
                <w:rFonts w:hint="eastAsia" w:ascii="仿宋_GB2312" w:hAnsi="仿宋_GB2312" w:eastAsia="仿宋_GB2312" w:cs="仿宋_GB2312"/>
                <w:b/>
                <w:szCs w:val="20"/>
              </w:rPr>
            </w:pPr>
          </w:p>
        </w:tc>
        <w:tc>
          <w:tcPr>
            <w:tcW w:w="960" w:type="dxa"/>
            <w:vAlign w:val="center"/>
          </w:tcPr>
          <w:p>
            <w:pPr>
              <w:jc w:val="center"/>
              <w:rPr>
                <w:rFonts w:hint="eastAsia" w:ascii="仿宋_GB2312" w:hAnsi="仿宋_GB2312" w:eastAsia="仿宋_GB2312" w:cs="仿宋_GB2312"/>
                <w:b/>
                <w:szCs w:val="20"/>
              </w:rPr>
            </w:pPr>
          </w:p>
        </w:tc>
        <w:tc>
          <w:tcPr>
            <w:tcW w:w="900" w:type="dxa"/>
            <w:vAlign w:val="center"/>
          </w:tcPr>
          <w:p>
            <w:pPr>
              <w:jc w:val="center"/>
              <w:rPr>
                <w:rFonts w:hint="eastAsia" w:ascii="仿宋_GB2312" w:hAnsi="仿宋_GB2312" w:eastAsia="仿宋_GB2312" w:cs="仿宋_GB2312"/>
                <w:b/>
                <w:szCs w:val="20"/>
              </w:rPr>
            </w:pPr>
          </w:p>
        </w:tc>
        <w:tc>
          <w:tcPr>
            <w:tcW w:w="932" w:type="dxa"/>
            <w:vAlign w:val="center"/>
          </w:tcPr>
          <w:p>
            <w:pPr>
              <w:jc w:val="center"/>
              <w:rPr>
                <w:rFonts w:hint="eastAsia" w:ascii="仿宋_GB2312" w:hAnsi="仿宋_GB2312" w:eastAsia="仿宋_GB2312" w:cs="仿宋_GB2312"/>
                <w:b/>
                <w:szCs w:val="20"/>
              </w:rPr>
            </w:pPr>
          </w:p>
        </w:tc>
      </w:tr>
    </w:tbl>
    <w:p>
      <w:pPr>
        <w:rPr>
          <w:rFonts w:hint="eastAsia" w:ascii="仿宋_GB2312" w:hAnsi="仿宋_GB2312" w:eastAsia="仿宋_GB2312" w:cs="仿宋_GB2312"/>
          <w:sz w:val="24"/>
          <w:szCs w:val="24"/>
        </w:rPr>
      </w:pPr>
    </w:p>
    <w:p>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pPr>
        <w:pStyle w:val="2"/>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pPr>
        <w:ind w:firstLine="480"/>
        <w:rPr>
          <w:rFonts w:hint="eastAsia" w:ascii="仿宋_GB2312" w:hAnsi="仿宋_GB2312" w:eastAsia="仿宋_GB2312" w:cs="仿宋_GB2312"/>
          <w:color w:val="000000"/>
          <w:sz w:val="24"/>
          <w:szCs w:val="24"/>
        </w:rPr>
      </w:pPr>
    </w:p>
    <w:p>
      <w:pPr>
        <w:pStyle w:val="2"/>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pPr>
        <w:rPr>
          <w:rFonts w:hint="eastAsia" w:ascii="仿宋_GB2312" w:hAnsi="仿宋_GB2312" w:eastAsia="仿宋_GB2312" w:cs="仿宋_GB2312"/>
          <w:color w:val="000000"/>
          <w:sz w:val="24"/>
          <w:szCs w:val="24"/>
        </w:r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2" w:name="_Toc13743"/>
      <w:bookmarkStart w:id="183" w:name="_Toc27992"/>
      <w:bookmarkStart w:id="184" w:name="_Toc20761"/>
      <w:r>
        <w:rPr>
          <w:rFonts w:hint="eastAsia" w:ascii="仿宋_GB2312" w:hAnsi="仿宋_GB2312" w:eastAsia="仿宋_GB2312" w:cs="仿宋_GB2312"/>
          <w:b/>
          <w:bCs/>
          <w:kern w:val="2"/>
          <w:sz w:val="36"/>
          <w:szCs w:val="36"/>
          <w:lang w:val="en-US" w:eastAsia="zh-CN" w:bidi="ar-SA"/>
        </w:rPr>
        <w:t>附件9 设备分项报价表</w:t>
      </w:r>
      <w:bookmarkEnd w:id="182"/>
      <w:bookmarkEnd w:id="183"/>
      <w:bookmarkEnd w:id="184"/>
    </w:p>
    <w:p>
      <w:pPr>
        <w:rPr>
          <w:rFonts w:hint="default" w:ascii="仿宋_GB2312" w:hAnsi="仿宋_GB2312" w:eastAsia="仿宋_GB2312" w:cs="仿宋_GB2312"/>
          <w:lang w:val="en-US" w:eastAsia="zh-CN"/>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r>
        <w:rPr>
          <w:rFonts w:hint="eastAsia" w:ascii="仿宋_GB2312" w:hAnsi="仿宋_GB2312" w:eastAsia="仿宋_GB2312" w:cs="仿宋_GB2312"/>
          <w:spacing w:val="-7"/>
          <w:sz w:val="24"/>
          <w:szCs w:val="24"/>
          <w:lang w:val="en-US" w:eastAsia="zh-CN"/>
          <w14:textOutline w14:w="4356" w14:cap="flat" w14:cmpd="sng" w14:algn="ctr">
            <w14:solidFill>
              <w14:srgbClr w14:val="000000"/>
            </w14:solidFill>
            <w14:prstDash w14:val="solid"/>
            <w14:miter w14:val="0"/>
          </w14:textOutline>
        </w:rPr>
        <w:t>-1（卡车部分）</w:t>
      </w:r>
    </w:p>
    <w:p>
      <w:pPr>
        <w:keepNext/>
        <w:keepLines/>
        <w:spacing w:line="400" w:lineRule="exact"/>
        <w:jc w:val="cente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38"/>
        <w:tblW w:w="134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3"/>
        <w:gridCol w:w="2226"/>
        <w:gridCol w:w="2226"/>
        <w:gridCol w:w="1233"/>
        <w:gridCol w:w="1233"/>
        <w:gridCol w:w="1233"/>
        <w:gridCol w:w="1233"/>
        <w:gridCol w:w="1627"/>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w:t>
            </w:r>
          </w:p>
        </w:tc>
        <w:tc>
          <w:tcPr>
            <w:tcW w:w="1233"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w:t>
            </w:r>
          </w:p>
        </w:tc>
        <w:tc>
          <w:tcPr>
            <w:tcW w:w="162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8</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序号</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货物名称</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型号和规格</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数量</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单位</w:t>
            </w:r>
          </w:p>
        </w:tc>
        <w:tc>
          <w:tcPr>
            <w:tcW w:w="1233"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原产地和制造商名称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单价（不含税）（元）</w:t>
            </w:r>
          </w:p>
        </w:tc>
        <w:tc>
          <w:tcPr>
            <w:tcW w:w="16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总价[4×7]（不含税）(元)</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烟气采样器</w:t>
            </w:r>
          </w:p>
        </w:tc>
        <w:tc>
          <w:tcPr>
            <w:tcW w:w="222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温压流检测器</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在线气相色谱仪（总烃、甲烷、非甲烷总烃、）</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氢湿氧检测仪</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在线氢气发生器</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在线除烃仪</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预处理单元</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工控机</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采集、传输及处理软件</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空气压缩机</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油水分离器</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安装辅料</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配套耗材</w:t>
            </w:r>
          </w:p>
        </w:tc>
        <w:tc>
          <w:tcPr>
            <w:tcW w:w="2226" w:type="dxa"/>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甲烷/丙烷混合标气</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氮气钢瓶</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瓶</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采样管及电源信号线缆</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数采仪</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UPS</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在线监测站房</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冷暖两用空调</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可燃气体报警器        </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2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2226" w:type="dxa"/>
            <w:tcBorders>
              <w:top w:val="nil"/>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2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以上投标设备不足之处请往下添加序号自行补充</w:t>
            </w:r>
          </w:p>
        </w:tc>
        <w:tc>
          <w:tcPr>
            <w:tcW w:w="2226"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627" w:type="dxa"/>
            <w:tcBorders>
              <w:top w:val="single" w:color="000000" w:sz="8" w:space="0"/>
              <w:left w:val="nil"/>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17" w:type="dxa"/>
            <w:gridSpan w:val="7"/>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总价合计列入价格汇总表 9-5-1</w:t>
            </w:r>
          </w:p>
        </w:tc>
        <w:tc>
          <w:tcPr>
            <w:tcW w:w="1627" w:type="dxa"/>
            <w:tcBorders>
              <w:top w:val="nil"/>
              <w:left w:val="nil"/>
              <w:bottom w:val="single" w:color="000000" w:sz="8" w:space="0"/>
              <w:right w:val="single" w:color="000000" w:sz="8" w:space="0"/>
            </w:tcBorders>
            <w:shd w:val="clear" w:color="auto" w:fill="auto"/>
            <w:vAlign w:val="top"/>
          </w:tcPr>
          <w:p>
            <w:pPr>
              <w:jc w:val="both"/>
              <w:rPr>
                <w:rFonts w:hint="eastAsia" w:ascii="仿宋_GB2312" w:hAnsi="宋体" w:eastAsia="仿宋_GB2312" w:cs="仿宋_GB2312"/>
                <w:i w:val="0"/>
                <w:iCs w:val="0"/>
                <w:color w:val="000000"/>
                <w:sz w:val="21"/>
                <w:szCs w:val="21"/>
                <w:u w:val="none"/>
              </w:rPr>
            </w:pPr>
          </w:p>
        </w:tc>
        <w:tc>
          <w:tcPr>
            <w:tcW w:w="1233" w:type="dxa"/>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rPr>
          <w:rFonts w:hint="eastAsia"/>
        </w:rPr>
      </w:pPr>
    </w:p>
    <w:p>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spacing w:line="105" w:lineRule="exact"/>
        <w:rPr>
          <w:rFonts w:hint="eastAsia" w:ascii="仿宋_GB2312" w:hAnsi="仿宋_GB2312" w:eastAsia="仿宋_GB2312" w:cs="仿宋_GB2312"/>
        </w:rPr>
      </w:pPr>
    </w:p>
    <w:p>
      <w:pPr>
        <w:rPr>
          <w:rFonts w:hint="eastAsia" w:ascii="仿宋_GB2312" w:hAnsi="仿宋_GB2312" w:eastAsia="仿宋_GB2312" w:cs="仿宋_GB2312"/>
        </w:rPr>
        <w:sectPr>
          <w:footerReference r:id="rId25" w:type="default"/>
          <w:pgSz w:w="16841" w:h="11907" w:orient="landscape"/>
          <w:pgMar w:top="400" w:right="1387" w:bottom="1168" w:left="1473" w:header="0" w:footer="990" w:gutter="0"/>
          <w:pgNumType w:fmt="decimal"/>
          <w:cols w:equalWidth="0" w:num="1">
            <w:col w:w="13980"/>
          </w:cols>
        </w:sectPr>
      </w:pPr>
    </w:p>
    <w:p>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spacing w:before="85" w:line="198" w:lineRule="auto"/>
        <w:ind w:left="432"/>
        <w:rPr>
          <w:rFonts w:hint="default" w:ascii="仿宋_GB2312" w:hAnsi="仿宋_GB2312" w:eastAsia="仿宋_GB2312" w:cs="仿宋_GB2312"/>
          <w:spacing w:val="-4"/>
          <w:sz w:val="24"/>
          <w:szCs w:val="24"/>
          <w:lang w:val="en-US" w:eastAsia="zh-CN"/>
        </w:rPr>
      </w:pPr>
    </w:p>
    <w:p>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pPr>
        <w:rPr>
          <w:rFonts w:hint="eastAsia" w:ascii="仿宋_GB2312" w:hAnsi="仿宋_GB2312" w:eastAsia="仿宋_GB2312" w:cs="仿宋_GB2312"/>
          <w:sz w:val="24"/>
          <w:szCs w:val="24"/>
        </w:rPr>
      </w:pPr>
    </w:p>
    <w:p>
      <w:pPr>
        <w:pStyle w:val="2"/>
        <w:rPr>
          <w:rFonts w:hint="eastAsia"/>
        </w:rPr>
      </w:pPr>
    </w:p>
    <w:p>
      <w:pPr>
        <w:rPr>
          <w:rFonts w:hint="default" w:ascii="仿宋_GB2312" w:hAnsi="仿宋_GB2312" w:eastAsia="仿宋_GB2312" w:cs="仿宋_GB2312"/>
          <w:lang w:val="en-US" w:eastAsia="zh-CN"/>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r>
        <w:rPr>
          <w:rFonts w:hint="eastAsia" w:ascii="仿宋_GB2312" w:hAnsi="仿宋_GB2312" w:eastAsia="仿宋_GB2312" w:cs="仿宋_GB2312"/>
          <w:spacing w:val="-7"/>
          <w:sz w:val="24"/>
          <w:szCs w:val="24"/>
          <w:lang w:val="en-US" w:eastAsia="zh-CN"/>
          <w14:textOutline w14:w="4356" w14:cap="flat" w14:cmpd="sng" w14:algn="ctr">
            <w14:solidFill>
              <w14:srgbClr w14:val="000000"/>
            </w14:solidFill>
            <w14:prstDash w14:val="solid"/>
            <w14:miter w14:val="0"/>
          </w14:textOutline>
        </w:rPr>
        <w:t>-2（橡塑件部分）</w:t>
      </w:r>
    </w:p>
    <w:p>
      <w:pPr>
        <w:keepNext/>
        <w:keepLines/>
        <w:spacing w:line="400" w:lineRule="exact"/>
        <w:jc w:val="cente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38"/>
        <w:tblW w:w="135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3"/>
        <w:gridCol w:w="2248"/>
        <w:gridCol w:w="2248"/>
        <w:gridCol w:w="1243"/>
        <w:gridCol w:w="1243"/>
        <w:gridCol w:w="1243"/>
        <w:gridCol w:w="1243"/>
        <w:gridCol w:w="1641"/>
        <w:gridCol w:w="1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4</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5</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6</w:t>
            </w:r>
          </w:p>
        </w:tc>
        <w:tc>
          <w:tcPr>
            <w:tcW w:w="1243" w:type="dxa"/>
            <w:tcBorders>
              <w:top w:val="nil"/>
              <w:left w:val="single" w:color="000000" w:sz="8" w:space="0"/>
              <w:bottom w:val="single" w:color="000000" w:sz="8" w:space="0"/>
              <w:right w:val="nil"/>
            </w:tcBorders>
            <w:shd w:val="clear" w:color="auto" w:fill="auto"/>
            <w:vAlign w:val="center"/>
          </w:tcPr>
          <w:p>
            <w:pPr>
              <w:pStyle w:val="2"/>
              <w:rPr>
                <w:rFonts w:hint="eastAsia"/>
              </w:rPr>
            </w:pPr>
            <w:r>
              <w:rPr>
                <w:rFonts w:hint="eastAsia"/>
                <w:lang w:val="en-US" w:eastAsia="zh-CN"/>
              </w:rPr>
              <w:t>7</w:t>
            </w:r>
          </w:p>
        </w:tc>
        <w:tc>
          <w:tcPr>
            <w:tcW w:w="164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8</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3"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序号</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货物名称</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型号和规格</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数量</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单位</w:t>
            </w:r>
          </w:p>
        </w:tc>
        <w:tc>
          <w:tcPr>
            <w:tcW w:w="1243" w:type="dxa"/>
            <w:tcBorders>
              <w:top w:val="nil"/>
              <w:left w:val="single" w:color="000000" w:sz="8" w:space="0"/>
              <w:bottom w:val="single" w:color="000000" w:sz="8" w:space="0"/>
              <w:right w:val="nil"/>
            </w:tcBorders>
            <w:shd w:val="clear" w:color="auto" w:fill="auto"/>
            <w:vAlign w:val="center"/>
          </w:tcPr>
          <w:p>
            <w:pPr>
              <w:pStyle w:val="2"/>
              <w:rPr>
                <w:rFonts w:hint="eastAsia"/>
              </w:rPr>
            </w:pPr>
            <w:r>
              <w:rPr>
                <w:rFonts w:hint="eastAsia"/>
                <w:lang w:val="en-US" w:eastAsia="zh-CN"/>
              </w:rPr>
              <w:t>原产地和制造商名称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单价（不含税）（元）</w:t>
            </w: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总价[4×7]（不含税）(元)</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烟气采样器</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温压流检测器</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在线气相色谱仪（总烃、甲烷、非甲烷总烃、）</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4</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氢湿氧检测仪</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5</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在线氢气发生器</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6</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在线除烃仪</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7</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预处理单元</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8</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工控机</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9</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采集、传输及处理软件</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10</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空气压缩机</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11</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油水分离器</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12</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机柜</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13</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安装辅料</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14</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配套耗材</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15</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甲烷/丙烷混合标气</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瓶</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16</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氮气钢瓶</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瓶</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根据需要配置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17</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采样管及电源信号线缆</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套</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18</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数采仪</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19</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UPS</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20</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视频监控</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套</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21</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在线监测站房</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个</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22</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冷暖两用空调</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台</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23</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 xml:space="preserve">可燃气体报警器        </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个</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24</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声光报警器</w:t>
            </w:r>
          </w:p>
        </w:tc>
        <w:tc>
          <w:tcPr>
            <w:tcW w:w="2248" w:type="dxa"/>
            <w:tcBorders>
              <w:top w:val="nil"/>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3</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个</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641"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25</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二层平台、扶梯及辅助设施（橡塑件公司）</w:t>
            </w:r>
          </w:p>
        </w:tc>
        <w:tc>
          <w:tcPr>
            <w:tcW w:w="2248"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1</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r>
              <w:rPr>
                <w:rFonts w:hint="eastAsia"/>
                <w:lang w:val="en-US" w:eastAsia="zh-CN"/>
              </w:rPr>
              <w:t>套</w:t>
            </w: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2"/>
              <w:rPr>
                <w:rFonts w:hint="eastAsia"/>
              </w:rPr>
            </w:pPr>
          </w:p>
        </w:tc>
        <w:tc>
          <w:tcPr>
            <w:tcW w:w="1641" w:type="dxa"/>
            <w:tcBorders>
              <w:top w:val="nil"/>
              <w:left w:val="nil"/>
              <w:bottom w:val="single" w:color="000000" w:sz="8" w:space="0"/>
              <w:right w:val="single" w:color="000000" w:sz="8" w:space="0"/>
            </w:tcBorders>
            <w:shd w:val="clear" w:color="auto" w:fill="auto"/>
            <w:vAlign w:val="center"/>
          </w:tcPr>
          <w:p>
            <w:pPr>
              <w:pStyle w:val="2"/>
              <w:rPr>
                <w:rFonts w:hint="eastAsia"/>
              </w:rPr>
            </w:pPr>
          </w:p>
        </w:tc>
        <w:tc>
          <w:tcPr>
            <w:tcW w:w="1243" w:type="dxa"/>
            <w:tcBorders>
              <w:top w:val="nil"/>
              <w:left w:val="single" w:color="000000" w:sz="8" w:space="0"/>
              <w:bottom w:val="single" w:color="000000" w:sz="8" w:space="0"/>
              <w:right w:val="single" w:color="000000" w:sz="8" w:space="0"/>
            </w:tcBorders>
            <w:shd w:val="clear" w:color="auto" w:fill="auto"/>
            <w:vAlign w:val="center"/>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r>
              <w:rPr>
                <w:rFonts w:hint="eastAsia"/>
                <w:lang w:val="en-US" w:eastAsia="zh-CN"/>
              </w:rPr>
              <w:t>…</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r>
              <w:rPr>
                <w:rFonts w:hint="eastAsia"/>
                <w:lang w:val="en-US" w:eastAsia="zh-CN"/>
              </w:rPr>
              <w:t>以上投标设备不足之处请往下添加序号自行补充</w:t>
            </w:r>
          </w:p>
        </w:tc>
        <w:tc>
          <w:tcPr>
            <w:tcW w:w="2248"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c>
          <w:tcPr>
            <w:tcW w:w="1641" w:type="dxa"/>
            <w:tcBorders>
              <w:top w:val="single" w:color="000000" w:sz="8" w:space="0"/>
              <w:left w:val="nil"/>
              <w:bottom w:val="single" w:color="000000" w:sz="8" w:space="0"/>
              <w:right w:val="single" w:color="000000" w:sz="8" w:space="0"/>
            </w:tcBorders>
            <w:shd w:val="clear" w:color="auto" w:fill="auto"/>
            <w:vAlign w:val="top"/>
          </w:tcPr>
          <w:p>
            <w:pPr>
              <w:pStyle w:val="2"/>
              <w:rPr>
                <w:rFonts w:hint="eastAsia"/>
              </w:rPr>
            </w:pPr>
          </w:p>
        </w:tc>
        <w:tc>
          <w:tcPr>
            <w:tcW w:w="1243" w:type="dxa"/>
            <w:tcBorders>
              <w:top w:val="single" w:color="000000" w:sz="8" w:space="0"/>
              <w:left w:val="single" w:color="000000" w:sz="8" w:space="0"/>
              <w:bottom w:val="single" w:color="000000" w:sz="8" w:space="0"/>
              <w:right w:val="single" w:color="000000" w:sz="8" w:space="0"/>
            </w:tcBorders>
            <w:shd w:val="clear" w:color="auto" w:fill="auto"/>
            <w:vAlign w:val="top"/>
          </w:tcPr>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0711" w:type="dxa"/>
            <w:gridSpan w:val="7"/>
            <w:tcBorders>
              <w:top w:val="nil"/>
              <w:left w:val="single" w:color="000000" w:sz="8" w:space="0"/>
              <w:bottom w:val="single" w:color="000000" w:sz="8" w:space="0"/>
              <w:right w:val="single" w:color="000000" w:sz="8" w:space="0"/>
            </w:tcBorders>
            <w:shd w:val="clear" w:color="auto" w:fill="auto"/>
            <w:vAlign w:val="top"/>
          </w:tcPr>
          <w:p>
            <w:pPr>
              <w:pStyle w:val="2"/>
              <w:jc w:val="center"/>
              <w:rPr>
                <w:rFonts w:hint="default"/>
                <w:lang w:val="en-US"/>
              </w:rPr>
            </w:pPr>
            <w:r>
              <w:rPr>
                <w:rFonts w:hint="eastAsia"/>
                <w:lang w:val="en-US" w:eastAsia="zh-CN"/>
              </w:rPr>
              <w:t>总价合计列入价格汇总表 9-5-2</w:t>
            </w:r>
          </w:p>
        </w:tc>
        <w:tc>
          <w:tcPr>
            <w:tcW w:w="1641" w:type="dxa"/>
            <w:tcBorders>
              <w:top w:val="nil"/>
              <w:left w:val="nil"/>
              <w:bottom w:val="single" w:color="000000" w:sz="8" w:space="0"/>
              <w:right w:val="single" w:color="000000" w:sz="8" w:space="0"/>
            </w:tcBorders>
            <w:shd w:val="clear" w:color="auto" w:fill="auto"/>
            <w:vAlign w:val="top"/>
          </w:tcPr>
          <w:p>
            <w:pPr>
              <w:pStyle w:val="2"/>
              <w:rPr>
                <w:rFonts w:hint="eastAsia"/>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2"/>
              <w:rPr>
                <w:rFonts w:hint="eastAsia"/>
              </w:rPr>
            </w:pPr>
          </w:p>
        </w:tc>
      </w:tr>
    </w:tbl>
    <w:p>
      <w:pPr>
        <w:pStyle w:val="2"/>
        <w:rPr>
          <w:rFonts w:hint="eastAsia"/>
        </w:rPr>
      </w:pPr>
    </w:p>
    <w:p>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spacing w:line="105" w:lineRule="exact"/>
        <w:rPr>
          <w:rFonts w:hint="eastAsia" w:ascii="仿宋_GB2312" w:hAnsi="仿宋_GB2312" w:eastAsia="仿宋_GB2312" w:cs="仿宋_GB2312"/>
        </w:rPr>
      </w:pPr>
    </w:p>
    <w:p>
      <w:pPr>
        <w:rPr>
          <w:rFonts w:hint="eastAsia" w:ascii="仿宋_GB2312" w:hAnsi="仿宋_GB2312" w:eastAsia="仿宋_GB2312" w:cs="仿宋_GB2312"/>
        </w:rPr>
        <w:sectPr>
          <w:footerReference r:id="rId26" w:type="default"/>
          <w:type w:val="continuous"/>
          <w:pgSz w:w="16841" w:h="11907" w:orient="landscape"/>
          <w:pgMar w:top="400" w:right="1387" w:bottom="1168" w:left="1473" w:header="0" w:footer="990" w:gutter="0"/>
          <w:pgNumType w:fmt="decimal"/>
          <w:cols w:equalWidth="0" w:num="1">
            <w:col w:w="13980"/>
          </w:cols>
        </w:sectPr>
      </w:pPr>
    </w:p>
    <w:p>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rPr>
          <w:rFonts w:hint="eastAsia" w:ascii="仿宋_GB2312" w:hAnsi="仿宋_GB2312" w:eastAsia="仿宋_GB2312" w:cs="仿宋_GB2312"/>
          <w:sz w:val="24"/>
          <w:szCs w:val="24"/>
        </w:rPr>
      </w:pPr>
    </w:p>
    <w:p>
      <w:pPr>
        <w:pStyle w:val="2"/>
        <w:rPr>
          <w:rFonts w:hint="eastAsia"/>
        </w:rPr>
        <w:sectPr>
          <w:type w:val="continuous"/>
          <w:pgSz w:w="16841" w:h="11907"/>
          <w:pgMar w:top="400" w:right="1387" w:bottom="1168" w:left="1473" w:header="0" w:footer="990" w:gutter="0"/>
          <w:pgNumType w:fmt="decimal"/>
          <w:cols w:equalWidth="0" w:num="2">
            <w:col w:w="4757" w:space="100"/>
            <w:col w:w="9124"/>
          </w:cols>
        </w:sectPr>
      </w:pPr>
    </w:p>
    <w:p>
      <w:pPr>
        <w:pStyle w:val="2"/>
        <w:rPr>
          <w:rFonts w:hint="eastAsia"/>
        </w:rPr>
        <w:sectPr>
          <w:type w:val="continuous"/>
          <w:pgSz w:w="16841" w:h="11907"/>
          <w:pgMar w:top="400" w:right="1387" w:bottom="1168" w:left="1473" w:header="0" w:footer="990" w:gutter="0"/>
          <w:pgNumType w:fmt="decimal"/>
          <w:cols w:equalWidth="0" w:num="2">
            <w:col w:w="4757" w:space="100"/>
            <w:col w:w="9124"/>
          </w:cols>
        </w:sectPr>
      </w:pPr>
    </w:p>
    <w:p>
      <w:pPr>
        <w:jc w:val="left"/>
        <w:rPr>
          <w:rFonts w:hint="default"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r>
        <w:rPr>
          <w:rFonts w:hint="eastAsia"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t>-1（卡车部分）</w:t>
      </w:r>
    </w:p>
    <w:p>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仿宋_GB2312" w:hAnsi="仿宋_GB2312" w:eastAsia="仿宋_GB2312" w:cs="仿宋_GB2312"/>
              </w:rPr>
            </w:pPr>
          </w:p>
          <w:p>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仿宋_GB2312" w:hAnsi="仿宋_GB2312" w:eastAsia="仿宋_GB2312" w:cs="仿宋_GB2312"/>
              </w:rPr>
            </w:pPr>
          </w:p>
          <w:p>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仿宋_GB2312" w:hAnsi="仿宋_GB2312" w:eastAsia="仿宋_GB2312" w:cs="仿宋_GB2312"/>
              </w:rPr>
            </w:pPr>
          </w:p>
        </w:tc>
        <w:tc>
          <w:tcPr>
            <w:tcW w:w="3530" w:type="dxa"/>
            <w:vMerge w:val="continue"/>
            <w:tcBorders>
              <w:top w:val="nil"/>
            </w:tcBorders>
          </w:tcPr>
          <w:p>
            <w:pPr>
              <w:rPr>
                <w:rFonts w:hint="eastAsia" w:ascii="仿宋_GB2312" w:hAnsi="仿宋_GB2312" w:eastAsia="仿宋_GB2312" w:cs="仿宋_GB2312"/>
              </w:rPr>
            </w:pPr>
          </w:p>
        </w:tc>
        <w:tc>
          <w:tcPr>
            <w:tcW w:w="2159" w:type="dxa"/>
          </w:tcPr>
          <w:p>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vMerge w:val="restart"/>
            <w:tcBorders>
              <w:bottom w:val="nil"/>
            </w:tcBorders>
          </w:tcPr>
          <w:p>
            <w:pPr>
              <w:spacing w:line="295" w:lineRule="auto"/>
              <w:rPr>
                <w:rFonts w:hint="eastAsia" w:ascii="仿宋_GB2312" w:hAnsi="仿宋_GB2312" w:eastAsia="仿宋_GB2312" w:cs="仿宋_GB2312"/>
              </w:rPr>
            </w:pPr>
          </w:p>
          <w:p>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vMerge w:val="continue"/>
            <w:tcBorders>
              <w:top w:val="nil"/>
            </w:tcBorders>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default" w:ascii="仿宋_GB2312" w:hAnsi="仿宋_GB2312" w:eastAsia="仿宋_GB2312" w:cs="仿宋_GB2312"/>
                <w:szCs w:val="21"/>
                <w:lang w:val="en-US" w:eastAsia="zh-CN"/>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r>
              <w:rPr>
                <w:rFonts w:hint="eastAsia" w:ascii="仿宋_GB2312" w:hAnsi="仿宋_GB2312" w:eastAsia="仿宋_GB2312" w:cs="仿宋_GB2312"/>
                <w:spacing w:val="-4"/>
                <w:szCs w:val="21"/>
                <w:lang w:val="en-US" w:eastAsia="zh-CN"/>
              </w:rPr>
              <w:t>-1</w:t>
            </w:r>
          </w:p>
        </w:tc>
        <w:tc>
          <w:tcPr>
            <w:tcW w:w="4760" w:type="dxa"/>
            <w:gridSpan w:val="2"/>
          </w:tcPr>
          <w:p>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pPr>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jc w:val="left"/>
        <w:rPr>
          <w:rFonts w:hint="default"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r>
        <w:rPr>
          <w:rFonts w:hint="eastAsia"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t>-2（橡塑件部分）</w:t>
      </w:r>
    </w:p>
    <w:p>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hint="eastAsia" w:ascii="仿宋_GB2312" w:hAnsi="仿宋_GB2312" w:eastAsia="仿宋_GB2312" w:cs="仿宋_GB2312"/>
              </w:rPr>
            </w:pPr>
          </w:p>
          <w:p>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仿宋_GB2312" w:hAnsi="仿宋_GB2312" w:eastAsia="仿宋_GB2312" w:cs="仿宋_GB2312"/>
              </w:rPr>
            </w:pPr>
          </w:p>
          <w:p>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仿宋_GB2312" w:hAnsi="仿宋_GB2312" w:eastAsia="仿宋_GB2312" w:cs="仿宋_GB2312"/>
              </w:rPr>
            </w:pPr>
          </w:p>
        </w:tc>
        <w:tc>
          <w:tcPr>
            <w:tcW w:w="3530" w:type="dxa"/>
            <w:vMerge w:val="continue"/>
            <w:tcBorders>
              <w:top w:val="nil"/>
            </w:tcBorders>
          </w:tcPr>
          <w:p>
            <w:pPr>
              <w:rPr>
                <w:rFonts w:hint="eastAsia" w:ascii="仿宋_GB2312" w:hAnsi="仿宋_GB2312" w:eastAsia="仿宋_GB2312" w:cs="仿宋_GB2312"/>
              </w:rPr>
            </w:pPr>
          </w:p>
        </w:tc>
        <w:tc>
          <w:tcPr>
            <w:tcW w:w="2159" w:type="dxa"/>
          </w:tcPr>
          <w:p>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vMerge w:val="restart"/>
            <w:tcBorders>
              <w:bottom w:val="nil"/>
            </w:tcBorders>
          </w:tcPr>
          <w:p>
            <w:pPr>
              <w:spacing w:line="295" w:lineRule="auto"/>
              <w:rPr>
                <w:rFonts w:hint="eastAsia" w:ascii="仿宋_GB2312" w:hAnsi="仿宋_GB2312" w:eastAsia="仿宋_GB2312" w:cs="仿宋_GB2312"/>
              </w:rPr>
            </w:pPr>
          </w:p>
          <w:p>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vMerge w:val="continue"/>
            <w:tcBorders>
              <w:top w:val="nil"/>
            </w:tcBorders>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pPr>
              <w:rPr>
                <w:rFonts w:hint="eastAsia" w:ascii="仿宋_GB2312" w:hAnsi="仿宋_GB2312" w:eastAsia="仿宋_GB2312" w:cs="仿宋_GB2312"/>
              </w:rPr>
            </w:pPr>
          </w:p>
        </w:tc>
        <w:tc>
          <w:tcPr>
            <w:tcW w:w="2186" w:type="dxa"/>
          </w:tcPr>
          <w:p>
            <w:pPr>
              <w:rPr>
                <w:rFonts w:hint="eastAsia" w:ascii="仿宋_GB2312" w:hAnsi="仿宋_GB2312" w:eastAsia="仿宋_GB2312" w:cs="仿宋_GB2312"/>
              </w:rPr>
            </w:pPr>
          </w:p>
        </w:tc>
        <w:tc>
          <w:tcPr>
            <w:tcW w:w="2596" w:type="dxa"/>
          </w:tcPr>
          <w:p>
            <w:pPr>
              <w:rPr>
                <w:rFonts w:hint="eastAsia" w:ascii="仿宋_GB2312" w:hAnsi="仿宋_GB2312" w:eastAsia="仿宋_GB2312" w:cs="仿宋_GB2312"/>
              </w:rPr>
            </w:pPr>
          </w:p>
        </w:tc>
        <w:tc>
          <w:tcPr>
            <w:tcW w:w="2164" w:type="dxa"/>
          </w:tcPr>
          <w:p>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default" w:ascii="仿宋_GB2312" w:hAnsi="仿宋_GB2312" w:eastAsia="仿宋_GB2312" w:cs="仿宋_GB2312"/>
                <w:szCs w:val="21"/>
                <w:lang w:val="en-US" w:eastAsia="zh-CN"/>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r>
              <w:rPr>
                <w:rFonts w:hint="eastAsia" w:ascii="仿宋_GB2312" w:hAnsi="仿宋_GB2312" w:eastAsia="仿宋_GB2312" w:cs="仿宋_GB2312"/>
                <w:spacing w:val="-4"/>
                <w:szCs w:val="21"/>
                <w:lang w:val="en-US" w:eastAsia="zh-CN"/>
              </w:rPr>
              <w:t>-2</w:t>
            </w:r>
          </w:p>
        </w:tc>
        <w:tc>
          <w:tcPr>
            <w:tcW w:w="4760" w:type="dxa"/>
            <w:gridSpan w:val="2"/>
          </w:tcPr>
          <w:p>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pPr>
        <w:rPr>
          <w:rFonts w:hint="eastAsia" w:ascii="仿宋_GB2312" w:hAnsi="仿宋_GB2312" w:eastAsia="仿宋_GB2312" w:cs="仿宋_GB2312"/>
          <w:sz w:val="24"/>
          <w:szCs w:val="24"/>
        </w:rPr>
        <w:sectPr>
          <w:footerReference r:id="rId27" w:type="default"/>
          <w:pgSz w:w="16841" w:h="11907"/>
          <w:pgMar w:top="400" w:right="1699" w:bottom="1184" w:left="1481" w:header="0" w:footer="1022" w:gutter="0"/>
          <w:pgNumType w:fmt="decimal"/>
          <w:cols w:space="720" w:num="1"/>
        </w:sectPr>
      </w:pPr>
    </w:p>
    <w:p>
      <w:pPr>
        <w:jc w:val="left"/>
        <w:rPr>
          <w:rFonts w:hint="default"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r>
        <w:rPr>
          <w:rFonts w:hint="eastAsia"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t>-1（卡车部分）</w:t>
      </w:r>
    </w:p>
    <w:p>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rPr>
          <w:rFonts w:hint="eastAsia" w:ascii="仿宋_GB2312" w:hAnsi="仿宋_GB2312" w:eastAsia="仿宋_GB2312" w:cs="仿宋_GB2312"/>
        </w:rPr>
      </w:pPr>
    </w:p>
    <w:p>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default"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-1</w:t>
            </w:r>
          </w:p>
        </w:tc>
        <w:tc>
          <w:tcPr>
            <w:tcW w:w="1126"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pPr>
        <w:spacing w:before="35" w:line="239" w:lineRule="auto"/>
        <w:ind w:left="724"/>
        <w:rPr>
          <w:rFonts w:hint="eastAsia" w:ascii="仿宋_GB2312" w:hAnsi="仿宋_GB2312" w:eastAsia="仿宋_GB2312" w:cs="仿宋_GB2312"/>
          <w:spacing w:val="-1"/>
          <w:sz w:val="24"/>
          <w:szCs w:val="24"/>
        </w:rPr>
      </w:pPr>
    </w:p>
    <w:p>
      <w:pPr>
        <w:pStyle w:val="2"/>
        <w:rPr>
          <w:rFonts w:hint="eastAsia" w:ascii="仿宋_GB2312" w:hAnsi="仿宋_GB2312" w:eastAsia="仿宋_GB2312" w:cs="仿宋_GB2312"/>
          <w:spacing w:val="-1"/>
          <w:sz w:val="24"/>
          <w:szCs w:val="24"/>
        </w:rPr>
      </w:pPr>
    </w:p>
    <w:p>
      <w:pPr>
        <w:pStyle w:val="2"/>
        <w:rPr>
          <w:rFonts w:hint="eastAsia" w:ascii="仿宋_GB2312" w:hAnsi="仿宋_GB2312" w:eastAsia="仿宋_GB2312" w:cs="仿宋_GB2312"/>
          <w:spacing w:val="-1"/>
          <w:sz w:val="24"/>
          <w:szCs w:val="24"/>
        </w:rPr>
      </w:pPr>
    </w:p>
    <w:p>
      <w:pPr>
        <w:pStyle w:val="2"/>
        <w:rPr>
          <w:rFonts w:hint="eastAsia" w:ascii="仿宋_GB2312" w:hAnsi="仿宋_GB2312" w:eastAsia="仿宋_GB2312" w:cs="仿宋_GB2312"/>
          <w:spacing w:val="-1"/>
          <w:sz w:val="24"/>
          <w:szCs w:val="24"/>
        </w:rPr>
      </w:pPr>
    </w:p>
    <w:p>
      <w:pPr>
        <w:pStyle w:val="2"/>
        <w:rPr>
          <w:rFonts w:hint="eastAsia" w:ascii="仿宋_GB2312" w:hAnsi="仿宋_GB2312" w:eastAsia="仿宋_GB2312" w:cs="仿宋_GB2312"/>
          <w:spacing w:val="-1"/>
          <w:sz w:val="24"/>
          <w:szCs w:val="24"/>
        </w:rPr>
      </w:pPr>
    </w:p>
    <w:p>
      <w:pPr>
        <w:pStyle w:val="2"/>
        <w:rPr>
          <w:rFonts w:hint="eastAsia" w:ascii="仿宋_GB2312" w:hAnsi="仿宋_GB2312" w:eastAsia="仿宋_GB2312" w:cs="仿宋_GB2312"/>
          <w:spacing w:val="-1"/>
          <w:sz w:val="24"/>
          <w:szCs w:val="24"/>
        </w:rPr>
      </w:pPr>
    </w:p>
    <w:p>
      <w:pPr>
        <w:jc w:val="left"/>
        <w:rPr>
          <w:rFonts w:hint="default"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r>
        <w:rPr>
          <w:rFonts w:hint="eastAsia" w:ascii="仿宋_GB2312" w:hAnsi="仿宋_GB2312" w:eastAsia="仿宋_GB2312" w:cs="仿宋_GB2312"/>
          <w:spacing w:val="-10"/>
          <w:sz w:val="24"/>
          <w:szCs w:val="24"/>
          <w:lang w:val="en-US" w:eastAsia="zh-CN"/>
          <w14:textOutline w14:w="3835" w14:cap="flat" w14:cmpd="sng" w14:algn="ctr">
            <w14:solidFill>
              <w14:srgbClr w14:val="000000"/>
            </w14:solidFill>
            <w14:prstDash w14:val="solid"/>
            <w14:miter w14:val="0"/>
          </w14:textOutline>
        </w:rPr>
        <w:t>-2（橡塑件部分）</w:t>
      </w:r>
    </w:p>
    <w:p>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rPr>
          <w:rFonts w:hint="eastAsia" w:ascii="仿宋_GB2312" w:hAnsi="仿宋_GB2312" w:eastAsia="仿宋_GB2312" w:cs="仿宋_GB2312"/>
        </w:rPr>
      </w:pPr>
    </w:p>
    <w:p>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1138" w:type="dxa"/>
          </w:tcPr>
          <w:p>
            <w:pPr>
              <w:spacing w:before="266" w:line="221" w:lineRule="auto"/>
              <w:jc w:val="center"/>
              <w:rPr>
                <w:rFonts w:hint="eastAsia" w:ascii="仿宋_GB2312" w:hAnsi="仿宋_GB2312" w:eastAsia="仿宋_GB2312" w:cs="仿宋_GB2312"/>
                <w:spacing w:val="-2"/>
                <w:szCs w:val="21"/>
              </w:rPr>
            </w:pPr>
          </w:p>
        </w:tc>
        <w:tc>
          <w:tcPr>
            <w:tcW w:w="2449" w:type="dxa"/>
          </w:tcPr>
          <w:p>
            <w:pPr>
              <w:rPr>
                <w:rFonts w:hint="eastAsia" w:ascii="仿宋_GB2312" w:hAnsi="仿宋_GB2312" w:eastAsia="仿宋_GB2312" w:cs="仿宋_GB2312"/>
              </w:rPr>
            </w:pPr>
          </w:p>
        </w:tc>
        <w:tc>
          <w:tcPr>
            <w:tcW w:w="3328" w:type="dxa"/>
          </w:tcPr>
          <w:p>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default"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-2</w:t>
            </w:r>
          </w:p>
        </w:tc>
        <w:tc>
          <w:tcPr>
            <w:tcW w:w="1126"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pPr>
        <w:pStyle w:val="2"/>
        <w:rPr>
          <w:rFonts w:hint="eastAsia" w:ascii="仿宋_GB2312" w:hAnsi="仿宋_GB2312" w:eastAsia="仿宋_GB2312" w:cs="仿宋_GB2312"/>
          <w:spacing w:val="-1"/>
          <w:sz w:val="24"/>
          <w:szCs w:val="24"/>
        </w:rPr>
        <w:sectPr>
          <w:footerReference r:id="rId28" w:type="default"/>
          <w:pgSz w:w="16841" w:h="11907"/>
          <w:pgMar w:top="400" w:right="1699" w:bottom="1184" w:left="1481" w:header="0" w:footer="1022" w:gutter="0"/>
          <w:pgNumType w:fmt="decimal"/>
          <w:cols w:space="720" w:num="1"/>
        </w:sectPr>
      </w:pPr>
    </w:p>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-1（卡车部分）</w:t>
      </w:r>
    </w:p>
    <w:p>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488" w:type="dxa"/>
          </w:tcPr>
          <w:p>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pPr>
              <w:spacing w:before="207" w:line="219" w:lineRule="auto"/>
              <w:ind w:left="3416"/>
              <w:rPr>
                <w:rFonts w:hint="default" w:ascii="仿宋_GB2312" w:hAnsi="仿宋_GB2312" w:eastAsia="仿宋_GB2312" w:cs="仿宋_GB2312"/>
                <w:szCs w:val="21"/>
                <w:lang w:val="en-US" w:eastAsia="zh-CN"/>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r>
              <w:rPr>
                <w:rFonts w:hint="eastAsia" w:ascii="仿宋_GB2312" w:hAnsi="仿宋_GB2312" w:eastAsia="仿宋_GB2312" w:cs="仿宋_GB2312"/>
                <w:spacing w:val="-4"/>
                <w:szCs w:val="21"/>
                <w:lang w:val="en-US" w:eastAsia="zh-CN"/>
              </w:rPr>
              <w:t>-1</w:t>
            </w:r>
          </w:p>
        </w:tc>
        <w:tc>
          <w:tcPr>
            <w:tcW w:w="3938" w:type="dxa"/>
            <w:gridSpan w:val="3"/>
          </w:tcPr>
          <w:p>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spacing w:before="87" w:line="198" w:lineRule="auto"/>
        <w:ind w:left="411"/>
        <w:rPr>
          <w:rFonts w:hint="eastAsia" w:ascii="仿宋_GB2312" w:hAnsi="仿宋_GB2312" w:eastAsia="仿宋_GB2312" w:cs="仿宋_GB2312"/>
          <w:spacing w:val="-2"/>
          <w:sz w:val="24"/>
          <w:szCs w:val="24"/>
        </w:rPr>
      </w:pPr>
    </w:p>
    <w:p>
      <w:pPr>
        <w:pStyle w:val="2"/>
        <w:rPr>
          <w:rFonts w:hint="eastAsia" w:ascii="仿宋_GB2312" w:hAnsi="仿宋_GB2312" w:eastAsia="仿宋_GB2312" w:cs="仿宋_GB2312"/>
          <w:spacing w:val="-2"/>
          <w:sz w:val="24"/>
          <w:szCs w:val="24"/>
        </w:rPr>
      </w:pPr>
    </w:p>
    <w:p>
      <w:pPr>
        <w:pStyle w:val="2"/>
        <w:rPr>
          <w:rFonts w:hint="eastAsia" w:ascii="仿宋_GB2312" w:hAnsi="仿宋_GB2312" w:eastAsia="仿宋_GB2312" w:cs="仿宋_GB2312"/>
          <w:spacing w:val="-2"/>
          <w:sz w:val="24"/>
          <w:szCs w:val="24"/>
        </w:rPr>
      </w:pPr>
    </w:p>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-2（橡塑件部分）</w:t>
      </w:r>
    </w:p>
    <w:p>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3" w:hRule="atLeast"/>
        </w:trPr>
        <w:tc>
          <w:tcPr>
            <w:tcW w:w="488" w:type="dxa"/>
            <w:textDirection w:val="tbRlV"/>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pPr>
              <w:rPr>
                <w:rFonts w:hint="eastAsia" w:ascii="仿宋_GB2312" w:hAnsi="仿宋_GB2312" w:eastAsia="仿宋_GB2312" w:cs="仿宋_GB2312"/>
              </w:rPr>
            </w:pPr>
          </w:p>
        </w:tc>
        <w:tc>
          <w:tcPr>
            <w:tcW w:w="2439" w:type="dxa"/>
          </w:tcPr>
          <w:p>
            <w:pPr>
              <w:rPr>
                <w:rFonts w:hint="eastAsia" w:ascii="仿宋_GB2312" w:hAnsi="仿宋_GB2312" w:eastAsia="仿宋_GB2312" w:cs="仿宋_GB2312"/>
              </w:rPr>
            </w:pPr>
          </w:p>
        </w:tc>
        <w:tc>
          <w:tcPr>
            <w:tcW w:w="2014"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805" w:type="dxa"/>
          </w:tcPr>
          <w:p>
            <w:pPr>
              <w:rPr>
                <w:rFonts w:hint="eastAsia" w:ascii="仿宋_GB2312" w:hAnsi="仿宋_GB2312" w:eastAsia="仿宋_GB2312" w:cs="仿宋_GB2312"/>
              </w:rPr>
            </w:pPr>
          </w:p>
        </w:tc>
        <w:tc>
          <w:tcPr>
            <w:tcW w:w="2148" w:type="dxa"/>
          </w:tcPr>
          <w:p>
            <w:pPr>
              <w:rPr>
                <w:rFonts w:hint="eastAsia" w:ascii="仿宋_GB2312" w:hAnsi="仿宋_GB2312" w:eastAsia="仿宋_GB2312" w:cs="仿宋_GB2312"/>
              </w:rPr>
            </w:pPr>
          </w:p>
        </w:tc>
        <w:tc>
          <w:tcPr>
            <w:tcW w:w="1437" w:type="dxa"/>
          </w:tcPr>
          <w:p>
            <w:pPr>
              <w:rPr>
                <w:rFonts w:hint="eastAsia" w:ascii="仿宋_GB2312" w:hAnsi="仿宋_GB2312" w:eastAsia="仿宋_GB2312" w:cs="仿宋_GB2312"/>
              </w:rPr>
            </w:pPr>
          </w:p>
        </w:tc>
        <w:tc>
          <w:tcPr>
            <w:tcW w:w="1785" w:type="dxa"/>
          </w:tcPr>
          <w:p>
            <w:pPr>
              <w:rPr>
                <w:rFonts w:hint="eastAsia" w:ascii="仿宋_GB2312" w:hAnsi="仿宋_GB2312" w:eastAsia="仿宋_GB2312" w:cs="仿宋_GB2312"/>
              </w:rPr>
            </w:pPr>
          </w:p>
        </w:tc>
        <w:tc>
          <w:tcPr>
            <w:tcW w:w="1074" w:type="dxa"/>
          </w:tcPr>
          <w:p>
            <w:pPr>
              <w:rPr>
                <w:rFonts w:hint="eastAsia" w:ascii="仿宋_GB2312" w:hAnsi="仿宋_GB2312" w:eastAsia="仿宋_GB2312" w:cs="仿宋_GB2312"/>
              </w:rPr>
            </w:pPr>
          </w:p>
        </w:tc>
        <w:tc>
          <w:tcPr>
            <w:tcW w:w="1079" w:type="dxa"/>
          </w:tcPr>
          <w:p>
            <w:pPr>
              <w:rPr>
                <w:rFonts w:hint="eastAsia" w:ascii="仿宋_GB2312" w:hAnsi="仿宋_GB2312" w:eastAsia="仿宋_GB2312" w:cs="仿宋_GB231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pPr>
              <w:spacing w:before="207" w:line="219" w:lineRule="auto"/>
              <w:ind w:left="3416"/>
              <w:rPr>
                <w:rFonts w:hint="default" w:ascii="仿宋_GB2312" w:hAnsi="仿宋_GB2312" w:eastAsia="仿宋_GB2312" w:cs="仿宋_GB2312"/>
                <w:szCs w:val="21"/>
                <w:lang w:val="en-US" w:eastAsia="zh-CN"/>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r>
              <w:rPr>
                <w:rFonts w:hint="eastAsia" w:ascii="仿宋_GB2312" w:hAnsi="仿宋_GB2312" w:eastAsia="仿宋_GB2312" w:cs="仿宋_GB2312"/>
                <w:spacing w:val="-4"/>
                <w:szCs w:val="21"/>
                <w:lang w:val="en-US" w:eastAsia="zh-CN"/>
              </w:rPr>
              <w:t>-2</w:t>
            </w:r>
          </w:p>
        </w:tc>
        <w:tc>
          <w:tcPr>
            <w:tcW w:w="3938" w:type="dxa"/>
            <w:gridSpan w:val="3"/>
          </w:tcPr>
          <w:p>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spacing w:before="87" w:line="198" w:lineRule="auto"/>
        <w:ind w:left="411"/>
        <w:rPr>
          <w:rFonts w:hint="eastAsia" w:ascii="仿宋_GB2312" w:hAnsi="仿宋_GB2312" w:eastAsia="仿宋_GB2312" w:cs="仿宋_GB2312"/>
          <w:spacing w:val="-2"/>
          <w:sz w:val="24"/>
          <w:szCs w:val="24"/>
        </w:rPr>
        <w:sectPr>
          <w:footerReference r:id="rId29" w:type="default"/>
          <w:pgSz w:w="16841" w:h="11907"/>
          <w:pgMar w:top="400" w:right="1500" w:bottom="1184" w:left="1480" w:header="0" w:footer="1022" w:gutter="0"/>
          <w:pgNumType w:fmt="decimal"/>
          <w:cols w:space="720" w:num="1"/>
        </w:sectPr>
      </w:pPr>
    </w:p>
    <w:p>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5-1（卡车部分）</w:t>
      </w:r>
    </w:p>
    <w:p>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w:t>
            </w:r>
            <w:r>
              <w:rPr>
                <w:rFonts w:hint="eastAsia" w:ascii="仿宋_GB2312" w:hAnsi="仿宋_GB2312" w:eastAsia="仿宋_GB2312" w:cs="仿宋_GB2312"/>
                <w:spacing w:val="-11"/>
                <w:sz w:val="24"/>
                <w:szCs w:val="24"/>
                <w:lang w:val="en-US" w:eastAsia="zh-CN"/>
              </w:rPr>
              <w:t>-1</w:t>
            </w:r>
            <w:r>
              <w:rPr>
                <w:rFonts w:hint="eastAsia" w:ascii="仿宋_GB2312" w:hAnsi="仿宋_GB2312" w:eastAsia="仿宋_GB2312" w:cs="仿宋_GB2312"/>
                <w:spacing w:val="-11"/>
                <w:sz w:val="24"/>
                <w:szCs w:val="24"/>
              </w:rPr>
              <w:t xml:space="preserve"> 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w:t>
            </w:r>
            <w:r>
              <w:rPr>
                <w:rFonts w:hint="eastAsia" w:ascii="仿宋_GB2312" w:hAnsi="仿宋_GB2312" w:eastAsia="仿宋_GB2312" w:cs="仿宋_GB2312"/>
                <w:spacing w:val="-6"/>
                <w:sz w:val="24"/>
                <w:szCs w:val="24"/>
                <w:lang w:val="en-US" w:eastAsia="zh-CN"/>
              </w:rPr>
              <w:t>-1</w:t>
            </w:r>
            <w:r>
              <w:rPr>
                <w:rFonts w:hint="eastAsia" w:ascii="仿宋_GB2312" w:hAnsi="仿宋_GB2312" w:eastAsia="仿宋_GB2312" w:cs="仿宋_GB2312"/>
                <w:spacing w:val="-6"/>
                <w:sz w:val="24"/>
                <w:szCs w:val="24"/>
              </w:rPr>
              <w:t xml:space="preserve"> 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仿宋_GB2312" w:hAnsi="仿宋_GB2312" w:eastAsia="仿宋_GB2312" w:cs="仿宋_GB2312"/>
                <w:sz w:val="24"/>
                <w:szCs w:val="24"/>
              </w:rPr>
            </w:pPr>
          </w:p>
          <w:p>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 xml:space="preserve">-3 </w:t>
            </w:r>
            <w:r>
              <w:rPr>
                <w:rFonts w:hint="eastAsia" w:ascii="仿宋_GB2312" w:hAnsi="仿宋_GB2312" w:eastAsia="仿宋_GB2312" w:cs="仿宋_GB2312"/>
                <w:spacing w:val="-6"/>
                <w:sz w:val="24"/>
                <w:szCs w:val="24"/>
                <w:lang w:val="en-US" w:eastAsia="zh-CN"/>
              </w:rPr>
              <w:t>-1</w:t>
            </w:r>
            <w:r>
              <w:rPr>
                <w:rFonts w:hint="eastAsia" w:ascii="仿宋_GB2312" w:hAnsi="仿宋_GB2312" w:eastAsia="仿宋_GB2312" w:cs="仿宋_GB2312"/>
                <w:spacing w:val="-6"/>
                <w:sz w:val="24"/>
                <w:szCs w:val="24"/>
              </w:rPr>
              <w:t>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 xml:space="preserve">-4 </w:t>
            </w:r>
            <w:r>
              <w:rPr>
                <w:rFonts w:hint="eastAsia" w:ascii="仿宋_GB2312" w:hAnsi="仿宋_GB2312" w:eastAsia="仿宋_GB2312" w:cs="仿宋_GB2312"/>
                <w:spacing w:val="-6"/>
                <w:sz w:val="24"/>
                <w:szCs w:val="24"/>
                <w:lang w:val="en-US" w:eastAsia="zh-CN"/>
              </w:rPr>
              <w:t>-1</w:t>
            </w:r>
            <w:r>
              <w:rPr>
                <w:rFonts w:hint="eastAsia" w:ascii="仿宋_GB2312" w:hAnsi="仿宋_GB2312" w:eastAsia="仿宋_GB2312" w:cs="仿宋_GB2312"/>
                <w:spacing w:val="-6"/>
                <w:sz w:val="24"/>
                <w:szCs w:val="24"/>
              </w:rPr>
              <w:t>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pPr>
        <w:spacing w:line="127" w:lineRule="exact"/>
        <w:rPr>
          <w:rFonts w:hint="eastAsia" w:ascii="仿宋_GB2312" w:hAnsi="仿宋_GB2312" w:eastAsia="仿宋_GB2312" w:cs="仿宋_GB2312"/>
        </w:rPr>
      </w:pPr>
    </w:p>
    <w:p>
      <w:pPr>
        <w:spacing w:line="291" w:lineRule="auto"/>
        <w:rPr>
          <w:rFonts w:hint="eastAsia" w:ascii="仿宋_GB2312" w:hAnsi="仿宋_GB2312" w:eastAsia="仿宋_GB2312" w:cs="仿宋_GB2312"/>
        </w:rPr>
      </w:pPr>
    </w:p>
    <w:p>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pStyle w:val="2"/>
        <w:rPr>
          <w:rFonts w:hint="eastAsia" w:ascii="仿宋_GB2312" w:hAnsi="仿宋_GB2312" w:eastAsia="仿宋_GB2312" w:cs="仿宋_GB2312"/>
          <w:spacing w:val="-2"/>
          <w:sz w:val="24"/>
          <w:szCs w:val="24"/>
        </w:rPr>
      </w:pPr>
    </w:p>
    <w:p>
      <w:pPr>
        <w:pStyle w:val="2"/>
        <w:rPr>
          <w:rFonts w:hint="eastAsia" w:ascii="仿宋_GB2312" w:hAnsi="仿宋_GB2312" w:eastAsia="仿宋_GB2312" w:cs="仿宋_GB2312"/>
          <w:spacing w:val="-2"/>
          <w:sz w:val="24"/>
          <w:szCs w:val="24"/>
        </w:rPr>
      </w:pPr>
    </w:p>
    <w:p>
      <w:pPr>
        <w:pStyle w:val="2"/>
        <w:rPr>
          <w:rFonts w:hint="eastAsia" w:ascii="仿宋_GB2312" w:hAnsi="仿宋_GB2312" w:eastAsia="仿宋_GB2312" w:cs="仿宋_GB2312"/>
          <w:spacing w:val="-2"/>
          <w:sz w:val="24"/>
          <w:szCs w:val="24"/>
        </w:rPr>
      </w:pPr>
    </w:p>
    <w:p>
      <w:pPr>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5-2（橡塑件部分）</w:t>
      </w:r>
    </w:p>
    <w:p>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w:t>
            </w:r>
            <w:r>
              <w:rPr>
                <w:rFonts w:hint="eastAsia" w:ascii="仿宋_GB2312" w:hAnsi="仿宋_GB2312" w:eastAsia="仿宋_GB2312" w:cs="仿宋_GB2312"/>
                <w:spacing w:val="-11"/>
                <w:sz w:val="24"/>
                <w:szCs w:val="24"/>
                <w:lang w:val="en-US" w:eastAsia="zh-CN"/>
              </w:rPr>
              <w:t>-2</w:t>
            </w:r>
            <w:r>
              <w:rPr>
                <w:rFonts w:hint="eastAsia" w:ascii="仿宋_GB2312" w:hAnsi="仿宋_GB2312" w:eastAsia="仿宋_GB2312" w:cs="仿宋_GB2312"/>
                <w:spacing w:val="-11"/>
                <w:sz w:val="24"/>
                <w:szCs w:val="24"/>
              </w:rPr>
              <w:t xml:space="preserve"> 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w:t>
            </w:r>
            <w:r>
              <w:rPr>
                <w:rFonts w:hint="eastAsia" w:ascii="仿宋_GB2312" w:hAnsi="仿宋_GB2312" w:eastAsia="仿宋_GB2312" w:cs="仿宋_GB2312"/>
                <w:spacing w:val="-6"/>
                <w:sz w:val="24"/>
                <w:szCs w:val="24"/>
                <w:lang w:val="en-US" w:eastAsia="zh-CN"/>
              </w:rPr>
              <w:t>-2</w:t>
            </w:r>
            <w:r>
              <w:rPr>
                <w:rFonts w:hint="eastAsia" w:ascii="仿宋_GB2312" w:hAnsi="仿宋_GB2312" w:eastAsia="仿宋_GB2312" w:cs="仿宋_GB2312"/>
                <w:spacing w:val="-6"/>
                <w:sz w:val="24"/>
                <w:szCs w:val="24"/>
              </w:rPr>
              <w:t>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仿宋_GB2312" w:hAnsi="仿宋_GB2312" w:eastAsia="仿宋_GB2312" w:cs="仿宋_GB2312"/>
                <w:sz w:val="24"/>
                <w:szCs w:val="24"/>
              </w:rPr>
            </w:pPr>
          </w:p>
          <w:p>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 xml:space="preserve">-3 </w:t>
            </w:r>
            <w:r>
              <w:rPr>
                <w:rFonts w:hint="eastAsia" w:ascii="仿宋_GB2312" w:hAnsi="仿宋_GB2312" w:eastAsia="仿宋_GB2312" w:cs="仿宋_GB2312"/>
                <w:spacing w:val="-6"/>
                <w:sz w:val="24"/>
                <w:szCs w:val="24"/>
                <w:lang w:val="en-US" w:eastAsia="zh-CN"/>
              </w:rPr>
              <w:t>-2</w:t>
            </w:r>
            <w:r>
              <w:rPr>
                <w:rFonts w:hint="eastAsia" w:ascii="仿宋_GB2312" w:hAnsi="仿宋_GB2312" w:eastAsia="仿宋_GB2312" w:cs="仿宋_GB2312"/>
                <w:spacing w:val="-6"/>
                <w:sz w:val="24"/>
                <w:szCs w:val="24"/>
              </w:rPr>
              <w:t>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 xml:space="preserve">-4 </w:t>
            </w:r>
            <w:r>
              <w:rPr>
                <w:rFonts w:hint="eastAsia" w:ascii="仿宋_GB2312" w:hAnsi="仿宋_GB2312" w:eastAsia="仿宋_GB2312" w:cs="仿宋_GB2312"/>
                <w:spacing w:val="-6"/>
                <w:sz w:val="24"/>
                <w:szCs w:val="24"/>
                <w:lang w:val="en-US" w:eastAsia="zh-CN"/>
              </w:rPr>
              <w:t>-2</w:t>
            </w:r>
            <w:r>
              <w:rPr>
                <w:rFonts w:hint="eastAsia" w:ascii="仿宋_GB2312" w:hAnsi="仿宋_GB2312" w:eastAsia="仿宋_GB2312" w:cs="仿宋_GB2312"/>
                <w:spacing w:val="-6"/>
                <w:sz w:val="24"/>
                <w:szCs w:val="24"/>
              </w:rPr>
              <w:t>总计</w:t>
            </w:r>
          </w:p>
        </w:tc>
        <w:tc>
          <w:tcPr>
            <w:tcW w:w="3354" w:type="dxa"/>
          </w:tcPr>
          <w:p>
            <w:pPr>
              <w:rPr>
                <w:rFonts w:hint="eastAsia" w:ascii="仿宋_GB2312" w:hAnsi="仿宋_GB2312" w:eastAsia="仿宋_GB2312" w:cs="仿宋_GB2312"/>
                <w:sz w:val="24"/>
                <w:szCs w:val="24"/>
              </w:rPr>
            </w:pPr>
          </w:p>
        </w:tc>
        <w:tc>
          <w:tcPr>
            <w:tcW w:w="3362" w:type="dxa"/>
          </w:tcPr>
          <w:p>
            <w:pPr>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pPr>
        <w:spacing w:line="127" w:lineRule="exact"/>
        <w:rPr>
          <w:rFonts w:hint="eastAsia" w:ascii="仿宋_GB2312" w:hAnsi="仿宋_GB2312" w:eastAsia="仿宋_GB2312" w:cs="仿宋_GB2312"/>
        </w:rPr>
      </w:pPr>
    </w:p>
    <w:p>
      <w:pPr>
        <w:spacing w:line="291" w:lineRule="auto"/>
        <w:rPr>
          <w:rFonts w:hint="eastAsia" w:ascii="仿宋_GB2312" w:hAnsi="仿宋_GB2312" w:eastAsia="仿宋_GB2312" w:cs="仿宋_GB2312"/>
        </w:rPr>
      </w:pPr>
    </w:p>
    <w:p>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pPr>
        <w:spacing w:before="0" w:line="240" w:lineRule="auto"/>
        <w:ind w:left="0" w:firstLine="0" w:firstLineChars="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br w:type="page"/>
      </w:r>
    </w:p>
    <w:p>
      <w:pPr>
        <w:pStyle w:val="2"/>
        <w:rPr>
          <w:rFonts w:hint="eastAsia"/>
        </w:rPr>
        <w:sectPr>
          <w:footerReference r:id="rId30" w:type="default"/>
          <w:pgSz w:w="16841" w:h="11907"/>
          <w:pgMar w:top="400" w:right="1699" w:bottom="1168" w:left="1481" w:header="0" w:footer="990" w:gutter="0"/>
          <w:pgNumType w:fmt="decimal"/>
          <w:cols w:equalWidth="0" w:num="1">
            <w:col w:w="13660"/>
          </w:cols>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5" w:name="_Toc18898"/>
      <w:bookmarkStart w:id="186" w:name="_Toc27000"/>
      <w:bookmarkStart w:id="187" w:name="_Toc19502"/>
      <w:r>
        <w:rPr>
          <w:rFonts w:hint="eastAsia" w:ascii="仿宋_GB2312" w:hAnsi="仿宋_GB2312" w:eastAsia="仿宋_GB2312" w:cs="仿宋_GB2312"/>
          <w:b/>
          <w:bCs/>
          <w:kern w:val="2"/>
          <w:sz w:val="36"/>
          <w:szCs w:val="36"/>
          <w:lang w:val="en-US" w:eastAsia="zh-CN" w:bidi="ar-SA"/>
        </w:rPr>
        <w:t>附件10 商务条款偏离表</w:t>
      </w:r>
      <w:bookmarkEnd w:id="185"/>
      <w:bookmarkEnd w:id="186"/>
      <w:bookmarkEnd w:id="187"/>
    </w:p>
    <w:p>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1"/>
              </w:rPr>
            </w:pPr>
          </w:p>
          <w:p>
            <w:pPr>
              <w:jc w:val="center"/>
              <w:rPr>
                <w:rFonts w:hint="eastAsia" w:ascii="仿宋_GB2312" w:hAnsi="仿宋_GB2312" w:eastAsia="仿宋_GB2312" w:cs="仿宋_GB2312"/>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pPr>
              <w:jc w:val="center"/>
              <w:rPr>
                <w:rFonts w:hint="eastAsia" w:ascii="仿宋_GB2312" w:hAnsi="仿宋_GB2312" w:eastAsia="仿宋_GB2312" w:cs="仿宋_GB2312"/>
                <w:b/>
                <w:szCs w:val="20"/>
              </w:rPr>
            </w:pPr>
          </w:p>
        </w:tc>
      </w:tr>
    </w:tbl>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pPr>
        <w:rPr>
          <w:rFonts w:hint="eastAsia" w:ascii="仿宋_GB2312" w:hAnsi="仿宋_GB2312" w:eastAsia="仿宋_GB2312" w:cs="仿宋_GB2312"/>
          <w:szCs w:val="20"/>
        </w:rPr>
      </w:pPr>
    </w:p>
    <w:p>
      <w:pPr>
        <w:rPr>
          <w:rFonts w:hint="eastAsia" w:ascii="仿宋_GB2312" w:hAnsi="仿宋_GB2312" w:eastAsia="仿宋_GB2312" w:cs="仿宋_GB2312"/>
          <w:b/>
          <w:bCs/>
          <w:color w:val="000000"/>
          <w:sz w:val="28"/>
          <w:szCs w:val="20"/>
        </w:rPr>
        <w:sectPr>
          <w:footerReference r:id="rId32" w:type="first"/>
          <w:footerReference r:id="rId31" w:type="default"/>
          <w:pgSz w:w="11906" w:h="16838"/>
          <w:pgMar w:top="1588" w:right="1418" w:bottom="1134" w:left="1418" w:header="851" w:footer="992" w:gutter="0"/>
          <w:pgNumType w:fmt="decimal"/>
          <w:cols w:space="720" w:num="1"/>
          <w:titlePg/>
          <w:docGrid w:type="lines" w:linePitch="312" w:charSpace="0"/>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8" w:name="_Toc7851"/>
      <w:bookmarkStart w:id="189" w:name="_Toc11845"/>
      <w:bookmarkStart w:id="190" w:name="_Toc13839"/>
      <w:r>
        <w:rPr>
          <w:rFonts w:hint="eastAsia" w:ascii="仿宋_GB2312" w:hAnsi="仿宋_GB2312" w:eastAsia="仿宋_GB2312" w:cs="仿宋_GB2312"/>
          <w:b/>
          <w:bCs/>
          <w:kern w:val="2"/>
          <w:sz w:val="36"/>
          <w:szCs w:val="36"/>
          <w:lang w:val="en-US" w:eastAsia="zh-CN" w:bidi="ar-SA"/>
        </w:rPr>
        <w:t>附件11 投标人承诺</w:t>
      </w:r>
      <w:bookmarkEnd w:id="188"/>
      <w:bookmarkEnd w:id="189"/>
      <w:bookmarkEnd w:id="190"/>
    </w:p>
    <w:p>
      <w:pPr>
        <w:spacing w:line="272" w:lineRule="auto"/>
        <w:rPr>
          <w:rFonts w:hint="eastAsia" w:ascii="仿宋_GB2312" w:hAnsi="仿宋_GB2312" w:eastAsia="仿宋_GB2312" w:cs="仿宋_GB2312"/>
        </w:rPr>
      </w:pPr>
    </w:p>
    <w:p>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p>
    <w:p>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pPr>
        <w:rPr>
          <w:rFonts w:hint="eastAsia" w:ascii="仿宋_GB2312" w:hAnsi="仿宋_GB2312" w:eastAsia="仿宋_GB2312" w:cs="仿宋_GB2312"/>
        </w:rPr>
      </w:pPr>
    </w:p>
    <w:p>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pPr>
        <w:keepNext/>
        <w:keepLines/>
        <w:rPr>
          <w:rFonts w:hint="eastAsia" w:ascii="仿宋_GB2312" w:hAnsi="仿宋_GB2312" w:eastAsia="仿宋_GB2312" w:cs="仿宋_GB2312"/>
          <w:b/>
          <w:bCs/>
          <w:color w:val="000000"/>
          <w:sz w:val="24"/>
          <w:szCs w:val="24"/>
        </w:rPr>
      </w:pPr>
    </w:p>
    <w:p>
      <w:pPr>
        <w:spacing w:before="75" w:line="227" w:lineRule="auto"/>
        <w:ind w:left="135"/>
        <w:rPr>
          <w:rFonts w:hint="eastAsia" w:ascii="仿宋_GB2312" w:hAnsi="仿宋_GB2312" w:eastAsia="仿宋_GB2312" w:cs="仿宋_GB2312"/>
          <w:spacing w:val="-2"/>
          <w:sz w:val="24"/>
          <w:szCs w:val="24"/>
        </w:rPr>
      </w:pPr>
    </w:p>
    <w:p>
      <w:pPr>
        <w:spacing w:before="75" w:line="227" w:lineRule="auto"/>
        <w:ind w:left="135"/>
        <w:rPr>
          <w:rFonts w:hint="eastAsia" w:ascii="仿宋_GB2312" w:hAnsi="仿宋_GB2312" w:eastAsia="仿宋_GB2312" w:cs="仿宋_GB2312"/>
          <w:spacing w:val="-2"/>
          <w:sz w:val="24"/>
          <w:szCs w:val="24"/>
        </w:rPr>
      </w:pPr>
    </w:p>
    <w:p>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pPr>
        <w:pStyle w:val="2"/>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pPr>
        <w:pStyle w:val="2"/>
        <w:rPr>
          <w:rFonts w:hint="eastAsia" w:ascii="仿宋_GB2312" w:hAnsi="仿宋_GB2312" w:eastAsia="仿宋_GB2312" w:cs="仿宋_GB2312"/>
          <w:sz w:val="24"/>
          <w:szCs w:val="24"/>
        </w:rPr>
        <w:sectPr>
          <w:footerReference r:id="rId33" w:type="default"/>
          <w:pgSz w:w="11906" w:h="16839"/>
          <w:pgMar w:top="1431" w:right="1417" w:bottom="1179" w:left="1304" w:header="850" w:footer="992" w:gutter="0"/>
          <w:pgNumType w:fmt="decimal"/>
          <w:cols w:space="720" w:num="1"/>
        </w:sectPr>
      </w:pPr>
    </w:p>
    <w:p>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91" w:name="_Toc12037"/>
      <w:bookmarkStart w:id="192" w:name="_Toc300"/>
      <w:bookmarkStart w:id="193" w:name="_Toc26438"/>
      <w:r>
        <w:rPr>
          <w:rFonts w:hint="eastAsia" w:ascii="仿宋_GB2312" w:hAnsi="仿宋_GB2312" w:eastAsia="仿宋_GB2312" w:cs="仿宋_GB2312"/>
          <w:b/>
          <w:bCs/>
          <w:kern w:val="2"/>
          <w:sz w:val="36"/>
          <w:szCs w:val="36"/>
          <w:lang w:val="en-US" w:eastAsia="zh-CN" w:bidi="ar-SA"/>
        </w:rPr>
        <w:t>附件12 服务承诺函</w:t>
      </w:r>
      <w:bookmarkEnd w:id="191"/>
      <w:bookmarkEnd w:id="192"/>
      <w:bookmarkEnd w:id="193"/>
    </w:p>
    <w:p>
      <w:pPr>
        <w:spacing w:line="240" w:lineRule="exact"/>
        <w:jc w:val="center"/>
        <w:rPr>
          <w:rFonts w:hint="eastAsia" w:ascii="仿宋_GB2312" w:hAnsi="仿宋_GB2312" w:eastAsia="仿宋_GB2312" w:cs="仿宋_GB2312"/>
          <w:b/>
          <w:bCs/>
          <w:sz w:val="36"/>
          <w:szCs w:val="20"/>
        </w:rPr>
      </w:pPr>
    </w:p>
    <w:p>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p>
    <w:p>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pPr>
        <w:spacing w:line="360" w:lineRule="auto"/>
        <w:ind w:firstLine="480" w:firstLineChars="200"/>
        <w:rPr>
          <w:rFonts w:hint="eastAsia" w:ascii="仿宋_GB2312" w:hAnsi="仿宋_GB2312" w:eastAsia="仿宋_GB2312" w:cs="仿宋_GB2312"/>
          <w:sz w:val="24"/>
          <w:szCs w:val="20"/>
          <w:u w:val="single"/>
        </w:rPr>
      </w:pP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pPr>
        <w:rPr>
          <w:rFonts w:hint="eastAsia" w:ascii="仿宋_GB2312" w:hAnsi="仿宋_GB2312" w:eastAsia="仿宋_GB2312" w:cs="仿宋_GB2312"/>
          <w:b/>
          <w:bCs/>
          <w:color w:val="000000"/>
          <w:sz w:val="28"/>
          <w:szCs w:val="20"/>
        </w:rPr>
      </w:pPr>
    </w:p>
    <w:p>
      <w:pPr>
        <w:pStyle w:val="2"/>
        <w:rPr>
          <w:rFonts w:hint="eastAsia" w:ascii="仿宋_GB2312" w:hAnsi="仿宋_GB2312" w:eastAsia="仿宋_GB2312" w:cs="仿宋_GB2312"/>
          <w:b/>
          <w:bCs/>
          <w:color w:val="000000"/>
          <w:sz w:val="28"/>
          <w:szCs w:val="20"/>
        </w:rPr>
      </w:pPr>
    </w:p>
    <w:p>
      <w:pPr>
        <w:rPr>
          <w:rFonts w:hint="eastAsia" w:ascii="仿宋_GB2312" w:hAnsi="仿宋_GB2312" w:eastAsia="仿宋_GB2312" w:cs="仿宋_GB2312"/>
          <w:b/>
          <w:bCs/>
          <w:color w:val="000000"/>
          <w:sz w:val="28"/>
          <w:szCs w:val="20"/>
        </w:rPr>
      </w:pPr>
    </w:p>
    <w:p>
      <w:pPr>
        <w:outlineLvl w:val="1"/>
        <w:rPr>
          <w:rFonts w:hint="eastAsia" w:ascii="仿宋_GB2312" w:hAnsi="仿宋_GB2312" w:eastAsia="仿宋_GB2312" w:cs="仿宋_GB2312"/>
          <w:szCs w:val="20"/>
        </w:rPr>
      </w:pPr>
      <w:bookmarkStart w:id="194" w:name="_Toc19953"/>
      <w:bookmarkStart w:id="195" w:name="_Toc5869"/>
      <w:bookmarkStart w:id="196" w:name="_Toc5295"/>
      <w:r>
        <w:rPr>
          <w:rFonts w:hint="eastAsia" w:ascii="仿宋_GB2312" w:hAnsi="仿宋_GB2312" w:eastAsia="仿宋_GB2312" w:cs="仿宋_GB2312"/>
          <w:b/>
          <w:bCs/>
          <w:kern w:val="2"/>
          <w:sz w:val="36"/>
          <w:szCs w:val="36"/>
          <w:lang w:val="en-US" w:eastAsia="zh-CN" w:bidi="ar-SA"/>
        </w:rPr>
        <w:t>附件13 投标文件封面及封口格式</w:t>
      </w:r>
      <w:bookmarkEnd w:id="194"/>
      <w:bookmarkEnd w:id="195"/>
      <w:bookmarkEnd w:id="19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hint="eastAsia" w:ascii="仿宋_GB2312" w:hAnsi="仿宋_GB2312" w:eastAsia="仿宋_GB2312" w:cs="仿宋_GB2312"/>
                <w:b/>
                <w:szCs w:val="20"/>
              </w:rPr>
            </w:pPr>
          </w:p>
          <w:p>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pPr>
              <w:rPr>
                <w:rFonts w:hint="eastAsia" w:ascii="仿宋_GB2312" w:hAnsi="仿宋_GB2312" w:eastAsia="仿宋_GB2312" w:cs="仿宋_GB2312"/>
                <w:b/>
                <w:sz w:val="30"/>
                <w:szCs w:val="30"/>
              </w:rPr>
            </w:pPr>
          </w:p>
          <w:p>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pPr>
              <w:jc w:val="center"/>
              <w:rPr>
                <w:rFonts w:hint="eastAsia" w:ascii="仿宋_GB2312" w:hAnsi="仿宋_GB2312" w:eastAsia="仿宋_GB2312" w:cs="仿宋_GB2312"/>
                <w:b/>
                <w:szCs w:val="20"/>
              </w:rPr>
            </w:pPr>
          </w:p>
          <w:p>
            <w:pPr>
              <w:jc w:val="center"/>
              <w:rPr>
                <w:rFonts w:hint="eastAsia" w:ascii="仿宋_GB2312" w:hAnsi="仿宋_GB2312" w:eastAsia="仿宋_GB2312" w:cs="仿宋_GB2312"/>
                <w:b/>
                <w:szCs w:val="20"/>
              </w:rPr>
            </w:pP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中国重汽集团卡车公司、橡塑件公司新建VOCS在线监控系统项目</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pPr>
              <w:jc w:val="center"/>
              <w:rPr>
                <w:rFonts w:hint="eastAsia" w:ascii="仿宋_GB2312" w:hAnsi="仿宋_GB2312" w:eastAsia="仿宋_GB2312" w:cs="仿宋_GB2312"/>
                <w:b/>
                <w:szCs w:val="20"/>
              </w:rPr>
            </w:pPr>
          </w:p>
          <w:p>
            <w:pPr>
              <w:jc w:val="center"/>
              <w:rPr>
                <w:rFonts w:hint="eastAsia" w:ascii="仿宋_GB2312" w:hAnsi="仿宋_GB2312" w:eastAsia="仿宋_GB2312" w:cs="仿宋_GB2312"/>
                <w:b/>
                <w:szCs w:val="20"/>
              </w:rPr>
            </w:pPr>
          </w:p>
        </w:tc>
      </w:tr>
    </w:tbl>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pPr>
        <w:outlineLvl w:val="1"/>
        <w:rPr>
          <w:rFonts w:hint="eastAsia" w:ascii="仿宋_GB2312" w:hAnsi="仿宋_GB2312" w:eastAsia="仿宋_GB2312" w:cs="仿宋_GB2312"/>
          <w:b/>
          <w:bCs/>
          <w:kern w:val="2"/>
          <w:sz w:val="36"/>
          <w:szCs w:val="36"/>
          <w:lang w:val="en-US" w:eastAsia="zh-CN" w:bidi="ar-SA"/>
        </w:rPr>
      </w:pPr>
      <w:bookmarkStart w:id="197" w:name="_Toc31821"/>
      <w:bookmarkStart w:id="198" w:name="_Toc32474"/>
      <w:bookmarkStart w:id="199" w:name="_Toc5470"/>
      <w:r>
        <w:rPr>
          <w:rFonts w:hint="eastAsia" w:ascii="仿宋_GB2312" w:hAnsi="仿宋_GB2312" w:eastAsia="仿宋_GB2312" w:cs="仿宋_GB2312"/>
          <w:b/>
          <w:bCs/>
          <w:kern w:val="2"/>
          <w:sz w:val="36"/>
          <w:szCs w:val="36"/>
          <w:lang w:val="en-US" w:eastAsia="zh-CN" w:bidi="ar-SA"/>
        </w:rPr>
        <w:t>附件14技术标评分标准</w:t>
      </w:r>
      <w:bookmarkEnd w:id="197"/>
      <w:bookmarkEnd w:id="198"/>
      <w:bookmarkEnd w:id="199"/>
    </w:p>
    <w:tbl>
      <w:tblPr>
        <w:tblStyle w:val="38"/>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17"/>
        <w:gridCol w:w="750"/>
        <w:gridCol w:w="2916"/>
        <w:gridCol w:w="700"/>
        <w:gridCol w:w="7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Align w:val="center"/>
          </w:tcPr>
          <w:p>
            <w:pPr>
              <w:tabs>
                <w:tab w:val="left" w:pos="13965"/>
              </w:tabs>
              <w:ind w:right="-6"/>
              <w:jc w:val="center"/>
              <w:rPr>
                <w:rFonts w:ascii="宋体" w:hAnsi="Times New Roman" w:eastAsia="宋体" w:cs="Times New Roman"/>
                <w:b/>
                <w:color w:val="C00000"/>
                <w:sz w:val="24"/>
                <w:szCs w:val="24"/>
              </w:rPr>
            </w:pPr>
            <w:bookmarkStart w:id="200" w:name="OLE_LINK22"/>
            <w:r>
              <w:rPr>
                <w:rFonts w:hint="eastAsia" w:ascii="宋体" w:hAnsi="宋体" w:eastAsia="宋体" w:cs="Times New Roman"/>
                <w:b/>
                <w:color w:val="C00000"/>
                <w:sz w:val="24"/>
                <w:szCs w:val="24"/>
              </w:rPr>
              <w:t>评价类型</w:t>
            </w:r>
          </w:p>
        </w:tc>
        <w:tc>
          <w:tcPr>
            <w:tcW w:w="717" w:type="dxa"/>
            <w:vAlign w:val="center"/>
          </w:tcPr>
          <w:p>
            <w:pPr>
              <w:tabs>
                <w:tab w:val="left" w:pos="13965"/>
              </w:tabs>
              <w:ind w:right="-6"/>
              <w:jc w:val="center"/>
              <w:rPr>
                <w:rFonts w:hint="eastAsia" w:ascii="宋体" w:hAnsi="宋体" w:eastAsia="宋体" w:cs="Times New Roman"/>
                <w:b/>
                <w:color w:val="C00000"/>
                <w:sz w:val="24"/>
                <w:szCs w:val="24"/>
              </w:rPr>
            </w:pPr>
            <w:r>
              <w:rPr>
                <w:rFonts w:hint="eastAsia" w:ascii="宋体" w:hAnsi="宋体" w:eastAsia="宋体" w:cs="Times New Roman"/>
                <w:b/>
                <w:color w:val="C00000"/>
                <w:sz w:val="24"/>
                <w:szCs w:val="24"/>
              </w:rPr>
              <w:t>评审内容</w:t>
            </w:r>
          </w:p>
        </w:tc>
        <w:tc>
          <w:tcPr>
            <w:tcW w:w="750" w:type="dxa"/>
            <w:vAlign w:val="center"/>
          </w:tcPr>
          <w:p>
            <w:pPr>
              <w:tabs>
                <w:tab w:val="left" w:pos="13965"/>
              </w:tabs>
              <w:ind w:right="-6"/>
              <w:jc w:val="center"/>
              <w:rPr>
                <w:rFonts w:ascii="宋体" w:hAnsi="Times New Roman" w:eastAsia="宋体" w:cs="Times New Roman"/>
                <w:b/>
                <w:color w:val="C00000"/>
                <w:sz w:val="24"/>
                <w:szCs w:val="24"/>
              </w:rPr>
            </w:pPr>
            <w:r>
              <w:rPr>
                <w:rFonts w:hint="eastAsia" w:ascii="宋体" w:hAnsi="宋体" w:eastAsia="宋体" w:cs="Times New Roman"/>
                <w:b/>
                <w:color w:val="C00000"/>
                <w:sz w:val="24"/>
                <w:szCs w:val="24"/>
              </w:rPr>
              <w:t>序号</w:t>
            </w:r>
          </w:p>
        </w:tc>
        <w:tc>
          <w:tcPr>
            <w:tcW w:w="2916" w:type="dxa"/>
            <w:vAlign w:val="center"/>
          </w:tcPr>
          <w:p>
            <w:pPr>
              <w:tabs>
                <w:tab w:val="left" w:pos="13965"/>
              </w:tabs>
              <w:ind w:right="-6"/>
              <w:jc w:val="center"/>
              <w:rPr>
                <w:rFonts w:ascii="宋体" w:hAnsi="Times New Roman" w:eastAsia="宋体" w:cs="Times New Roman"/>
                <w:b/>
                <w:color w:val="C00000"/>
                <w:sz w:val="24"/>
                <w:szCs w:val="24"/>
              </w:rPr>
            </w:pPr>
            <w:r>
              <w:rPr>
                <w:rFonts w:hint="eastAsia" w:ascii="宋体" w:hAnsi="宋体" w:eastAsia="宋体" w:cs="Times New Roman"/>
                <w:b/>
                <w:color w:val="C00000"/>
                <w:sz w:val="24"/>
                <w:szCs w:val="24"/>
              </w:rPr>
              <w:t>内</w:t>
            </w:r>
            <w:r>
              <w:rPr>
                <w:rFonts w:ascii="宋体" w:hAnsi="宋体" w:eastAsia="宋体" w:cs="Times New Roman"/>
                <w:b/>
                <w:color w:val="C00000"/>
                <w:sz w:val="24"/>
                <w:szCs w:val="24"/>
              </w:rPr>
              <w:t xml:space="preserve">   </w:t>
            </w:r>
            <w:r>
              <w:rPr>
                <w:rFonts w:hint="eastAsia" w:ascii="宋体" w:hAnsi="宋体" w:eastAsia="宋体" w:cs="Times New Roman"/>
                <w:b/>
                <w:color w:val="C00000"/>
                <w:sz w:val="24"/>
                <w:szCs w:val="24"/>
              </w:rPr>
              <w:t>容</w:t>
            </w:r>
          </w:p>
        </w:tc>
        <w:tc>
          <w:tcPr>
            <w:tcW w:w="700" w:type="dxa"/>
            <w:vAlign w:val="center"/>
          </w:tcPr>
          <w:p>
            <w:pPr>
              <w:tabs>
                <w:tab w:val="left" w:pos="13965"/>
              </w:tabs>
              <w:ind w:right="-6"/>
              <w:jc w:val="center"/>
              <w:rPr>
                <w:rFonts w:ascii="宋体" w:hAnsi="Times New Roman" w:eastAsia="宋体" w:cs="Times New Roman"/>
                <w:b/>
                <w:color w:val="C00000"/>
                <w:sz w:val="24"/>
                <w:szCs w:val="24"/>
              </w:rPr>
            </w:pPr>
            <w:r>
              <w:rPr>
                <w:rFonts w:hint="eastAsia" w:ascii="宋体" w:hAnsi="宋体" w:eastAsia="宋体" w:cs="Times New Roman"/>
                <w:b/>
                <w:color w:val="C00000"/>
                <w:sz w:val="24"/>
                <w:szCs w:val="24"/>
              </w:rPr>
              <w:t>标准分</w:t>
            </w:r>
          </w:p>
        </w:tc>
        <w:tc>
          <w:tcPr>
            <w:tcW w:w="7906" w:type="dxa"/>
            <w:vAlign w:val="center"/>
          </w:tcPr>
          <w:p>
            <w:pPr>
              <w:tabs>
                <w:tab w:val="left" w:pos="13965"/>
              </w:tabs>
              <w:ind w:right="-6"/>
              <w:jc w:val="center"/>
              <w:rPr>
                <w:rFonts w:ascii="宋体" w:hAnsi="Times New Roman" w:eastAsia="宋体" w:cs="Times New Roman"/>
                <w:b/>
                <w:color w:val="C00000"/>
                <w:sz w:val="24"/>
                <w:szCs w:val="24"/>
              </w:rPr>
            </w:pPr>
            <w:r>
              <w:rPr>
                <w:rFonts w:hint="eastAsia" w:ascii="宋体" w:hAnsi="宋体" w:eastAsia="宋体" w:cs="Times New Roman"/>
                <w:b/>
                <w:color w:val="C00000"/>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restart"/>
            <w:vAlign w:val="center"/>
          </w:tcPr>
          <w:p>
            <w:pPr>
              <w:tabs>
                <w:tab w:val="left" w:pos="13965"/>
              </w:tabs>
              <w:ind w:right="-6"/>
              <w:jc w:val="center"/>
              <w:rPr>
                <w:rFonts w:ascii="宋体" w:hAnsi="Times New Roman" w:eastAsia="宋体" w:cs="Times New Roman"/>
                <w:color w:val="C00000"/>
                <w:sz w:val="24"/>
                <w:szCs w:val="24"/>
              </w:rPr>
            </w:pPr>
            <w:r>
              <w:rPr>
                <w:rFonts w:hint="eastAsia" w:ascii="宋体" w:hAnsi="宋体" w:eastAsia="宋体" w:cs="Times New Roman"/>
                <w:color w:val="C00000"/>
                <w:sz w:val="24"/>
                <w:szCs w:val="24"/>
              </w:rPr>
              <w:t>总分</w:t>
            </w:r>
          </w:p>
          <w:p>
            <w:pPr>
              <w:tabs>
                <w:tab w:val="left" w:pos="13965"/>
              </w:tabs>
              <w:ind w:right="-6"/>
              <w:jc w:val="center"/>
              <w:rPr>
                <w:rFonts w:ascii="宋体" w:hAnsi="Times New Roman" w:eastAsia="宋体" w:cs="Times New Roman"/>
                <w:color w:val="C00000"/>
                <w:sz w:val="24"/>
                <w:szCs w:val="24"/>
              </w:rPr>
            </w:pPr>
            <w:r>
              <w:rPr>
                <w:rFonts w:ascii="宋体" w:hAnsi="宋体" w:eastAsia="宋体" w:cs="Times New Roman"/>
                <w:color w:val="C00000"/>
                <w:sz w:val="24"/>
                <w:szCs w:val="24"/>
              </w:rPr>
              <w:t>100分</w:t>
            </w:r>
          </w:p>
        </w:tc>
        <w:tc>
          <w:tcPr>
            <w:tcW w:w="717" w:type="dxa"/>
            <w:vAlign w:val="center"/>
          </w:tcPr>
          <w:p>
            <w:pPr>
              <w:tabs>
                <w:tab w:val="left" w:pos="13965"/>
              </w:tabs>
              <w:jc w:val="center"/>
              <w:rPr>
                <w:rFonts w:hint="eastAsia" w:ascii="宋体" w:hAnsi="宋体" w:eastAsia="宋体" w:cs="Times New Roman"/>
                <w:color w:val="C00000"/>
                <w:sz w:val="24"/>
                <w:szCs w:val="24"/>
              </w:rPr>
            </w:pPr>
            <w:r>
              <w:rPr>
                <w:rFonts w:hint="eastAsia" w:ascii="宋体" w:hAnsi="宋体" w:eastAsia="宋体" w:cs="Times New Roman"/>
                <w:color w:val="C00000"/>
                <w:sz w:val="24"/>
                <w:szCs w:val="24"/>
              </w:rPr>
              <w:t>企业业绩</w:t>
            </w:r>
          </w:p>
        </w:tc>
        <w:tc>
          <w:tcPr>
            <w:tcW w:w="750" w:type="dxa"/>
            <w:vAlign w:val="center"/>
          </w:tcPr>
          <w:p>
            <w:pPr>
              <w:tabs>
                <w:tab w:val="left" w:pos="13965"/>
              </w:tabs>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1</w:t>
            </w:r>
          </w:p>
        </w:tc>
        <w:tc>
          <w:tcPr>
            <w:tcW w:w="2916" w:type="dxa"/>
            <w:vAlign w:val="center"/>
          </w:tcPr>
          <w:p>
            <w:pPr>
              <w:rPr>
                <w:rFonts w:ascii="宋体" w:hAnsi="Times New Roman" w:eastAsia="宋体" w:cs="Times New Roman"/>
                <w:color w:val="C00000"/>
                <w:sz w:val="24"/>
                <w:szCs w:val="24"/>
              </w:rPr>
            </w:pPr>
            <w:r>
              <w:rPr>
                <w:rFonts w:hint="eastAsia" w:ascii="宋体" w:hAnsi="宋体" w:eastAsia="宋体" w:cs="Times New Roman"/>
                <w:color w:val="C00000"/>
                <w:sz w:val="24"/>
                <w:szCs w:val="24"/>
              </w:rPr>
              <w:t>同类型项目业绩</w:t>
            </w:r>
          </w:p>
        </w:tc>
        <w:tc>
          <w:tcPr>
            <w:tcW w:w="700" w:type="dxa"/>
            <w:vAlign w:val="center"/>
          </w:tcPr>
          <w:p>
            <w:pPr>
              <w:tabs>
                <w:tab w:val="left" w:pos="13965"/>
              </w:tabs>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10</w:t>
            </w:r>
          </w:p>
        </w:tc>
        <w:tc>
          <w:tcPr>
            <w:tcW w:w="7906" w:type="dxa"/>
            <w:vAlign w:val="center"/>
          </w:tcPr>
          <w:p>
            <w:pPr>
              <w:rPr>
                <w:rFonts w:hint="eastAsia" w:ascii="宋体" w:hAnsi="宋体" w:eastAsia="宋体" w:cs="Times New Roman"/>
                <w:bCs/>
                <w:color w:val="C00000"/>
                <w:sz w:val="24"/>
                <w:szCs w:val="24"/>
              </w:rPr>
            </w:pPr>
            <w:r>
              <w:rPr>
                <w:rFonts w:hint="eastAsia" w:ascii="宋体" w:hAnsi="宋体" w:eastAsia="宋体" w:cs="Times New Roman"/>
                <w:bCs/>
                <w:color w:val="C00000"/>
                <w:sz w:val="24"/>
                <w:szCs w:val="24"/>
              </w:rPr>
              <w:t>由评标委员会成员独立进行客观、公正的评价，按</w:t>
            </w:r>
            <w:r>
              <w:rPr>
                <w:rFonts w:ascii="宋体" w:hAnsi="宋体" w:eastAsia="宋体" w:cs="Times New Roman"/>
                <w:bCs/>
                <w:color w:val="C00000"/>
                <w:sz w:val="24"/>
                <w:szCs w:val="24"/>
              </w:rPr>
              <w:t>1-10分进行评分</w:t>
            </w:r>
            <w:r>
              <w:rPr>
                <w:rFonts w:hint="eastAsia" w:ascii="宋体" w:hAnsi="宋体" w:eastAsia="宋体" w:cs="Times New Roman"/>
                <w:bCs/>
                <w:color w:val="C00000"/>
                <w:sz w:val="24"/>
                <w:szCs w:val="24"/>
              </w:rPr>
              <w:t>。</w:t>
            </w:r>
          </w:p>
          <w:p>
            <w:pPr>
              <w:rPr>
                <w:rFonts w:ascii="宋体" w:hAnsi="宋体" w:eastAsia="宋体" w:cs="Times New Roman"/>
                <w:bCs/>
                <w:color w:val="C00000"/>
                <w:sz w:val="24"/>
                <w:szCs w:val="24"/>
              </w:rPr>
            </w:pPr>
            <w:r>
              <w:rPr>
                <w:rFonts w:hint="eastAsia" w:ascii="宋体" w:hAnsi="宋体" w:eastAsia="宋体" w:cs="Times New Roman"/>
                <w:bCs/>
                <w:color w:val="C00000"/>
                <w:sz w:val="24"/>
                <w:szCs w:val="24"/>
              </w:rPr>
              <w:t>投标人在</w:t>
            </w:r>
            <w:r>
              <w:rPr>
                <w:rFonts w:ascii="宋体" w:hAnsi="宋体" w:eastAsia="宋体" w:cs="Times New Roman"/>
                <w:bCs/>
                <w:color w:val="C00000"/>
                <w:sz w:val="24"/>
                <w:szCs w:val="24"/>
              </w:rPr>
              <w:t>202</w:t>
            </w:r>
            <w:r>
              <w:rPr>
                <w:rFonts w:hint="eastAsia" w:ascii="宋体" w:hAnsi="宋体" w:eastAsia="宋体" w:cs="Times New Roman"/>
                <w:bCs/>
                <w:color w:val="C00000"/>
                <w:sz w:val="24"/>
                <w:szCs w:val="24"/>
              </w:rPr>
              <w:t>1年</w:t>
            </w:r>
            <w:r>
              <w:rPr>
                <w:rFonts w:ascii="宋体" w:hAnsi="宋体" w:eastAsia="宋体" w:cs="Times New Roman"/>
                <w:bCs/>
                <w:color w:val="C00000"/>
                <w:sz w:val="24"/>
                <w:szCs w:val="24"/>
              </w:rPr>
              <w:t>1</w:t>
            </w:r>
            <w:r>
              <w:rPr>
                <w:rFonts w:hint="eastAsia" w:ascii="宋体" w:hAnsi="宋体" w:eastAsia="宋体" w:cs="Times New Roman"/>
                <w:bCs/>
                <w:color w:val="C00000"/>
                <w:sz w:val="24"/>
                <w:szCs w:val="24"/>
              </w:rPr>
              <w:t>月</w:t>
            </w:r>
            <w:r>
              <w:rPr>
                <w:rFonts w:ascii="宋体" w:hAnsi="宋体" w:eastAsia="宋体" w:cs="Times New Roman"/>
                <w:bCs/>
                <w:color w:val="C00000"/>
                <w:sz w:val="24"/>
                <w:szCs w:val="24"/>
              </w:rPr>
              <w:t>1日以来在中国与本标同类规格产品的业绩，以合同复印件加盖公章为准</w:t>
            </w:r>
            <w:r>
              <w:rPr>
                <w:rFonts w:hint="eastAsia" w:ascii="宋体" w:hAnsi="宋体" w:eastAsia="宋体" w:cs="Times New Roman"/>
                <w:bCs/>
                <w:color w:val="C00000"/>
                <w:sz w:val="24"/>
                <w:szCs w:val="24"/>
              </w:rPr>
              <w:t>。</w:t>
            </w:r>
          </w:p>
          <w:p>
            <w:pPr>
              <w:spacing w:line="420" w:lineRule="exact"/>
              <w:jc w:val="left"/>
              <w:rPr>
                <w:rFonts w:hint="eastAsia"/>
              </w:rPr>
            </w:pPr>
            <w:r>
              <w:rPr>
                <w:rFonts w:hint="eastAsia" w:ascii="宋体" w:hAnsi="宋体" w:eastAsia="宋体" w:cs="宋体"/>
                <w:bCs/>
                <w:sz w:val="18"/>
                <w:szCs w:val="18"/>
              </w:rPr>
              <w:t>注：1.投标人应在投标文件中提供相应业绩清单和所投设备的销售合同关键页（含签订合同双方的单位名称、签订合同双方的落款盖章、设备型号规格、签订日期等信息）复印件。</w:t>
            </w:r>
            <w:r>
              <w:rPr>
                <w:rFonts w:ascii="宋体" w:hAnsi="宋体" w:eastAsia="宋体" w:cs="Times New Roman"/>
                <w:bCs/>
                <w:color w:val="C00000"/>
                <w:sz w:val="24"/>
                <w:szCs w:val="24"/>
              </w:rPr>
              <w:t>须有客户联系方式及联系人以供招标人核实确认</w:t>
            </w:r>
            <w:r>
              <w:rPr>
                <w:rFonts w:hint="eastAsia" w:ascii="宋体" w:hAnsi="宋体" w:eastAsia="宋体" w:cs="Times New Roman"/>
                <w:bCs/>
                <w:color w:val="C00000"/>
                <w:sz w:val="24"/>
                <w:szCs w:val="24"/>
              </w:rPr>
              <w:t>，</w:t>
            </w:r>
            <w:r>
              <w:rPr>
                <w:rFonts w:hint="eastAsia" w:ascii="宋体" w:hAnsi="宋体" w:eastAsia="宋体" w:cs="宋体"/>
                <w:bCs/>
                <w:sz w:val="18"/>
                <w:szCs w:val="18"/>
              </w:rPr>
              <w:t>时间以合同签订日期为准。以上材料均须加盖投标人公章，未按要求提供上述材料的不得分。合同原件备查。2、业绩案例需均为真实案例如有作假，拉入供应商黑名单。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restart"/>
            <w:vAlign w:val="center"/>
          </w:tcPr>
          <w:p>
            <w:pPr>
              <w:jc w:val="center"/>
              <w:rPr>
                <w:rFonts w:hint="eastAsia" w:ascii="宋体" w:hAnsi="宋体" w:eastAsia="宋体" w:cs="Times New Roman"/>
                <w:color w:val="C00000"/>
                <w:sz w:val="24"/>
                <w:szCs w:val="24"/>
              </w:rPr>
            </w:pPr>
            <w:r>
              <w:rPr>
                <w:rFonts w:hint="eastAsia" w:ascii="宋体" w:hAnsi="宋体" w:eastAsia="宋体" w:cs="Times New Roman"/>
                <w:color w:val="C00000"/>
                <w:sz w:val="24"/>
                <w:szCs w:val="24"/>
              </w:rPr>
              <w:t>产品技术</w:t>
            </w: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2</w:t>
            </w:r>
          </w:p>
        </w:tc>
        <w:tc>
          <w:tcPr>
            <w:tcW w:w="2916" w:type="dxa"/>
            <w:vAlign w:val="center"/>
          </w:tcPr>
          <w:p>
            <w:pPr>
              <w:rPr>
                <w:rFonts w:ascii="宋体" w:hAnsi="Times New Roman" w:eastAsia="宋体" w:cs="Times New Roman"/>
                <w:bCs/>
                <w:color w:val="C00000"/>
                <w:sz w:val="24"/>
                <w:szCs w:val="24"/>
              </w:rPr>
            </w:pPr>
            <w:r>
              <w:rPr>
                <w:rFonts w:hint="eastAsia" w:ascii="宋体" w:hAnsi="宋体" w:eastAsia="宋体" w:cs="Times New Roman"/>
                <w:color w:val="C00000"/>
                <w:sz w:val="24"/>
                <w:szCs w:val="24"/>
              </w:rPr>
              <w:t>供货周期及工期进度计划</w:t>
            </w:r>
          </w:p>
        </w:tc>
        <w:tc>
          <w:tcPr>
            <w:tcW w:w="70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10</w:t>
            </w:r>
          </w:p>
        </w:tc>
        <w:tc>
          <w:tcPr>
            <w:tcW w:w="7906" w:type="dxa"/>
            <w:vAlign w:val="center"/>
          </w:tcPr>
          <w:p>
            <w:pPr>
              <w:rPr>
                <w:rFonts w:ascii="宋体" w:hAnsi="Times New Roman" w:eastAsia="宋体" w:cs="Times New Roman"/>
                <w:color w:val="C00000"/>
                <w:sz w:val="24"/>
                <w:szCs w:val="24"/>
              </w:rPr>
            </w:pPr>
            <w:r>
              <w:rPr>
                <w:rFonts w:hint="eastAsia" w:ascii="宋体" w:hAnsi="宋体" w:eastAsia="宋体" w:cs="宋体"/>
                <w:color w:val="C00000"/>
                <w:sz w:val="24"/>
                <w:szCs w:val="24"/>
              </w:rPr>
              <w:t>由评标委员会成员独立进行客观、公正的评价，按照到货周期进行赋分，优于或响应标书要求得5-</w:t>
            </w:r>
            <w:r>
              <w:rPr>
                <w:rFonts w:ascii="宋体" w:hAnsi="宋体" w:eastAsia="宋体" w:cs="宋体"/>
                <w:color w:val="C00000"/>
                <w:sz w:val="24"/>
                <w:szCs w:val="24"/>
              </w:rPr>
              <w:t>10分，</w:t>
            </w:r>
            <w:r>
              <w:rPr>
                <w:rFonts w:hint="eastAsia" w:ascii="宋体" w:hAnsi="宋体" w:eastAsia="宋体" w:cs="宋体"/>
                <w:color w:val="C00000"/>
                <w:sz w:val="24"/>
                <w:szCs w:val="24"/>
              </w:rPr>
              <w:t>未</w:t>
            </w:r>
            <w:r>
              <w:rPr>
                <w:rFonts w:ascii="宋体" w:hAnsi="宋体" w:eastAsia="宋体" w:cs="宋体"/>
                <w:color w:val="C00000"/>
                <w:sz w:val="24"/>
                <w:szCs w:val="24"/>
              </w:rPr>
              <w:t>响应标书</w:t>
            </w:r>
            <w:r>
              <w:rPr>
                <w:rFonts w:hint="eastAsia" w:ascii="宋体" w:hAnsi="宋体" w:eastAsia="宋体" w:cs="宋体"/>
                <w:color w:val="C00000"/>
                <w:sz w:val="24"/>
                <w:szCs w:val="24"/>
              </w:rPr>
              <w:t>要求但在可接受范围内得0-</w:t>
            </w:r>
            <w:r>
              <w:rPr>
                <w:rFonts w:ascii="宋体" w:hAnsi="宋体" w:eastAsia="宋体" w:cs="宋体"/>
                <w:color w:val="C00000"/>
                <w:sz w:val="24"/>
                <w:szCs w:val="24"/>
              </w:rPr>
              <w:t>5分，</w:t>
            </w:r>
            <w:r>
              <w:rPr>
                <w:rFonts w:hint="eastAsia" w:ascii="宋体" w:hAnsi="宋体" w:eastAsia="宋体" w:cs="宋体"/>
                <w:color w:val="C00000"/>
                <w:sz w:val="24"/>
                <w:szCs w:val="24"/>
              </w:rPr>
              <w:t>未</w:t>
            </w:r>
            <w:r>
              <w:rPr>
                <w:rFonts w:ascii="宋体" w:hAnsi="宋体" w:eastAsia="宋体" w:cs="宋体"/>
                <w:color w:val="C00000"/>
                <w:sz w:val="24"/>
                <w:szCs w:val="24"/>
              </w:rPr>
              <w:t>响应标书</w:t>
            </w:r>
            <w:r>
              <w:rPr>
                <w:rFonts w:hint="eastAsia" w:ascii="宋体" w:hAnsi="宋体" w:eastAsia="宋体" w:cs="宋体"/>
                <w:color w:val="C00000"/>
                <w:sz w:val="24"/>
                <w:szCs w:val="24"/>
              </w:rPr>
              <w:t>要求且不可接受得</w:t>
            </w:r>
            <w:r>
              <w:rPr>
                <w:rFonts w:ascii="宋体" w:hAnsi="宋体" w:eastAsia="宋体" w:cs="宋体"/>
                <w:color w:val="C00000"/>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continue"/>
            <w:vAlign w:val="center"/>
          </w:tcPr>
          <w:p>
            <w:pPr>
              <w:jc w:val="center"/>
              <w:rPr>
                <w:rFonts w:hint="eastAsia" w:ascii="宋体" w:hAnsi="宋体" w:eastAsia="宋体" w:cs="Times New Roman"/>
                <w:color w:val="C00000"/>
                <w:sz w:val="24"/>
                <w:szCs w:val="24"/>
              </w:rPr>
            </w:pP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3</w:t>
            </w:r>
          </w:p>
        </w:tc>
        <w:tc>
          <w:tcPr>
            <w:tcW w:w="291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根据投标方所列各部件关键技术指标描述全面性、准确性进行评价。</w:t>
            </w:r>
          </w:p>
        </w:tc>
        <w:tc>
          <w:tcPr>
            <w:tcW w:w="700" w:type="dxa"/>
            <w:vAlign w:val="center"/>
          </w:tcPr>
          <w:p>
            <w:pPr>
              <w:jc w:val="center"/>
              <w:rPr>
                <w:rFonts w:hint="eastAsia" w:ascii="宋体" w:hAnsi="宋体" w:eastAsia="宋体" w:cs="宋体"/>
                <w:color w:val="C00000"/>
                <w:sz w:val="24"/>
                <w:szCs w:val="24"/>
              </w:rPr>
            </w:pPr>
            <w:r>
              <w:rPr>
                <w:rFonts w:ascii="宋体" w:hAnsi="宋体" w:eastAsia="宋体" w:cs="Times New Roman"/>
                <w:color w:val="C00000"/>
                <w:sz w:val="24"/>
                <w:szCs w:val="24"/>
              </w:rPr>
              <w:t>20</w:t>
            </w:r>
          </w:p>
        </w:tc>
        <w:tc>
          <w:tcPr>
            <w:tcW w:w="790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由评标委员会成员独立进行客观、公正的评价，按照</w:t>
            </w:r>
            <w:r>
              <w:rPr>
                <w:rFonts w:ascii="宋体" w:hAnsi="宋体" w:eastAsia="宋体" w:cs="宋体"/>
                <w:color w:val="C00000"/>
                <w:sz w:val="24"/>
                <w:szCs w:val="24"/>
              </w:rPr>
              <w:t>5,10,15,20</w:t>
            </w:r>
            <w:r>
              <w:rPr>
                <w:rFonts w:hint="eastAsia" w:ascii="宋体" w:hAnsi="宋体" w:eastAsia="宋体" w:cs="宋体"/>
                <w:color w:val="C00000"/>
                <w:sz w:val="24"/>
                <w:szCs w:val="24"/>
              </w:rPr>
              <w:t>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continue"/>
            <w:vAlign w:val="center"/>
          </w:tcPr>
          <w:p>
            <w:pPr>
              <w:jc w:val="center"/>
              <w:rPr>
                <w:rFonts w:hint="eastAsia" w:ascii="宋体" w:hAnsi="宋体" w:eastAsia="宋体" w:cs="Times New Roman"/>
                <w:color w:val="C00000"/>
                <w:sz w:val="24"/>
                <w:szCs w:val="24"/>
              </w:rPr>
            </w:pP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4</w:t>
            </w:r>
          </w:p>
        </w:tc>
        <w:tc>
          <w:tcPr>
            <w:tcW w:w="291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产品技术先进性、成熟度，性能稳定性，能够提供权威性证明文件</w:t>
            </w:r>
          </w:p>
        </w:tc>
        <w:tc>
          <w:tcPr>
            <w:tcW w:w="700" w:type="dxa"/>
            <w:vAlign w:val="center"/>
          </w:tcPr>
          <w:p>
            <w:pPr>
              <w:jc w:val="center"/>
              <w:rPr>
                <w:rFonts w:hint="eastAsia" w:ascii="宋体" w:hAnsi="宋体" w:eastAsia="宋体" w:cs="宋体"/>
                <w:color w:val="C00000"/>
                <w:sz w:val="24"/>
                <w:szCs w:val="24"/>
              </w:rPr>
            </w:pPr>
            <w:r>
              <w:rPr>
                <w:rFonts w:ascii="宋体" w:hAnsi="宋体" w:eastAsia="宋体" w:cs="宋体"/>
                <w:color w:val="C00000"/>
                <w:sz w:val="24"/>
                <w:szCs w:val="24"/>
              </w:rPr>
              <w:t>15</w:t>
            </w:r>
          </w:p>
        </w:tc>
        <w:tc>
          <w:tcPr>
            <w:tcW w:w="790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由评标委员会成员独立进行客观、公正的评价，</w:t>
            </w:r>
            <w:r>
              <w:rPr>
                <w:rFonts w:hint="eastAsia" w:ascii="宋体" w:hAnsi="宋体" w:eastAsia="宋体" w:cs="Times New Roman"/>
                <w:bCs/>
                <w:color w:val="C00000"/>
                <w:sz w:val="24"/>
                <w:szCs w:val="24"/>
              </w:rPr>
              <w:t>按</w:t>
            </w:r>
            <w:r>
              <w:rPr>
                <w:rFonts w:ascii="宋体" w:hAnsi="宋体" w:eastAsia="宋体" w:cs="Times New Roman"/>
                <w:bCs/>
                <w:color w:val="C00000"/>
                <w:sz w:val="24"/>
                <w:szCs w:val="24"/>
              </w:rPr>
              <w:t>1-15分进行评分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Align w:val="center"/>
          </w:tcPr>
          <w:p>
            <w:pPr>
              <w:jc w:val="center"/>
              <w:rPr>
                <w:rFonts w:hint="eastAsia" w:ascii="宋体" w:hAnsi="宋体" w:eastAsia="宋体" w:cs="Times New Roman"/>
                <w:color w:val="C00000"/>
                <w:sz w:val="24"/>
                <w:szCs w:val="24"/>
              </w:rPr>
            </w:pPr>
            <w:r>
              <w:rPr>
                <w:rFonts w:hint="eastAsia" w:ascii="宋体" w:hAnsi="宋体" w:eastAsia="宋体" w:cs="Times New Roman"/>
                <w:color w:val="C00000"/>
                <w:sz w:val="24"/>
                <w:szCs w:val="24"/>
              </w:rPr>
              <w:t>答疑情况</w:t>
            </w:r>
          </w:p>
        </w:tc>
        <w:tc>
          <w:tcPr>
            <w:tcW w:w="750" w:type="dxa"/>
            <w:vAlign w:val="center"/>
          </w:tcPr>
          <w:p>
            <w:pPr>
              <w:jc w:val="center"/>
              <w:rPr>
                <w:rFonts w:hint="eastAsia" w:ascii="宋体" w:hAnsi="宋体" w:eastAsia="宋体" w:cs="宋体"/>
                <w:color w:val="C00000"/>
                <w:sz w:val="24"/>
                <w:szCs w:val="24"/>
              </w:rPr>
            </w:pPr>
            <w:r>
              <w:rPr>
                <w:rFonts w:ascii="宋体" w:hAnsi="宋体" w:eastAsia="宋体" w:cs="宋体"/>
                <w:color w:val="C00000"/>
                <w:sz w:val="24"/>
                <w:szCs w:val="24"/>
              </w:rPr>
              <w:t>5</w:t>
            </w:r>
          </w:p>
        </w:tc>
        <w:tc>
          <w:tcPr>
            <w:tcW w:w="291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现场答疑情况</w:t>
            </w:r>
          </w:p>
        </w:tc>
        <w:tc>
          <w:tcPr>
            <w:tcW w:w="700" w:type="dxa"/>
            <w:vAlign w:val="center"/>
          </w:tcPr>
          <w:p>
            <w:pPr>
              <w:jc w:val="center"/>
              <w:rPr>
                <w:rFonts w:hint="eastAsia" w:ascii="宋体" w:hAnsi="宋体" w:eastAsia="宋体" w:cs="宋体"/>
                <w:color w:val="C00000"/>
                <w:sz w:val="24"/>
                <w:szCs w:val="24"/>
              </w:rPr>
            </w:pPr>
            <w:r>
              <w:rPr>
                <w:rFonts w:ascii="宋体" w:hAnsi="宋体" w:eastAsia="宋体" w:cs="宋体"/>
                <w:color w:val="C00000"/>
                <w:sz w:val="24"/>
                <w:szCs w:val="24"/>
              </w:rPr>
              <w:t>10</w:t>
            </w:r>
          </w:p>
        </w:tc>
        <w:tc>
          <w:tcPr>
            <w:tcW w:w="7906" w:type="dxa"/>
            <w:vAlign w:val="center"/>
          </w:tcPr>
          <w:p>
            <w:pPr>
              <w:rPr>
                <w:rFonts w:hint="eastAsia" w:ascii="宋体" w:hAnsi="宋体" w:eastAsia="宋体" w:cs="宋体"/>
                <w:color w:val="C00000"/>
                <w:sz w:val="24"/>
                <w:szCs w:val="24"/>
              </w:rPr>
            </w:pPr>
            <w:r>
              <w:rPr>
                <w:rFonts w:hint="eastAsia" w:ascii="宋体" w:hAnsi="宋体" w:eastAsia="宋体" w:cs="宋体"/>
                <w:color w:val="C00000"/>
                <w:sz w:val="24"/>
                <w:szCs w:val="24"/>
              </w:rPr>
              <w:t>投标文件包含招标文件要求的全部内容，投标人代表对方案、技术优势的讲解，投标方代表回答评标专家现场提问情况，打分</w:t>
            </w:r>
            <w:r>
              <w:rPr>
                <w:rFonts w:ascii="宋体" w:hAnsi="宋体" w:eastAsia="宋体" w:cs="宋体"/>
                <w:color w:val="C00000"/>
                <w:sz w:val="24"/>
                <w:szCs w:val="24"/>
              </w:rPr>
              <w:t>1-10分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Align w:val="center"/>
          </w:tcPr>
          <w:p>
            <w:pPr>
              <w:jc w:val="center"/>
              <w:rPr>
                <w:rFonts w:hint="eastAsia" w:ascii="宋体" w:hAnsi="宋体" w:eastAsia="宋体" w:cs="Times New Roman"/>
                <w:color w:val="C00000"/>
                <w:sz w:val="24"/>
                <w:szCs w:val="24"/>
              </w:rPr>
            </w:pPr>
            <w:r>
              <w:rPr>
                <w:rFonts w:hint="eastAsia" w:ascii="宋体" w:hAnsi="宋体" w:eastAsia="宋体" w:cs="Times New Roman"/>
                <w:color w:val="C00000"/>
                <w:sz w:val="24"/>
                <w:szCs w:val="24"/>
              </w:rPr>
              <w:t>响应程度</w:t>
            </w: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6</w:t>
            </w:r>
          </w:p>
        </w:tc>
        <w:tc>
          <w:tcPr>
            <w:tcW w:w="2916" w:type="dxa"/>
            <w:vAlign w:val="center"/>
          </w:tcPr>
          <w:p>
            <w:pPr>
              <w:rPr>
                <w:rFonts w:ascii="宋体" w:hAnsi="Times New Roman" w:eastAsia="宋体" w:cs="Times New Roman"/>
                <w:color w:val="C00000"/>
                <w:sz w:val="24"/>
                <w:szCs w:val="24"/>
              </w:rPr>
            </w:pPr>
            <w:r>
              <w:rPr>
                <w:rFonts w:hint="eastAsia" w:ascii="宋体" w:hAnsi="宋体" w:eastAsia="宋体" w:cs="Times New Roman"/>
                <w:bCs/>
                <w:color w:val="C00000"/>
                <w:sz w:val="24"/>
                <w:szCs w:val="24"/>
              </w:rPr>
              <w:t>对方案技术的要求的响应程度</w:t>
            </w:r>
          </w:p>
        </w:tc>
        <w:tc>
          <w:tcPr>
            <w:tcW w:w="70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20</w:t>
            </w:r>
          </w:p>
        </w:tc>
        <w:tc>
          <w:tcPr>
            <w:tcW w:w="7906" w:type="dxa"/>
            <w:vAlign w:val="center"/>
          </w:tcPr>
          <w:p>
            <w:pPr>
              <w:jc w:val="left"/>
              <w:rPr>
                <w:rFonts w:ascii="宋体" w:hAnsi="Times New Roman" w:eastAsia="宋体" w:cs="Times New Roman"/>
                <w:bCs/>
                <w:color w:val="C00000"/>
                <w:sz w:val="24"/>
                <w:szCs w:val="24"/>
              </w:rPr>
            </w:pPr>
            <w:r>
              <w:rPr>
                <w:rFonts w:hint="eastAsia" w:ascii="宋体" w:hAnsi="宋体" w:eastAsia="宋体" w:cs="Times New Roman"/>
                <w:bCs/>
                <w:color w:val="C00000"/>
                <w:sz w:val="24"/>
                <w:szCs w:val="24"/>
              </w:rPr>
              <w:t>由评标委员会成员独立进行客观、公正的评价，根据各投标单位的核心产品的配置参数、偏离情况，依据响应</w:t>
            </w:r>
            <w:r>
              <w:rPr>
                <w:rFonts w:ascii="宋体" w:hAnsi="宋体" w:eastAsia="宋体" w:cs="Times New Roman"/>
                <w:bCs/>
                <w:color w:val="C00000"/>
                <w:sz w:val="24"/>
                <w:szCs w:val="24"/>
              </w:rPr>
              <w:t>程度</w:t>
            </w:r>
            <w:r>
              <w:rPr>
                <w:rFonts w:hint="eastAsia" w:ascii="宋体" w:hAnsi="宋体" w:eastAsia="宋体" w:cs="宋体"/>
                <w:color w:val="C00000"/>
                <w:sz w:val="24"/>
                <w:szCs w:val="24"/>
              </w:rPr>
              <w:t>按照</w:t>
            </w:r>
            <w:r>
              <w:rPr>
                <w:rFonts w:ascii="宋体" w:hAnsi="宋体" w:eastAsia="宋体" w:cs="宋体"/>
                <w:color w:val="C00000"/>
                <w:sz w:val="24"/>
                <w:szCs w:val="24"/>
              </w:rPr>
              <w:t>5,10,15,20进行评分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restart"/>
            <w:vAlign w:val="center"/>
          </w:tcPr>
          <w:p>
            <w:pPr>
              <w:jc w:val="center"/>
              <w:rPr>
                <w:rFonts w:hint="eastAsia" w:ascii="宋体" w:hAnsi="宋体" w:eastAsia="宋体" w:cs="Times New Roman"/>
                <w:color w:val="C00000"/>
                <w:sz w:val="24"/>
                <w:szCs w:val="24"/>
              </w:rPr>
            </w:pPr>
            <w:r>
              <w:rPr>
                <w:rFonts w:hint="eastAsia" w:ascii="宋体" w:hAnsi="宋体" w:eastAsia="宋体" w:cs="Times New Roman"/>
                <w:color w:val="C00000"/>
                <w:sz w:val="24"/>
                <w:szCs w:val="24"/>
              </w:rPr>
              <w:t>售后服务</w:t>
            </w: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7</w:t>
            </w:r>
          </w:p>
        </w:tc>
        <w:tc>
          <w:tcPr>
            <w:tcW w:w="2916" w:type="dxa"/>
            <w:vAlign w:val="center"/>
          </w:tcPr>
          <w:p>
            <w:pPr>
              <w:rPr>
                <w:rFonts w:ascii="宋体" w:hAnsi="Times New Roman" w:eastAsia="宋体" w:cs="Times New Roman"/>
                <w:color w:val="C00000"/>
                <w:sz w:val="24"/>
                <w:szCs w:val="24"/>
              </w:rPr>
            </w:pPr>
            <w:r>
              <w:rPr>
                <w:rFonts w:hint="eastAsia" w:ascii="宋体" w:hAnsi="宋体" w:eastAsia="宋体" w:cs="Times New Roman"/>
                <w:color w:val="C00000"/>
                <w:sz w:val="24"/>
                <w:szCs w:val="24"/>
              </w:rPr>
              <w:t>售后响应</w:t>
            </w:r>
            <w:r>
              <w:rPr>
                <w:rFonts w:ascii="宋体" w:hAnsi="宋体" w:eastAsia="宋体" w:cs="Times New Roman"/>
                <w:color w:val="C00000"/>
                <w:sz w:val="24"/>
                <w:szCs w:val="24"/>
              </w:rPr>
              <w:t>速度</w:t>
            </w:r>
          </w:p>
        </w:tc>
        <w:tc>
          <w:tcPr>
            <w:tcW w:w="70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5</w:t>
            </w:r>
          </w:p>
        </w:tc>
        <w:tc>
          <w:tcPr>
            <w:tcW w:w="7906" w:type="dxa"/>
            <w:vAlign w:val="center"/>
          </w:tcPr>
          <w:p>
            <w:pPr>
              <w:rPr>
                <w:rFonts w:ascii="宋体" w:hAnsi="宋体" w:eastAsia="宋体" w:cs="Times New Roman"/>
                <w:bCs/>
                <w:color w:val="C00000"/>
                <w:sz w:val="24"/>
                <w:szCs w:val="24"/>
              </w:rPr>
            </w:pPr>
            <w:r>
              <w:rPr>
                <w:rFonts w:hint="eastAsia" w:ascii="宋体" w:hAnsi="宋体" w:eastAsia="宋体" w:cs="Times New Roman"/>
                <w:bCs/>
                <w:color w:val="C00000"/>
                <w:sz w:val="24"/>
                <w:szCs w:val="24"/>
              </w:rPr>
              <w:t>有完整的售后服务体系，有相应的服务承诺和具体的保证措施；</w:t>
            </w:r>
          </w:p>
          <w:p>
            <w:pPr>
              <w:rPr>
                <w:rFonts w:ascii="宋体" w:hAnsi="Times New Roman" w:eastAsia="宋体" w:cs="Times New Roman"/>
                <w:bCs/>
                <w:color w:val="C00000"/>
                <w:sz w:val="24"/>
                <w:szCs w:val="24"/>
              </w:rPr>
            </w:pPr>
            <w:r>
              <w:rPr>
                <w:rFonts w:hint="eastAsia" w:ascii="宋体" w:hAnsi="宋体" w:eastAsia="宋体" w:cs="Times New Roman"/>
                <w:bCs/>
                <w:color w:val="C00000"/>
                <w:sz w:val="24"/>
                <w:szCs w:val="24"/>
              </w:rPr>
              <w:t>由评标委员会成员独立进行客观、公正的评价，打分</w:t>
            </w:r>
            <w:r>
              <w:rPr>
                <w:rFonts w:ascii="宋体" w:hAnsi="宋体" w:eastAsia="宋体" w:cs="Times New Roman"/>
                <w:bCs/>
                <w:color w:val="C00000"/>
                <w:sz w:val="24"/>
                <w:szCs w:val="24"/>
              </w:rPr>
              <w:t>1-5</w:t>
            </w:r>
            <w:r>
              <w:rPr>
                <w:rFonts w:hint="eastAsia" w:ascii="宋体" w:hAnsi="宋体" w:eastAsia="宋体" w:cs="Times New Roman"/>
                <w:bCs/>
                <w:color w:val="C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continue"/>
            <w:vAlign w:val="center"/>
          </w:tcPr>
          <w:p>
            <w:pPr>
              <w:jc w:val="center"/>
              <w:rPr>
                <w:rFonts w:hint="eastAsia" w:ascii="宋体" w:hAnsi="宋体" w:eastAsia="宋体" w:cs="Times New Roman"/>
                <w:color w:val="C00000"/>
                <w:sz w:val="24"/>
                <w:szCs w:val="24"/>
              </w:rPr>
            </w:pP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8</w:t>
            </w:r>
          </w:p>
        </w:tc>
        <w:tc>
          <w:tcPr>
            <w:tcW w:w="2916" w:type="dxa"/>
            <w:shd w:val="clear" w:color="auto" w:fill="auto"/>
            <w:vAlign w:val="center"/>
          </w:tcPr>
          <w:p>
            <w:pPr>
              <w:rPr>
                <w:rFonts w:ascii="宋体" w:hAnsi="Times New Roman" w:eastAsia="宋体" w:cs="Times New Roman"/>
                <w:color w:val="C00000"/>
                <w:sz w:val="24"/>
                <w:szCs w:val="24"/>
              </w:rPr>
            </w:pPr>
            <w:r>
              <w:rPr>
                <w:rFonts w:hint="eastAsia" w:ascii="宋体" w:hAnsi="宋体" w:eastAsia="宋体" w:cs="Times New Roman"/>
                <w:bCs/>
                <w:color w:val="C00000"/>
                <w:sz w:val="24"/>
                <w:szCs w:val="24"/>
              </w:rPr>
              <w:t>投标人维保机构具有实施本项目维保的专业技术人员</w:t>
            </w:r>
          </w:p>
        </w:tc>
        <w:tc>
          <w:tcPr>
            <w:tcW w:w="700" w:type="dxa"/>
            <w:shd w:val="clear" w:color="auto" w:fill="auto"/>
            <w:vAlign w:val="center"/>
          </w:tcPr>
          <w:p>
            <w:pPr>
              <w:jc w:val="center"/>
              <w:rPr>
                <w:rFonts w:hint="eastAsia" w:ascii="宋体" w:hAnsi="宋体" w:eastAsia="宋体" w:cs="Times New Roman"/>
                <w:color w:val="C00000"/>
                <w:sz w:val="24"/>
                <w:szCs w:val="24"/>
              </w:rPr>
            </w:pPr>
            <w:r>
              <w:rPr>
                <w:rFonts w:ascii="宋体" w:hAnsi="宋体" w:eastAsia="宋体" w:cs="Times New Roman"/>
                <w:bCs/>
                <w:color w:val="C00000"/>
                <w:sz w:val="24"/>
                <w:szCs w:val="24"/>
              </w:rPr>
              <w:t>5</w:t>
            </w:r>
          </w:p>
        </w:tc>
        <w:tc>
          <w:tcPr>
            <w:tcW w:w="7906" w:type="dxa"/>
            <w:shd w:val="clear" w:color="auto" w:fill="auto"/>
            <w:vAlign w:val="center"/>
          </w:tcPr>
          <w:p>
            <w:pPr>
              <w:rPr>
                <w:rFonts w:ascii="宋体" w:hAnsi="宋体" w:eastAsia="宋体" w:cs="Times New Roman"/>
                <w:bCs/>
                <w:color w:val="C00000"/>
                <w:sz w:val="24"/>
                <w:szCs w:val="24"/>
              </w:rPr>
            </w:pPr>
            <w:r>
              <w:rPr>
                <w:rFonts w:hint="eastAsia" w:ascii="宋体" w:hAnsi="宋体" w:eastAsia="宋体" w:cs="Times New Roman"/>
                <w:bCs/>
                <w:color w:val="C00000"/>
                <w:sz w:val="24"/>
                <w:szCs w:val="24"/>
              </w:rPr>
              <w:t>提供完备的本地化服务支持承诺，明确承诺到现场响应时间（根据响应时间长短）</w:t>
            </w:r>
          </w:p>
          <w:p>
            <w:pPr>
              <w:rPr>
                <w:rFonts w:ascii="宋体" w:hAnsi="Times New Roman" w:eastAsia="宋体" w:cs="Times New Roman"/>
                <w:bCs/>
                <w:color w:val="C00000"/>
                <w:sz w:val="24"/>
                <w:szCs w:val="24"/>
              </w:rPr>
            </w:pPr>
            <w:r>
              <w:rPr>
                <w:rFonts w:hint="eastAsia" w:ascii="宋体" w:hAnsi="宋体" w:eastAsia="宋体" w:cs="Times New Roman"/>
                <w:bCs/>
                <w:color w:val="C00000"/>
                <w:sz w:val="24"/>
                <w:szCs w:val="24"/>
              </w:rPr>
              <w:t>由评标委员会成员独立进行客观、公正的评价，打分</w:t>
            </w:r>
            <w:r>
              <w:rPr>
                <w:rFonts w:ascii="宋体" w:hAnsi="宋体" w:eastAsia="宋体" w:cs="Times New Roman"/>
                <w:bCs/>
                <w:color w:val="C00000"/>
                <w:sz w:val="24"/>
                <w:szCs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722" w:type="dxa"/>
            <w:vMerge w:val="continue"/>
            <w:vAlign w:val="center"/>
          </w:tcPr>
          <w:p>
            <w:pPr>
              <w:jc w:val="center"/>
              <w:rPr>
                <w:rFonts w:ascii="宋体" w:hAnsi="Times New Roman" w:eastAsia="宋体" w:cs="Times New Roman"/>
                <w:color w:val="C00000"/>
                <w:sz w:val="24"/>
                <w:szCs w:val="24"/>
              </w:rPr>
            </w:pPr>
          </w:p>
        </w:tc>
        <w:tc>
          <w:tcPr>
            <w:tcW w:w="717" w:type="dxa"/>
            <w:vMerge w:val="continue"/>
            <w:vAlign w:val="center"/>
          </w:tcPr>
          <w:p>
            <w:pPr>
              <w:jc w:val="center"/>
              <w:rPr>
                <w:rFonts w:hint="eastAsia" w:ascii="宋体" w:hAnsi="宋体" w:eastAsia="宋体" w:cs="Times New Roman"/>
                <w:color w:val="C00000"/>
                <w:sz w:val="24"/>
                <w:szCs w:val="24"/>
              </w:rPr>
            </w:pPr>
          </w:p>
        </w:tc>
        <w:tc>
          <w:tcPr>
            <w:tcW w:w="75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9</w:t>
            </w:r>
          </w:p>
        </w:tc>
        <w:tc>
          <w:tcPr>
            <w:tcW w:w="2916" w:type="dxa"/>
            <w:vAlign w:val="center"/>
          </w:tcPr>
          <w:p>
            <w:pPr>
              <w:rPr>
                <w:rFonts w:ascii="宋体" w:hAnsi="Times New Roman" w:eastAsia="宋体" w:cs="Times New Roman"/>
                <w:color w:val="C00000"/>
                <w:sz w:val="24"/>
                <w:szCs w:val="24"/>
              </w:rPr>
            </w:pPr>
            <w:r>
              <w:rPr>
                <w:rFonts w:hint="eastAsia" w:ascii="宋体" w:hAnsi="宋体" w:eastAsia="宋体" w:cs="Times New Roman"/>
                <w:color w:val="C00000"/>
                <w:sz w:val="24"/>
                <w:szCs w:val="24"/>
              </w:rPr>
              <w:t>服务承诺和具体的保证措施</w:t>
            </w:r>
          </w:p>
        </w:tc>
        <w:tc>
          <w:tcPr>
            <w:tcW w:w="700" w:type="dxa"/>
            <w:vAlign w:val="center"/>
          </w:tcPr>
          <w:p>
            <w:pPr>
              <w:jc w:val="center"/>
              <w:rPr>
                <w:rFonts w:hint="eastAsia" w:ascii="宋体" w:hAnsi="宋体" w:eastAsia="宋体" w:cs="Times New Roman"/>
                <w:color w:val="C00000"/>
                <w:sz w:val="24"/>
                <w:szCs w:val="24"/>
              </w:rPr>
            </w:pPr>
            <w:r>
              <w:rPr>
                <w:rFonts w:ascii="宋体" w:hAnsi="宋体" w:eastAsia="宋体" w:cs="Times New Roman"/>
                <w:color w:val="C00000"/>
                <w:sz w:val="24"/>
                <w:szCs w:val="24"/>
              </w:rPr>
              <w:t>5</w:t>
            </w:r>
          </w:p>
        </w:tc>
        <w:tc>
          <w:tcPr>
            <w:tcW w:w="7906" w:type="dxa"/>
            <w:vAlign w:val="center"/>
          </w:tcPr>
          <w:p>
            <w:pPr>
              <w:spacing w:line="420" w:lineRule="exact"/>
              <w:rPr>
                <w:rFonts w:hint="eastAsia" w:ascii="宋体" w:hAnsi="宋体" w:eastAsia="宋体" w:cs="Times New Roman"/>
                <w:bCs/>
                <w:color w:val="C00000"/>
                <w:sz w:val="24"/>
                <w:szCs w:val="24"/>
              </w:rPr>
            </w:pPr>
            <w:r>
              <w:rPr>
                <w:rFonts w:hint="eastAsia" w:ascii="宋体" w:hAnsi="宋体" w:eastAsia="宋体" w:cs="Times New Roman"/>
                <w:bCs/>
                <w:color w:val="C00000"/>
                <w:sz w:val="24"/>
                <w:szCs w:val="24"/>
              </w:rPr>
              <w:t>投标人提供相应完善的培训计划，服务和支持的方式，超出质保服务的措施。</w:t>
            </w:r>
          </w:p>
          <w:p>
            <w:pPr>
              <w:rPr>
                <w:rFonts w:ascii="宋体" w:hAnsi="Times New Roman" w:eastAsia="宋体" w:cs="Times New Roman"/>
                <w:bCs/>
                <w:color w:val="C00000"/>
                <w:sz w:val="24"/>
                <w:szCs w:val="24"/>
              </w:rPr>
            </w:pPr>
            <w:r>
              <w:rPr>
                <w:rFonts w:hint="eastAsia" w:ascii="宋体" w:hAnsi="宋体" w:eastAsia="宋体" w:cs="Times New Roman"/>
                <w:bCs/>
                <w:color w:val="C00000"/>
                <w:sz w:val="24"/>
                <w:szCs w:val="24"/>
              </w:rPr>
              <w:t>由评标委员会成员独立进行客观、公正的评价，打分</w:t>
            </w:r>
            <w:r>
              <w:rPr>
                <w:rFonts w:ascii="宋体" w:hAnsi="宋体" w:eastAsia="宋体" w:cs="Times New Roman"/>
                <w:bCs/>
                <w:color w:val="C00000"/>
                <w:sz w:val="24"/>
                <w:szCs w:val="24"/>
              </w:rPr>
              <w:t xml:space="preserve">1-5分 </w:t>
            </w:r>
          </w:p>
        </w:tc>
      </w:tr>
      <w:bookmarkEnd w:id="200"/>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eastAsia="宋体"/>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pPr>
        <w:pStyle w:val="2"/>
        <w:outlineLvl w:val="9"/>
        <w:rPr>
          <w:rFonts w:hint="eastAsia" w:ascii="仿宋_GB2312" w:hAnsi="仿宋_GB2312" w:eastAsia="仿宋_GB2312" w:cs="仿宋_GB2312"/>
          <w:b/>
          <w:bCs/>
          <w:color w:val="000000"/>
          <w:sz w:val="24"/>
          <w:szCs w:val="24"/>
        </w:rPr>
      </w:pPr>
    </w:p>
    <w:p>
      <w:pPr>
        <w:outlineLvl w:val="1"/>
        <w:rPr>
          <w:rFonts w:hint="eastAsia" w:ascii="仿宋_GB2312" w:hAnsi="仿宋_GB2312" w:eastAsia="仿宋_GB2312" w:cs="仿宋_GB2312"/>
          <w:b/>
          <w:bCs/>
          <w:kern w:val="2"/>
          <w:sz w:val="36"/>
          <w:szCs w:val="36"/>
          <w:lang w:val="en-US" w:eastAsia="zh-CN" w:bidi="ar-SA"/>
        </w:rPr>
      </w:pPr>
      <w:bookmarkStart w:id="201" w:name="_Toc507"/>
      <w:bookmarkStart w:id="202" w:name="_Toc6157"/>
      <w:bookmarkStart w:id="203" w:name="_Toc31993"/>
      <w:r>
        <w:rPr>
          <w:rFonts w:hint="eastAsia" w:ascii="仿宋_GB2312" w:hAnsi="仿宋_GB2312" w:eastAsia="仿宋_GB2312" w:cs="仿宋_GB2312"/>
          <w:b/>
          <w:bCs/>
          <w:kern w:val="2"/>
          <w:sz w:val="36"/>
          <w:szCs w:val="36"/>
          <w:lang w:val="en-US" w:eastAsia="zh-CN" w:bidi="ar-SA"/>
        </w:rPr>
        <w:t>附件15 SRM非生产供应商注册操作手册</w:t>
      </w:r>
      <w:bookmarkEnd w:id="201"/>
      <w:bookmarkEnd w:id="202"/>
      <w:bookmarkEnd w:id="203"/>
    </w:p>
    <w:p>
      <w:pPr>
        <w:adjustRightInd w:val="0"/>
        <w:snapToGrid w:val="0"/>
        <w:jc w:val="left"/>
        <w:rPr>
          <w:rFonts w:hint="eastAsia" w:ascii="仿宋_GB2312" w:hAnsi="仿宋_GB2312" w:eastAsia="仿宋_GB2312" w:cs="仿宋_GB2312"/>
          <w:sz w:val="24"/>
          <w:szCs w:val="24"/>
        </w:rPr>
      </w:pPr>
    </w:p>
    <w:p>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pPr>
        <w:rPr>
          <w:rFonts w:hint="eastAsia" w:ascii="仿宋_GB2312" w:hAnsi="仿宋_GB2312" w:eastAsia="仿宋_GB2312" w:cs="仿宋_GB2312"/>
          <w:color w:val="000000"/>
        </w:rPr>
      </w:pP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2"/>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2"/>
        <w:rPr>
          <w:rFonts w:hint="eastAsia" w:ascii="仿宋_GB2312" w:hAnsi="仿宋_GB2312" w:eastAsia="仿宋_GB2312" w:cs="仿宋_GB2312"/>
        </w:rPr>
      </w:pPr>
    </w:p>
    <w:p>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注：</w:t>
      </w:r>
    </w:p>
    <w:p>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1.“项目名称”和“采购形式编号”见投标须知前附表1.1；</w:t>
      </w:r>
    </w:p>
    <w:p>
      <w:pPr>
        <w:rPr>
          <w:rFonts w:hint="eastAsia" w:ascii="仿宋_GB2312" w:hAnsi="仿宋_GB2312" w:eastAsia="仿宋_GB2312" w:cs="仿宋_GB2312"/>
        </w:rPr>
        <w:sectPr>
          <w:footerReference r:id="rId34" w:type="default"/>
          <w:pgSz w:w="11906" w:h="16838"/>
          <w:pgMar w:top="1588" w:right="1418" w:bottom="1134" w:left="1418" w:header="851" w:footer="992" w:gutter="0"/>
          <w:pgNumType w:fmt="decimal"/>
          <w:cols w:space="720" w:num="1"/>
          <w:titlePg/>
          <w:docGrid w:type="lines" w:linePitch="312" w:charSpace="0"/>
        </w:sectPr>
      </w:pPr>
      <w:r>
        <w:rPr>
          <w:rFonts w:hint="eastAsia" w:ascii="仿宋_GB2312" w:hAnsi="仿宋_GB2312" w:eastAsia="仿宋_GB2312" w:cs="仿宋_GB2312"/>
          <w:b/>
          <w:bCs/>
          <w:color w:val="000000"/>
          <w:sz w:val="24"/>
          <w:szCs w:val="28"/>
          <w:highlight w:val="yellow"/>
        </w:rPr>
        <w:t>2.配套能力“供货类别”选“非生产招标→货物环保”，业务主管部门为“安全环保部”</w:t>
      </w:r>
    </w:p>
    <w:p>
      <w:pPr>
        <w:outlineLvl w:val="1"/>
        <w:rPr>
          <w:rFonts w:hint="eastAsia" w:ascii="仿宋_GB2312" w:hAnsi="仿宋_GB2312" w:eastAsia="仿宋_GB2312" w:cs="仿宋_GB2312"/>
          <w:b/>
          <w:bCs/>
          <w:kern w:val="2"/>
          <w:sz w:val="36"/>
          <w:szCs w:val="36"/>
          <w:lang w:val="en-US" w:eastAsia="zh-CN" w:bidi="ar-SA"/>
        </w:rPr>
      </w:pPr>
      <w:bookmarkStart w:id="204" w:name="_Toc9496"/>
      <w:bookmarkStart w:id="205" w:name="_Toc19611"/>
      <w:bookmarkStart w:id="206" w:name="_Toc14977"/>
      <w:r>
        <w:rPr>
          <w:rFonts w:hint="eastAsia" w:ascii="仿宋_GB2312" w:hAnsi="仿宋_GB2312" w:eastAsia="仿宋_GB2312" w:cs="仿宋_GB2312"/>
          <w:b/>
          <w:bCs/>
          <w:kern w:val="2"/>
          <w:sz w:val="36"/>
          <w:szCs w:val="36"/>
          <w:lang w:val="en-US" w:eastAsia="zh-CN" w:bidi="ar-SA"/>
        </w:rPr>
        <w:t>附件16 SRM系统供应商用户手册</w:t>
      </w:r>
      <w:bookmarkEnd w:id="204"/>
      <w:bookmarkEnd w:id="205"/>
      <w:bookmarkEnd w:id="206"/>
    </w:p>
    <w:p>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pPr>
        <w:spacing w:line="360" w:lineRule="auto"/>
        <w:outlineLvl w:val="2"/>
        <w:rPr>
          <w:rFonts w:hint="eastAsia" w:ascii="仿宋_GB2312" w:hAnsi="仿宋_GB2312" w:eastAsia="仿宋_GB2312" w:cs="仿宋_GB2312"/>
          <w:b/>
          <w:bCs/>
          <w:color w:val="000000"/>
          <w:sz w:val="24"/>
          <w:szCs w:val="24"/>
        </w:rPr>
      </w:pPr>
      <w:bookmarkStart w:id="207" w:name="_Toc8718"/>
      <w:bookmarkStart w:id="208" w:name="_Toc2672"/>
      <w:bookmarkStart w:id="209" w:name="_Toc3441"/>
      <w:r>
        <w:rPr>
          <w:rFonts w:hint="eastAsia" w:ascii="仿宋_GB2312" w:hAnsi="仿宋_GB2312" w:eastAsia="仿宋_GB2312" w:cs="仿宋_GB2312"/>
          <w:b/>
          <w:bCs/>
          <w:color w:val="000000"/>
          <w:sz w:val="24"/>
          <w:szCs w:val="24"/>
        </w:rPr>
        <w:t>1.供应商应标</w:t>
      </w:r>
      <w:bookmarkEnd w:id="207"/>
      <w:bookmarkEnd w:id="208"/>
      <w:bookmarkEnd w:id="209"/>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rFonts w:hint="eastAsia" w:ascii="仿宋_GB2312" w:hAnsi="仿宋_GB2312" w:eastAsia="仿宋_GB2312" w:cs="仿宋_GB2312"/>
        </w:rPr>
      </w:pPr>
    </w:p>
    <w:p>
      <w:pPr>
        <w:spacing w:line="360" w:lineRule="auto"/>
        <w:outlineLvl w:val="2"/>
        <w:rPr>
          <w:rFonts w:hint="eastAsia" w:ascii="仿宋_GB2312" w:hAnsi="仿宋_GB2312" w:eastAsia="仿宋_GB2312" w:cs="仿宋_GB2312"/>
          <w:b/>
          <w:bCs/>
          <w:color w:val="000000"/>
          <w:sz w:val="24"/>
          <w:szCs w:val="24"/>
        </w:rPr>
      </w:pPr>
      <w:bookmarkStart w:id="210" w:name="_Toc21366"/>
      <w:bookmarkStart w:id="211" w:name="_Toc27304"/>
      <w:bookmarkStart w:id="212" w:name="_Toc21689"/>
      <w:r>
        <w:rPr>
          <w:rFonts w:hint="eastAsia" w:ascii="仿宋_GB2312" w:hAnsi="仿宋_GB2312" w:eastAsia="仿宋_GB2312" w:cs="仿宋_GB2312"/>
          <w:b/>
          <w:bCs/>
          <w:color w:val="000000"/>
          <w:sz w:val="24"/>
          <w:szCs w:val="24"/>
        </w:rPr>
        <w:t>2.供应商投标</w:t>
      </w:r>
      <w:bookmarkEnd w:id="210"/>
      <w:bookmarkEnd w:id="211"/>
      <w:bookmarkEnd w:id="212"/>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pPr>
        <w:pStyle w:val="2"/>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outlineLvl w:val="2"/>
        <w:rPr>
          <w:rFonts w:hint="eastAsia" w:ascii="仿宋_GB2312" w:hAnsi="仿宋_GB2312" w:eastAsia="仿宋_GB2312" w:cs="仿宋_GB2312"/>
          <w:b/>
          <w:bCs/>
          <w:color w:val="000000"/>
          <w:sz w:val="24"/>
          <w:szCs w:val="24"/>
        </w:rPr>
      </w:pPr>
      <w:bookmarkStart w:id="213" w:name="_Toc14408"/>
      <w:bookmarkStart w:id="214" w:name="_Toc27334"/>
      <w:bookmarkStart w:id="215" w:name="_Toc24733"/>
      <w:r>
        <w:rPr>
          <w:rFonts w:hint="eastAsia" w:ascii="仿宋_GB2312" w:hAnsi="仿宋_GB2312" w:eastAsia="仿宋_GB2312" w:cs="仿宋_GB2312"/>
          <w:b/>
          <w:bCs/>
          <w:color w:val="000000"/>
          <w:sz w:val="24"/>
          <w:szCs w:val="24"/>
        </w:rPr>
        <w:t>3.供应商技术标澄清函</w:t>
      </w:r>
      <w:bookmarkEnd w:id="213"/>
      <w:bookmarkEnd w:id="214"/>
      <w:bookmarkEnd w:id="215"/>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outlineLvl w:val="2"/>
        <w:rPr>
          <w:rFonts w:hint="eastAsia" w:ascii="仿宋_GB2312" w:hAnsi="仿宋_GB2312" w:eastAsia="仿宋_GB2312" w:cs="仿宋_GB2312"/>
          <w:b/>
          <w:bCs/>
          <w:color w:val="000000"/>
          <w:sz w:val="24"/>
          <w:szCs w:val="24"/>
        </w:rPr>
      </w:pPr>
      <w:bookmarkStart w:id="216" w:name="_Toc24161"/>
      <w:bookmarkStart w:id="217" w:name="_Toc4672"/>
      <w:bookmarkStart w:id="218" w:name="_Toc2163"/>
      <w:r>
        <w:rPr>
          <w:rFonts w:hint="eastAsia" w:ascii="仿宋_GB2312" w:hAnsi="仿宋_GB2312" w:eastAsia="仿宋_GB2312" w:cs="仿宋_GB2312"/>
          <w:b/>
          <w:bCs/>
          <w:color w:val="000000"/>
          <w:sz w:val="24"/>
          <w:szCs w:val="24"/>
        </w:rPr>
        <w:t>4.供应商报价</w:t>
      </w:r>
      <w:bookmarkEnd w:id="216"/>
      <w:bookmarkEnd w:id="217"/>
      <w:bookmarkEnd w:id="218"/>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pPr>
        <w:spacing w:line="360" w:lineRule="auto"/>
        <w:outlineLvl w:val="2"/>
        <w:rPr>
          <w:rFonts w:hint="eastAsia" w:ascii="仿宋_GB2312" w:hAnsi="仿宋_GB2312" w:eastAsia="仿宋_GB2312" w:cs="仿宋_GB2312"/>
          <w:b/>
          <w:bCs/>
          <w:color w:val="000000"/>
          <w:sz w:val="24"/>
          <w:szCs w:val="24"/>
        </w:rPr>
      </w:pPr>
      <w:bookmarkStart w:id="219" w:name="_Toc21183"/>
      <w:bookmarkStart w:id="220" w:name="_Toc7227"/>
      <w:bookmarkStart w:id="221" w:name="_Toc25209"/>
      <w:r>
        <w:rPr>
          <w:rFonts w:hint="eastAsia" w:ascii="仿宋_GB2312" w:hAnsi="仿宋_GB2312" w:eastAsia="仿宋_GB2312" w:cs="仿宋_GB2312"/>
          <w:b/>
          <w:bCs/>
          <w:color w:val="000000"/>
          <w:sz w:val="24"/>
          <w:szCs w:val="24"/>
        </w:rPr>
        <w:t>5.供应商澄清报价</w:t>
      </w:r>
      <w:bookmarkEnd w:id="219"/>
      <w:bookmarkEnd w:id="220"/>
      <w:bookmarkEnd w:id="221"/>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outlineLvl w:val="2"/>
        <w:rPr>
          <w:rFonts w:hint="eastAsia" w:ascii="仿宋_GB2312" w:hAnsi="仿宋_GB2312" w:eastAsia="仿宋_GB2312" w:cs="仿宋_GB2312"/>
          <w:b/>
          <w:bCs/>
          <w:color w:val="000000"/>
          <w:sz w:val="24"/>
          <w:szCs w:val="24"/>
        </w:rPr>
      </w:pPr>
      <w:bookmarkStart w:id="222" w:name="_Toc30950"/>
      <w:bookmarkStart w:id="223" w:name="_Toc21540"/>
      <w:bookmarkStart w:id="224" w:name="_Toc4981"/>
      <w:r>
        <w:rPr>
          <w:rFonts w:hint="eastAsia" w:ascii="仿宋_GB2312" w:hAnsi="仿宋_GB2312" w:eastAsia="仿宋_GB2312" w:cs="仿宋_GB2312"/>
          <w:b/>
          <w:bCs/>
          <w:color w:val="000000"/>
          <w:sz w:val="24"/>
          <w:szCs w:val="24"/>
        </w:rPr>
        <w:t>6.供应商查看中标通知</w:t>
      </w:r>
      <w:bookmarkEnd w:id="222"/>
      <w:bookmarkEnd w:id="223"/>
      <w:bookmarkEnd w:id="224"/>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AdobeHeitiStd-Regular">
    <w:altName w:val="宋体"/>
    <w:panose1 w:val="00000000000000000000"/>
    <w:charset w:val="86"/>
    <w:family w:val="auto"/>
    <w:pitch w:val="default"/>
    <w:sig w:usb0="00000000" w:usb1="00000000" w:usb2="00000010" w:usb3="00000000" w:csb0="00040000" w:csb1="00000000"/>
  </w:font>
  <w:font w:name="FZZD Extra JW">
    <w:altName w:val="宋体"/>
    <w:panose1 w:val="00000000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pPr>
  </w:p>
  <w:p>
    <w:pPr>
      <w:pStyle w:val="2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p>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rPr>
        <w:rFonts w:hint="default" w:eastAsiaTheme="minorEastAsia"/>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1A926"/>
    <w:multiLevelType w:val="singleLevel"/>
    <w:tmpl w:val="8161A926"/>
    <w:lvl w:ilvl="0" w:tentative="0">
      <w:start w:val="1"/>
      <w:numFmt w:val="lowerLetter"/>
      <w:suff w:val="space"/>
      <w:lvlText w:val="%1."/>
      <w:lvlJc w:val="left"/>
      <w:pPr>
        <w:ind w:left="425" w:hanging="425"/>
      </w:pPr>
      <w:rPr>
        <w:rFonts w:hint="default"/>
      </w:rPr>
    </w:lvl>
  </w:abstractNum>
  <w:abstractNum w:abstractNumId="1">
    <w:nsid w:val="85273C82"/>
    <w:multiLevelType w:val="singleLevel"/>
    <w:tmpl w:val="85273C82"/>
    <w:lvl w:ilvl="0" w:tentative="0">
      <w:start w:val="1"/>
      <w:numFmt w:val="decimal"/>
      <w:suff w:val="space"/>
      <w:lvlText w:val="(%1)"/>
      <w:lvlJc w:val="left"/>
      <w:pPr>
        <w:ind w:left="425" w:hanging="425"/>
      </w:pPr>
      <w:rPr>
        <w:rFonts w:hint="default" w:ascii="宋体" w:hAnsi="宋体" w:eastAsia="宋体" w:cstheme="minorEastAsia"/>
      </w:rPr>
    </w:lvl>
  </w:abstractNum>
  <w:abstractNum w:abstractNumId="2">
    <w:nsid w:val="D0DCCB85"/>
    <w:multiLevelType w:val="singleLevel"/>
    <w:tmpl w:val="D0DCCB85"/>
    <w:lvl w:ilvl="0" w:tentative="0">
      <w:start w:val="1"/>
      <w:numFmt w:val="lowerLetter"/>
      <w:suff w:val="space"/>
      <w:lvlText w:val="%1."/>
      <w:lvlJc w:val="left"/>
      <w:pPr>
        <w:ind w:left="845" w:hanging="425"/>
      </w:pPr>
      <w:rPr>
        <w:rFonts w:hint="default"/>
      </w:rPr>
    </w:lvl>
  </w:abstractNum>
  <w:abstractNum w:abstractNumId="3">
    <w:nsid w:val="D146FCA9"/>
    <w:multiLevelType w:val="singleLevel"/>
    <w:tmpl w:val="D146FCA9"/>
    <w:lvl w:ilvl="0" w:tentative="0">
      <w:start w:val="4"/>
      <w:numFmt w:val="chineseCounting"/>
      <w:suff w:val="space"/>
      <w:lvlText w:val="第%1部分"/>
      <w:lvlJc w:val="left"/>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B5AF6FA"/>
    <w:multiLevelType w:val="singleLevel"/>
    <w:tmpl w:val="EB5AF6FA"/>
    <w:lvl w:ilvl="0" w:tentative="0">
      <w:start w:val="1"/>
      <w:numFmt w:val="lowerLetter"/>
      <w:lvlText w:val="%1."/>
      <w:lvlJc w:val="left"/>
      <w:pPr>
        <w:tabs>
          <w:tab w:val="left" w:pos="420"/>
        </w:tabs>
        <w:ind w:left="845" w:hanging="425"/>
      </w:pPr>
      <w:rPr>
        <w:rFonts w:hint="default"/>
      </w:rPr>
    </w:lvl>
  </w:abstractNum>
  <w:abstractNum w:abstractNumId="6">
    <w:nsid w:val="F95DB32B"/>
    <w:multiLevelType w:val="singleLevel"/>
    <w:tmpl w:val="F95DB32B"/>
    <w:lvl w:ilvl="0" w:tentative="0">
      <w:start w:val="1"/>
      <w:numFmt w:val="decimal"/>
      <w:suff w:val="space"/>
      <w:lvlText w:val="(%1)"/>
      <w:lvlJc w:val="left"/>
      <w:pPr>
        <w:ind w:left="425" w:hanging="425"/>
      </w:pPr>
      <w:rPr>
        <w:rFonts w:hint="default" w:ascii="宋体" w:hAnsi="宋体" w:eastAsia="宋体" w:cstheme="minorEastAsia"/>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0B6C9FB8"/>
    <w:multiLevelType w:val="singleLevel"/>
    <w:tmpl w:val="0B6C9FB8"/>
    <w:lvl w:ilvl="0" w:tentative="0">
      <w:start w:val="1"/>
      <w:numFmt w:val="decimal"/>
      <w:lvlText w:val="(%1)"/>
      <w:lvlJc w:val="left"/>
      <w:pPr>
        <w:ind w:left="425" w:hanging="425"/>
      </w:pPr>
      <w:rPr>
        <w:rFonts w:hint="default" w:asciiTheme="minorEastAsia" w:hAnsiTheme="minorEastAsia" w:eastAsiaTheme="minorEastAsia" w:cstheme="minorEastAsia"/>
      </w:rPr>
    </w:lvl>
  </w:abstractNum>
  <w:abstractNum w:abstractNumId="9">
    <w:nsid w:val="1D794A1B"/>
    <w:multiLevelType w:val="singleLevel"/>
    <w:tmpl w:val="1D794A1B"/>
    <w:lvl w:ilvl="0" w:tentative="0">
      <w:start w:val="1"/>
      <w:numFmt w:val="lowerLetter"/>
      <w:suff w:val="space"/>
      <w:lvlText w:val="%1."/>
      <w:lvlJc w:val="left"/>
      <w:pPr>
        <w:ind w:left="1265" w:hanging="425"/>
      </w:pPr>
      <w:rPr>
        <w:rFonts w:hint="default" w:asciiTheme="minorEastAsia" w:hAnsiTheme="minorEastAsia" w:eastAsiaTheme="minorEastAsia" w:cstheme="minorEastAsia"/>
      </w:r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1">
    <w:nsid w:val="1FB81619"/>
    <w:multiLevelType w:val="multilevel"/>
    <w:tmpl w:val="1FB816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2ABFFFD3"/>
    <w:multiLevelType w:val="singleLevel"/>
    <w:tmpl w:val="2ABFFFD3"/>
    <w:lvl w:ilvl="0" w:tentative="0">
      <w:start w:val="1"/>
      <w:numFmt w:val="decimal"/>
      <w:suff w:val="space"/>
      <w:lvlText w:val="(%1)"/>
      <w:lvlJc w:val="left"/>
      <w:pPr>
        <w:ind w:left="425" w:hanging="425"/>
      </w:pPr>
      <w:rPr>
        <w:rFonts w:hint="default" w:asciiTheme="minorEastAsia" w:hAnsiTheme="minorEastAsia" w:eastAsiaTheme="minorEastAsia" w:cstheme="minorEastAsia"/>
      </w:r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0D4E166"/>
    <w:multiLevelType w:val="singleLevel"/>
    <w:tmpl w:val="30D4E166"/>
    <w:lvl w:ilvl="0" w:tentative="0">
      <w:start w:val="1"/>
      <w:numFmt w:val="lowerLetter"/>
      <w:suff w:val="space"/>
      <w:lvlText w:val="%1."/>
      <w:lvlJc w:val="left"/>
      <w:pPr>
        <w:ind w:left="845" w:hanging="425"/>
      </w:pPr>
      <w:rPr>
        <w:rFonts w:hint="default" w:asciiTheme="minorEastAsia" w:hAnsiTheme="minorEastAsia" w:eastAsiaTheme="minorEastAsia" w:cstheme="minorEastAsia"/>
      </w:rPr>
    </w:lvl>
  </w:abstractNum>
  <w:abstractNum w:abstractNumId="16">
    <w:nsid w:val="33464089"/>
    <w:multiLevelType w:val="multilevel"/>
    <w:tmpl w:val="33464089"/>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7">
    <w:nsid w:val="41C9078B"/>
    <w:multiLevelType w:val="multilevel"/>
    <w:tmpl w:val="41C9078B"/>
    <w:lvl w:ilvl="0" w:tentative="0">
      <w:start w:val="1"/>
      <w:numFmt w:val="bullet"/>
      <w:lvlText w:val=""/>
      <w:lvlJc w:val="left"/>
      <w:pPr>
        <w:ind w:left="945" w:hanging="420"/>
      </w:pPr>
      <w:rPr>
        <w:rFonts w:hint="default" w:ascii="Wingdings" w:hAnsi="Wingdings"/>
      </w:rPr>
    </w:lvl>
    <w:lvl w:ilvl="1" w:tentative="0">
      <w:start w:val="1"/>
      <w:numFmt w:val="bullet"/>
      <w:lvlText w:val=""/>
      <w:lvlJc w:val="left"/>
      <w:pPr>
        <w:ind w:left="1365" w:hanging="420"/>
      </w:pPr>
      <w:rPr>
        <w:rFonts w:hint="default" w:ascii="Wingdings" w:hAnsi="Wingdings"/>
      </w:rPr>
    </w:lvl>
    <w:lvl w:ilvl="2" w:tentative="0">
      <w:start w:val="1"/>
      <w:numFmt w:val="bullet"/>
      <w:lvlText w:val=""/>
      <w:lvlJc w:val="left"/>
      <w:pPr>
        <w:ind w:left="1785" w:hanging="420"/>
      </w:pPr>
      <w:rPr>
        <w:rFonts w:hint="default" w:ascii="Wingdings" w:hAnsi="Wingdings"/>
      </w:rPr>
    </w:lvl>
    <w:lvl w:ilvl="3" w:tentative="0">
      <w:start w:val="1"/>
      <w:numFmt w:val="bullet"/>
      <w:lvlText w:val=""/>
      <w:lvlJc w:val="left"/>
      <w:pPr>
        <w:ind w:left="2205" w:hanging="420"/>
      </w:pPr>
      <w:rPr>
        <w:rFonts w:hint="default" w:ascii="Wingdings" w:hAnsi="Wingdings"/>
      </w:rPr>
    </w:lvl>
    <w:lvl w:ilvl="4" w:tentative="0">
      <w:start w:val="1"/>
      <w:numFmt w:val="bullet"/>
      <w:lvlText w:val=""/>
      <w:lvlJc w:val="left"/>
      <w:pPr>
        <w:ind w:left="2625" w:hanging="420"/>
      </w:pPr>
      <w:rPr>
        <w:rFonts w:hint="default" w:ascii="Wingdings" w:hAnsi="Wingdings"/>
      </w:rPr>
    </w:lvl>
    <w:lvl w:ilvl="5" w:tentative="0">
      <w:start w:val="1"/>
      <w:numFmt w:val="bullet"/>
      <w:lvlText w:val=""/>
      <w:lvlJc w:val="left"/>
      <w:pPr>
        <w:ind w:left="3045" w:hanging="420"/>
      </w:pPr>
      <w:rPr>
        <w:rFonts w:hint="default" w:ascii="Wingdings" w:hAnsi="Wingdings"/>
      </w:rPr>
    </w:lvl>
    <w:lvl w:ilvl="6" w:tentative="0">
      <w:start w:val="1"/>
      <w:numFmt w:val="bullet"/>
      <w:lvlText w:val=""/>
      <w:lvlJc w:val="left"/>
      <w:pPr>
        <w:ind w:left="3465" w:hanging="420"/>
      </w:pPr>
      <w:rPr>
        <w:rFonts w:hint="default" w:ascii="Wingdings" w:hAnsi="Wingdings"/>
      </w:rPr>
    </w:lvl>
    <w:lvl w:ilvl="7" w:tentative="0">
      <w:start w:val="1"/>
      <w:numFmt w:val="bullet"/>
      <w:lvlText w:val=""/>
      <w:lvlJc w:val="left"/>
      <w:pPr>
        <w:ind w:left="3885" w:hanging="420"/>
      </w:pPr>
      <w:rPr>
        <w:rFonts w:hint="default" w:ascii="Wingdings" w:hAnsi="Wingdings"/>
      </w:rPr>
    </w:lvl>
    <w:lvl w:ilvl="8" w:tentative="0">
      <w:start w:val="1"/>
      <w:numFmt w:val="bullet"/>
      <w:lvlText w:val=""/>
      <w:lvlJc w:val="left"/>
      <w:pPr>
        <w:ind w:left="4305" w:hanging="420"/>
      </w:pPr>
      <w:rPr>
        <w:rFonts w:hint="default" w:ascii="Wingdings" w:hAnsi="Wingdings"/>
      </w:rPr>
    </w:lvl>
  </w:abstractNum>
  <w:abstractNum w:abstractNumId="18">
    <w:nsid w:val="44B10DAC"/>
    <w:multiLevelType w:val="multilevel"/>
    <w:tmpl w:val="44B10DA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0">
    <w:nsid w:val="53FD545C"/>
    <w:multiLevelType w:val="multilevel"/>
    <w:tmpl w:val="53FD545C"/>
    <w:lvl w:ilvl="0" w:tentative="0">
      <w:start w:val="2"/>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1">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C085C69"/>
    <w:multiLevelType w:val="singleLevel"/>
    <w:tmpl w:val="6C085C69"/>
    <w:lvl w:ilvl="0" w:tentative="0">
      <w:start w:val="1"/>
      <w:numFmt w:val="decimal"/>
      <w:lvlText w:val="(%1)"/>
      <w:lvlJc w:val="left"/>
      <w:pPr>
        <w:ind w:left="425" w:hanging="425"/>
      </w:pPr>
      <w:rPr>
        <w:rFonts w:hint="default" w:asciiTheme="minorEastAsia" w:hAnsiTheme="minorEastAsia" w:eastAsiaTheme="minorEastAsia" w:cstheme="minorEastAsia"/>
      </w:r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25742D4"/>
    <w:multiLevelType w:val="multilevel"/>
    <w:tmpl w:val="725742D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5">
    <w:nsid w:val="79BE47E4"/>
    <w:multiLevelType w:val="multilevel"/>
    <w:tmpl w:val="79BE47E4"/>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6">
    <w:nsid w:val="7A612DE2"/>
    <w:multiLevelType w:val="singleLevel"/>
    <w:tmpl w:val="7A612DE2"/>
    <w:lvl w:ilvl="0" w:tentative="0">
      <w:start w:val="2"/>
      <w:numFmt w:val="decimal"/>
      <w:lvlText w:val="%1."/>
      <w:lvlJc w:val="left"/>
      <w:pPr>
        <w:tabs>
          <w:tab w:val="left" w:pos="312"/>
        </w:tabs>
      </w:pPr>
    </w:lvl>
  </w:abstractNum>
  <w:abstractNum w:abstractNumId="27">
    <w:nsid w:val="7E5267C2"/>
    <w:multiLevelType w:val="multilevel"/>
    <w:tmpl w:val="7E5267C2"/>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1"/>
  </w:num>
  <w:num w:numId="2">
    <w:abstractNumId w:val="23"/>
  </w:num>
  <w:num w:numId="3">
    <w:abstractNumId w:val="26"/>
  </w:num>
  <w:num w:numId="4">
    <w:abstractNumId w:val="12"/>
  </w:num>
  <w:num w:numId="5">
    <w:abstractNumId w:val="7"/>
  </w:num>
  <w:num w:numId="6">
    <w:abstractNumId w:val="19"/>
  </w:num>
  <w:num w:numId="7">
    <w:abstractNumId w:val="4"/>
  </w:num>
  <w:num w:numId="8">
    <w:abstractNumId w:val="14"/>
  </w:num>
  <w:num w:numId="9">
    <w:abstractNumId w:val="10"/>
  </w:num>
  <w:num w:numId="10">
    <w:abstractNumId w:val="3"/>
  </w:num>
  <w:num w:numId="11">
    <w:abstractNumId w:val="18"/>
  </w:num>
  <w:num w:numId="12">
    <w:abstractNumId w:val="24"/>
  </w:num>
  <w:num w:numId="13">
    <w:abstractNumId w:val="11"/>
  </w:num>
  <w:num w:numId="14">
    <w:abstractNumId w:val="17"/>
  </w:num>
  <w:num w:numId="15">
    <w:abstractNumId w:val="27"/>
  </w:num>
  <w:num w:numId="16">
    <w:abstractNumId w:val="6"/>
  </w:num>
  <w:num w:numId="17">
    <w:abstractNumId w:val="1"/>
  </w:num>
  <w:num w:numId="18">
    <w:abstractNumId w:val="9"/>
  </w:num>
  <w:num w:numId="19">
    <w:abstractNumId w:val="2"/>
  </w:num>
  <w:num w:numId="20">
    <w:abstractNumId w:val="5"/>
  </w:num>
  <w:num w:numId="21">
    <w:abstractNumId w:val="0"/>
  </w:num>
  <w:num w:numId="22">
    <w:abstractNumId w:val="13"/>
  </w:num>
  <w:num w:numId="23">
    <w:abstractNumId w:val="22"/>
  </w:num>
  <w:num w:numId="24">
    <w:abstractNumId w:val="8"/>
  </w:num>
  <w:num w:numId="25">
    <w:abstractNumId w:val="15"/>
  </w:num>
  <w:num w:numId="26">
    <w:abstractNumId w:val="16"/>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150C4"/>
    <w:rsid w:val="00220056"/>
    <w:rsid w:val="0023111D"/>
    <w:rsid w:val="002626ED"/>
    <w:rsid w:val="00265A40"/>
    <w:rsid w:val="00282FDE"/>
    <w:rsid w:val="0029130A"/>
    <w:rsid w:val="002E5C56"/>
    <w:rsid w:val="00331987"/>
    <w:rsid w:val="003A4540"/>
    <w:rsid w:val="003B4D7D"/>
    <w:rsid w:val="003E0AB3"/>
    <w:rsid w:val="00401C42"/>
    <w:rsid w:val="004076DE"/>
    <w:rsid w:val="004142E3"/>
    <w:rsid w:val="00444217"/>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21962"/>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B0B5F"/>
    <w:rsid w:val="012F0AC2"/>
    <w:rsid w:val="0133784E"/>
    <w:rsid w:val="014832F2"/>
    <w:rsid w:val="014D51C1"/>
    <w:rsid w:val="016E3F0D"/>
    <w:rsid w:val="01714809"/>
    <w:rsid w:val="01A73906"/>
    <w:rsid w:val="01AE5B4F"/>
    <w:rsid w:val="01C52478"/>
    <w:rsid w:val="01CE0603"/>
    <w:rsid w:val="02184C85"/>
    <w:rsid w:val="0237284B"/>
    <w:rsid w:val="02451546"/>
    <w:rsid w:val="027408EE"/>
    <w:rsid w:val="02963F39"/>
    <w:rsid w:val="02B66382"/>
    <w:rsid w:val="02BA7274"/>
    <w:rsid w:val="02E73401"/>
    <w:rsid w:val="03247961"/>
    <w:rsid w:val="03251978"/>
    <w:rsid w:val="0325718A"/>
    <w:rsid w:val="03BB27D2"/>
    <w:rsid w:val="03CF3E3D"/>
    <w:rsid w:val="042921B6"/>
    <w:rsid w:val="043432A1"/>
    <w:rsid w:val="0442138C"/>
    <w:rsid w:val="04AD02B8"/>
    <w:rsid w:val="04DF17D4"/>
    <w:rsid w:val="04E80A94"/>
    <w:rsid w:val="053B565E"/>
    <w:rsid w:val="05412745"/>
    <w:rsid w:val="05491761"/>
    <w:rsid w:val="05A351AD"/>
    <w:rsid w:val="05C234EE"/>
    <w:rsid w:val="05D95918"/>
    <w:rsid w:val="05F9748A"/>
    <w:rsid w:val="06032214"/>
    <w:rsid w:val="06160D68"/>
    <w:rsid w:val="06266F78"/>
    <w:rsid w:val="06382EFE"/>
    <w:rsid w:val="063E7B7A"/>
    <w:rsid w:val="06582413"/>
    <w:rsid w:val="066D19F4"/>
    <w:rsid w:val="067E33B8"/>
    <w:rsid w:val="069C2954"/>
    <w:rsid w:val="06A01095"/>
    <w:rsid w:val="06C47DA6"/>
    <w:rsid w:val="06E82FCB"/>
    <w:rsid w:val="06F34B95"/>
    <w:rsid w:val="07140041"/>
    <w:rsid w:val="07571DAC"/>
    <w:rsid w:val="076247AC"/>
    <w:rsid w:val="078A0D17"/>
    <w:rsid w:val="07AB6BDF"/>
    <w:rsid w:val="07D25D65"/>
    <w:rsid w:val="08000695"/>
    <w:rsid w:val="08332819"/>
    <w:rsid w:val="084C21AB"/>
    <w:rsid w:val="08741EBB"/>
    <w:rsid w:val="08C87A6E"/>
    <w:rsid w:val="08E64121"/>
    <w:rsid w:val="090D5816"/>
    <w:rsid w:val="0942017F"/>
    <w:rsid w:val="09810F23"/>
    <w:rsid w:val="09BA1FBB"/>
    <w:rsid w:val="09CB139F"/>
    <w:rsid w:val="09D54AFC"/>
    <w:rsid w:val="09E30FC8"/>
    <w:rsid w:val="09F27F5D"/>
    <w:rsid w:val="0A0106F5"/>
    <w:rsid w:val="0A112AB7"/>
    <w:rsid w:val="0A4E4DF4"/>
    <w:rsid w:val="0A505245"/>
    <w:rsid w:val="0A5F7DC1"/>
    <w:rsid w:val="0A661334"/>
    <w:rsid w:val="0A78508C"/>
    <w:rsid w:val="0A8B04DC"/>
    <w:rsid w:val="0A9B4CA6"/>
    <w:rsid w:val="0AA16DFC"/>
    <w:rsid w:val="0ABB0FF9"/>
    <w:rsid w:val="0AC402B6"/>
    <w:rsid w:val="0AD71BC7"/>
    <w:rsid w:val="0ADB7197"/>
    <w:rsid w:val="0AF420EB"/>
    <w:rsid w:val="0B0E7430"/>
    <w:rsid w:val="0B1910D3"/>
    <w:rsid w:val="0B2B2BF5"/>
    <w:rsid w:val="0B2F3908"/>
    <w:rsid w:val="0B3F6206"/>
    <w:rsid w:val="0B5346A2"/>
    <w:rsid w:val="0B93548B"/>
    <w:rsid w:val="0BBD05C5"/>
    <w:rsid w:val="0BE12DB6"/>
    <w:rsid w:val="0C0914C9"/>
    <w:rsid w:val="0C345AD1"/>
    <w:rsid w:val="0C5806CC"/>
    <w:rsid w:val="0C626CE4"/>
    <w:rsid w:val="0C91607A"/>
    <w:rsid w:val="0CAC3BFF"/>
    <w:rsid w:val="0CC05B7D"/>
    <w:rsid w:val="0CD10F40"/>
    <w:rsid w:val="0D0C2B7B"/>
    <w:rsid w:val="0D9308F8"/>
    <w:rsid w:val="0DDA6377"/>
    <w:rsid w:val="0E1A1D85"/>
    <w:rsid w:val="0E1E25B6"/>
    <w:rsid w:val="0E2350DD"/>
    <w:rsid w:val="0E423893"/>
    <w:rsid w:val="0E750568"/>
    <w:rsid w:val="0E7E6347"/>
    <w:rsid w:val="0E870499"/>
    <w:rsid w:val="0EA24D8E"/>
    <w:rsid w:val="0EB25028"/>
    <w:rsid w:val="0EB93A32"/>
    <w:rsid w:val="0EFB5FED"/>
    <w:rsid w:val="0F2D7A80"/>
    <w:rsid w:val="0F4277E5"/>
    <w:rsid w:val="0F6273CA"/>
    <w:rsid w:val="0F7279A6"/>
    <w:rsid w:val="0F8E5C90"/>
    <w:rsid w:val="0FA75561"/>
    <w:rsid w:val="0FB83603"/>
    <w:rsid w:val="0FCA77F1"/>
    <w:rsid w:val="0FCD5DCC"/>
    <w:rsid w:val="0FEF02B3"/>
    <w:rsid w:val="10270545"/>
    <w:rsid w:val="103819AC"/>
    <w:rsid w:val="104B7348"/>
    <w:rsid w:val="106E6B14"/>
    <w:rsid w:val="108A1D4B"/>
    <w:rsid w:val="10A10111"/>
    <w:rsid w:val="10BE093E"/>
    <w:rsid w:val="10EC27C5"/>
    <w:rsid w:val="110F6D60"/>
    <w:rsid w:val="111B0FE9"/>
    <w:rsid w:val="115F67A8"/>
    <w:rsid w:val="1168209E"/>
    <w:rsid w:val="119A7465"/>
    <w:rsid w:val="11C07DA5"/>
    <w:rsid w:val="11ED534F"/>
    <w:rsid w:val="123B6FD5"/>
    <w:rsid w:val="12491386"/>
    <w:rsid w:val="127B2E60"/>
    <w:rsid w:val="12B118C3"/>
    <w:rsid w:val="12E55336"/>
    <w:rsid w:val="12E60579"/>
    <w:rsid w:val="130A724C"/>
    <w:rsid w:val="130B4CCD"/>
    <w:rsid w:val="13371015"/>
    <w:rsid w:val="13695B36"/>
    <w:rsid w:val="136C088B"/>
    <w:rsid w:val="1372609F"/>
    <w:rsid w:val="137F2742"/>
    <w:rsid w:val="13920429"/>
    <w:rsid w:val="13A82806"/>
    <w:rsid w:val="14092DB2"/>
    <w:rsid w:val="143E3DC5"/>
    <w:rsid w:val="145A6A37"/>
    <w:rsid w:val="1467440F"/>
    <w:rsid w:val="14E21050"/>
    <w:rsid w:val="14F5646A"/>
    <w:rsid w:val="14F73019"/>
    <w:rsid w:val="15044722"/>
    <w:rsid w:val="15080C95"/>
    <w:rsid w:val="15433A9B"/>
    <w:rsid w:val="15445871"/>
    <w:rsid w:val="15812A82"/>
    <w:rsid w:val="158E10A8"/>
    <w:rsid w:val="15AD1F11"/>
    <w:rsid w:val="15B33927"/>
    <w:rsid w:val="15BB0D33"/>
    <w:rsid w:val="15D13671"/>
    <w:rsid w:val="15F81DA1"/>
    <w:rsid w:val="15FC2F04"/>
    <w:rsid w:val="16181FAC"/>
    <w:rsid w:val="165B00BA"/>
    <w:rsid w:val="168756A0"/>
    <w:rsid w:val="1697741D"/>
    <w:rsid w:val="16B24402"/>
    <w:rsid w:val="16F5303A"/>
    <w:rsid w:val="16F94849"/>
    <w:rsid w:val="17045E51"/>
    <w:rsid w:val="172011D4"/>
    <w:rsid w:val="17252C3B"/>
    <w:rsid w:val="17393921"/>
    <w:rsid w:val="173D3649"/>
    <w:rsid w:val="173F0A2E"/>
    <w:rsid w:val="17587125"/>
    <w:rsid w:val="175A07E0"/>
    <w:rsid w:val="17621C21"/>
    <w:rsid w:val="17770BC2"/>
    <w:rsid w:val="17860E2F"/>
    <w:rsid w:val="178D7EE5"/>
    <w:rsid w:val="17A119AA"/>
    <w:rsid w:val="17AF1095"/>
    <w:rsid w:val="17E13F3C"/>
    <w:rsid w:val="1813218C"/>
    <w:rsid w:val="181E57CF"/>
    <w:rsid w:val="18586F2B"/>
    <w:rsid w:val="18656713"/>
    <w:rsid w:val="188C65D3"/>
    <w:rsid w:val="18A70482"/>
    <w:rsid w:val="18CA3EB9"/>
    <w:rsid w:val="18E40210"/>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BB45FF"/>
    <w:rsid w:val="1ACC6A83"/>
    <w:rsid w:val="1AD20CC7"/>
    <w:rsid w:val="1ADF5B23"/>
    <w:rsid w:val="1AE3343E"/>
    <w:rsid w:val="1AED0C1B"/>
    <w:rsid w:val="1B162396"/>
    <w:rsid w:val="1B294C9D"/>
    <w:rsid w:val="1B333D5D"/>
    <w:rsid w:val="1B4667CC"/>
    <w:rsid w:val="1B4C6157"/>
    <w:rsid w:val="1B587618"/>
    <w:rsid w:val="1B5F19C7"/>
    <w:rsid w:val="1B5F1C25"/>
    <w:rsid w:val="1B723AC7"/>
    <w:rsid w:val="1C1C709B"/>
    <w:rsid w:val="1C4806F1"/>
    <w:rsid w:val="1C690B86"/>
    <w:rsid w:val="1C9F6814"/>
    <w:rsid w:val="1CB369A2"/>
    <w:rsid w:val="1CB731AA"/>
    <w:rsid w:val="1CD65C5D"/>
    <w:rsid w:val="1CDE0462"/>
    <w:rsid w:val="1D07261A"/>
    <w:rsid w:val="1D1B2A71"/>
    <w:rsid w:val="1D5C514E"/>
    <w:rsid w:val="1D5F7331"/>
    <w:rsid w:val="1D85395E"/>
    <w:rsid w:val="1D865D14"/>
    <w:rsid w:val="1D8705EC"/>
    <w:rsid w:val="1DC823F7"/>
    <w:rsid w:val="1DED1842"/>
    <w:rsid w:val="1E001284"/>
    <w:rsid w:val="1E20535F"/>
    <w:rsid w:val="1E43150B"/>
    <w:rsid w:val="1E575188"/>
    <w:rsid w:val="1E7E4D14"/>
    <w:rsid w:val="1E8C2E63"/>
    <w:rsid w:val="1E9E304B"/>
    <w:rsid w:val="1EA93E80"/>
    <w:rsid w:val="1ED33FB6"/>
    <w:rsid w:val="1EE81332"/>
    <w:rsid w:val="1EED2D98"/>
    <w:rsid w:val="1F0A163D"/>
    <w:rsid w:val="1F32415A"/>
    <w:rsid w:val="1F3A560A"/>
    <w:rsid w:val="1F466CDC"/>
    <w:rsid w:val="1F5A4199"/>
    <w:rsid w:val="1F7E2174"/>
    <w:rsid w:val="1F8964CB"/>
    <w:rsid w:val="1FBC5EF2"/>
    <w:rsid w:val="1FC32513"/>
    <w:rsid w:val="1FE258CB"/>
    <w:rsid w:val="1FF92FF3"/>
    <w:rsid w:val="200D253F"/>
    <w:rsid w:val="20107567"/>
    <w:rsid w:val="202A27D1"/>
    <w:rsid w:val="208717DB"/>
    <w:rsid w:val="20AB56C6"/>
    <w:rsid w:val="20D52D39"/>
    <w:rsid w:val="20F2001C"/>
    <w:rsid w:val="20F7097A"/>
    <w:rsid w:val="212C13E3"/>
    <w:rsid w:val="21545FA4"/>
    <w:rsid w:val="2176507C"/>
    <w:rsid w:val="219E32F8"/>
    <w:rsid w:val="21BA10C4"/>
    <w:rsid w:val="21BE35AF"/>
    <w:rsid w:val="21C11174"/>
    <w:rsid w:val="2208376B"/>
    <w:rsid w:val="220C0769"/>
    <w:rsid w:val="22244B28"/>
    <w:rsid w:val="22467FD4"/>
    <w:rsid w:val="22784511"/>
    <w:rsid w:val="229451FD"/>
    <w:rsid w:val="22A12DB6"/>
    <w:rsid w:val="22C97F89"/>
    <w:rsid w:val="23195423"/>
    <w:rsid w:val="23252EAE"/>
    <w:rsid w:val="234552CB"/>
    <w:rsid w:val="23510E00"/>
    <w:rsid w:val="236356D1"/>
    <w:rsid w:val="23A91C83"/>
    <w:rsid w:val="23C94380"/>
    <w:rsid w:val="23C962E8"/>
    <w:rsid w:val="23F628B3"/>
    <w:rsid w:val="241779D8"/>
    <w:rsid w:val="241F0332"/>
    <w:rsid w:val="243954FA"/>
    <w:rsid w:val="244A3ACE"/>
    <w:rsid w:val="244E64C3"/>
    <w:rsid w:val="246818DB"/>
    <w:rsid w:val="247E4FED"/>
    <w:rsid w:val="24B30BE8"/>
    <w:rsid w:val="24C6643F"/>
    <w:rsid w:val="24E34060"/>
    <w:rsid w:val="24E73693"/>
    <w:rsid w:val="24EA6D6E"/>
    <w:rsid w:val="25143CB6"/>
    <w:rsid w:val="25275183"/>
    <w:rsid w:val="253A0491"/>
    <w:rsid w:val="25491B20"/>
    <w:rsid w:val="257E536B"/>
    <w:rsid w:val="25851E17"/>
    <w:rsid w:val="25E036B2"/>
    <w:rsid w:val="25E9082A"/>
    <w:rsid w:val="25F42473"/>
    <w:rsid w:val="25FF7AB9"/>
    <w:rsid w:val="26701A1C"/>
    <w:rsid w:val="267E2DFB"/>
    <w:rsid w:val="267F0FB7"/>
    <w:rsid w:val="26AA1A7C"/>
    <w:rsid w:val="26AF2D79"/>
    <w:rsid w:val="26B34B91"/>
    <w:rsid w:val="26DD6B95"/>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8DD289F"/>
    <w:rsid w:val="291E2CA6"/>
    <w:rsid w:val="29331862"/>
    <w:rsid w:val="298E421D"/>
    <w:rsid w:val="299E147F"/>
    <w:rsid w:val="29C32A87"/>
    <w:rsid w:val="29CF26DC"/>
    <w:rsid w:val="2A1C5DA0"/>
    <w:rsid w:val="2A200D39"/>
    <w:rsid w:val="2A507EFF"/>
    <w:rsid w:val="2A931BAD"/>
    <w:rsid w:val="2ACB3B45"/>
    <w:rsid w:val="2ADC05A4"/>
    <w:rsid w:val="2B2C08A6"/>
    <w:rsid w:val="2B6F0D7F"/>
    <w:rsid w:val="2B797443"/>
    <w:rsid w:val="2B8716BD"/>
    <w:rsid w:val="2B8B76FF"/>
    <w:rsid w:val="2B906D86"/>
    <w:rsid w:val="2BD5034F"/>
    <w:rsid w:val="2C0B6845"/>
    <w:rsid w:val="2C164021"/>
    <w:rsid w:val="2C4E3791"/>
    <w:rsid w:val="2CC04EFA"/>
    <w:rsid w:val="2CF750C7"/>
    <w:rsid w:val="2D025012"/>
    <w:rsid w:val="2D4178F0"/>
    <w:rsid w:val="2D5E68DA"/>
    <w:rsid w:val="2D9C5B61"/>
    <w:rsid w:val="2DA535EC"/>
    <w:rsid w:val="2DAE631A"/>
    <w:rsid w:val="2DD877E0"/>
    <w:rsid w:val="2DE616C9"/>
    <w:rsid w:val="2DE6471C"/>
    <w:rsid w:val="2DFC2451"/>
    <w:rsid w:val="2E060EEA"/>
    <w:rsid w:val="2E110022"/>
    <w:rsid w:val="2E3422F8"/>
    <w:rsid w:val="2E392F37"/>
    <w:rsid w:val="2E4D582F"/>
    <w:rsid w:val="2E4D5985"/>
    <w:rsid w:val="2E53788E"/>
    <w:rsid w:val="2E614626"/>
    <w:rsid w:val="2E6931B3"/>
    <w:rsid w:val="2E6D31FB"/>
    <w:rsid w:val="2E6E566D"/>
    <w:rsid w:val="2E7F188E"/>
    <w:rsid w:val="2EA85F24"/>
    <w:rsid w:val="2EAF2917"/>
    <w:rsid w:val="2EB2312B"/>
    <w:rsid w:val="2EBC0905"/>
    <w:rsid w:val="2EC73739"/>
    <w:rsid w:val="2EE32B90"/>
    <w:rsid w:val="2EE95803"/>
    <w:rsid w:val="2EFB1B0E"/>
    <w:rsid w:val="2F5C684F"/>
    <w:rsid w:val="2F7B3E4B"/>
    <w:rsid w:val="2FB67DA1"/>
    <w:rsid w:val="302479FB"/>
    <w:rsid w:val="303A20E7"/>
    <w:rsid w:val="304C4B41"/>
    <w:rsid w:val="307776D1"/>
    <w:rsid w:val="30862574"/>
    <w:rsid w:val="30A77875"/>
    <w:rsid w:val="30B631E1"/>
    <w:rsid w:val="311933AA"/>
    <w:rsid w:val="31611C9E"/>
    <w:rsid w:val="317D15BB"/>
    <w:rsid w:val="31934D3E"/>
    <w:rsid w:val="31D07E6C"/>
    <w:rsid w:val="31D574D0"/>
    <w:rsid w:val="31F67A05"/>
    <w:rsid w:val="323F65DA"/>
    <w:rsid w:val="32412074"/>
    <w:rsid w:val="32422082"/>
    <w:rsid w:val="325B63D6"/>
    <w:rsid w:val="327350F6"/>
    <w:rsid w:val="32A0644D"/>
    <w:rsid w:val="32B77AC3"/>
    <w:rsid w:val="32D0705C"/>
    <w:rsid w:val="32DD7D02"/>
    <w:rsid w:val="32DE0199"/>
    <w:rsid w:val="335B2774"/>
    <w:rsid w:val="3364565D"/>
    <w:rsid w:val="33A4642E"/>
    <w:rsid w:val="33A877AB"/>
    <w:rsid w:val="33B02259"/>
    <w:rsid w:val="33C44FD3"/>
    <w:rsid w:val="33D4039C"/>
    <w:rsid w:val="33D47E05"/>
    <w:rsid w:val="33F8260F"/>
    <w:rsid w:val="340017FF"/>
    <w:rsid w:val="3413677D"/>
    <w:rsid w:val="342B544B"/>
    <w:rsid w:val="342C7624"/>
    <w:rsid w:val="343839A4"/>
    <w:rsid w:val="343E2DC2"/>
    <w:rsid w:val="345E036E"/>
    <w:rsid w:val="349138EA"/>
    <w:rsid w:val="349D0BDD"/>
    <w:rsid w:val="34DE1E4F"/>
    <w:rsid w:val="34F07DB1"/>
    <w:rsid w:val="351224A5"/>
    <w:rsid w:val="356157C6"/>
    <w:rsid w:val="35831650"/>
    <w:rsid w:val="358D07D1"/>
    <w:rsid w:val="359F7127"/>
    <w:rsid w:val="35B0692A"/>
    <w:rsid w:val="35D354B8"/>
    <w:rsid w:val="35D4025C"/>
    <w:rsid w:val="35D72186"/>
    <w:rsid w:val="35EE54A3"/>
    <w:rsid w:val="35F516ED"/>
    <w:rsid w:val="35FC2392"/>
    <w:rsid w:val="360062A6"/>
    <w:rsid w:val="36066C4F"/>
    <w:rsid w:val="36263487"/>
    <w:rsid w:val="362666BC"/>
    <w:rsid w:val="364517CF"/>
    <w:rsid w:val="364A7982"/>
    <w:rsid w:val="366478E6"/>
    <w:rsid w:val="366D14E9"/>
    <w:rsid w:val="368A6B11"/>
    <w:rsid w:val="36931098"/>
    <w:rsid w:val="36A77DAA"/>
    <w:rsid w:val="37085B1F"/>
    <w:rsid w:val="371D289E"/>
    <w:rsid w:val="372E04CB"/>
    <w:rsid w:val="3762046C"/>
    <w:rsid w:val="376B5C1E"/>
    <w:rsid w:val="37742729"/>
    <w:rsid w:val="3790083E"/>
    <w:rsid w:val="37C77814"/>
    <w:rsid w:val="382C7B34"/>
    <w:rsid w:val="388A3751"/>
    <w:rsid w:val="38D65199"/>
    <w:rsid w:val="38E070F2"/>
    <w:rsid w:val="38F066A0"/>
    <w:rsid w:val="39034314"/>
    <w:rsid w:val="390B0AC4"/>
    <w:rsid w:val="390D33AB"/>
    <w:rsid w:val="391E6D06"/>
    <w:rsid w:val="393A3C1D"/>
    <w:rsid w:val="396548D9"/>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2185C"/>
    <w:rsid w:val="3B1726EF"/>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2459C"/>
    <w:rsid w:val="3CED621B"/>
    <w:rsid w:val="3D186684"/>
    <w:rsid w:val="3D363C36"/>
    <w:rsid w:val="3D397557"/>
    <w:rsid w:val="3D4C7C96"/>
    <w:rsid w:val="3D635B43"/>
    <w:rsid w:val="3D8B2178"/>
    <w:rsid w:val="3D9364A0"/>
    <w:rsid w:val="3D9C2CE1"/>
    <w:rsid w:val="3DB34909"/>
    <w:rsid w:val="3DD115F5"/>
    <w:rsid w:val="3DE435F0"/>
    <w:rsid w:val="3DE5122C"/>
    <w:rsid w:val="3DF37E53"/>
    <w:rsid w:val="3E134150"/>
    <w:rsid w:val="3E1E6276"/>
    <w:rsid w:val="3E985F3F"/>
    <w:rsid w:val="3ED26DE9"/>
    <w:rsid w:val="3ED51606"/>
    <w:rsid w:val="3EED17D0"/>
    <w:rsid w:val="3F0C0304"/>
    <w:rsid w:val="3F0F7A7F"/>
    <w:rsid w:val="3F2C09B1"/>
    <w:rsid w:val="3F2C27E4"/>
    <w:rsid w:val="3FC2236C"/>
    <w:rsid w:val="3FDB6617"/>
    <w:rsid w:val="3FEC147E"/>
    <w:rsid w:val="40036A74"/>
    <w:rsid w:val="4003755E"/>
    <w:rsid w:val="401B03DB"/>
    <w:rsid w:val="4024153A"/>
    <w:rsid w:val="402853D1"/>
    <w:rsid w:val="403703F1"/>
    <w:rsid w:val="40376375"/>
    <w:rsid w:val="403A2383"/>
    <w:rsid w:val="4053166F"/>
    <w:rsid w:val="40815A60"/>
    <w:rsid w:val="408546CF"/>
    <w:rsid w:val="40A13D96"/>
    <w:rsid w:val="40C84E1D"/>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4A4B98"/>
    <w:rsid w:val="42581D3A"/>
    <w:rsid w:val="4262787F"/>
    <w:rsid w:val="42643391"/>
    <w:rsid w:val="42A4204C"/>
    <w:rsid w:val="42CE6EC0"/>
    <w:rsid w:val="42FE0080"/>
    <w:rsid w:val="432B5B4E"/>
    <w:rsid w:val="43315D2E"/>
    <w:rsid w:val="43573B1E"/>
    <w:rsid w:val="43824A1C"/>
    <w:rsid w:val="4390486D"/>
    <w:rsid w:val="4399333D"/>
    <w:rsid w:val="43B2241F"/>
    <w:rsid w:val="43CE64CC"/>
    <w:rsid w:val="43D110E1"/>
    <w:rsid w:val="43E873C9"/>
    <w:rsid w:val="44250817"/>
    <w:rsid w:val="44905B1F"/>
    <w:rsid w:val="44A142A6"/>
    <w:rsid w:val="45007767"/>
    <w:rsid w:val="45316885"/>
    <w:rsid w:val="453B3049"/>
    <w:rsid w:val="453F0643"/>
    <w:rsid w:val="45805DAF"/>
    <w:rsid w:val="459455AC"/>
    <w:rsid w:val="45A95EE9"/>
    <w:rsid w:val="45D35790"/>
    <w:rsid w:val="45FB0F21"/>
    <w:rsid w:val="460C59D7"/>
    <w:rsid w:val="4615106E"/>
    <w:rsid w:val="46167166"/>
    <w:rsid w:val="461A2194"/>
    <w:rsid w:val="4622247F"/>
    <w:rsid w:val="465E515F"/>
    <w:rsid w:val="467C365F"/>
    <w:rsid w:val="468735B8"/>
    <w:rsid w:val="46901553"/>
    <w:rsid w:val="469B1BC5"/>
    <w:rsid w:val="469E62EA"/>
    <w:rsid w:val="46C1577B"/>
    <w:rsid w:val="46F91E7C"/>
    <w:rsid w:val="46FF21F6"/>
    <w:rsid w:val="47131BFB"/>
    <w:rsid w:val="47200EE3"/>
    <w:rsid w:val="47266964"/>
    <w:rsid w:val="47435AC2"/>
    <w:rsid w:val="47544B78"/>
    <w:rsid w:val="47587AF7"/>
    <w:rsid w:val="476E6FAD"/>
    <w:rsid w:val="47745A86"/>
    <w:rsid w:val="477F33DA"/>
    <w:rsid w:val="479010F6"/>
    <w:rsid w:val="47A52B16"/>
    <w:rsid w:val="47AC17F9"/>
    <w:rsid w:val="47E239AC"/>
    <w:rsid w:val="480F4B73"/>
    <w:rsid w:val="48602ADC"/>
    <w:rsid w:val="486F6565"/>
    <w:rsid w:val="48886075"/>
    <w:rsid w:val="48A81CE9"/>
    <w:rsid w:val="48CD3476"/>
    <w:rsid w:val="48DB38E3"/>
    <w:rsid w:val="48F5140F"/>
    <w:rsid w:val="49001B5E"/>
    <w:rsid w:val="490552B7"/>
    <w:rsid w:val="490D1AE7"/>
    <w:rsid w:val="49376DB0"/>
    <w:rsid w:val="49804BB7"/>
    <w:rsid w:val="498222F1"/>
    <w:rsid w:val="49826DCB"/>
    <w:rsid w:val="4984282A"/>
    <w:rsid w:val="499013E7"/>
    <w:rsid w:val="49B95283"/>
    <w:rsid w:val="49C8088A"/>
    <w:rsid w:val="49CB23A5"/>
    <w:rsid w:val="49F0795B"/>
    <w:rsid w:val="4A301C93"/>
    <w:rsid w:val="4A3302AB"/>
    <w:rsid w:val="4A7F3A12"/>
    <w:rsid w:val="4A826ECA"/>
    <w:rsid w:val="4AC85D49"/>
    <w:rsid w:val="4ACB4AB2"/>
    <w:rsid w:val="4AE308A9"/>
    <w:rsid w:val="4B0F0B9F"/>
    <w:rsid w:val="4B294DDA"/>
    <w:rsid w:val="4B3E6D0C"/>
    <w:rsid w:val="4B8F44A9"/>
    <w:rsid w:val="4B9A1456"/>
    <w:rsid w:val="4BA32C82"/>
    <w:rsid w:val="4BA54C8E"/>
    <w:rsid w:val="4BBD4EE7"/>
    <w:rsid w:val="4BC72BDF"/>
    <w:rsid w:val="4BD73978"/>
    <w:rsid w:val="4BE70627"/>
    <w:rsid w:val="4C0A5AE1"/>
    <w:rsid w:val="4C130AB8"/>
    <w:rsid w:val="4C391ADB"/>
    <w:rsid w:val="4C5A284D"/>
    <w:rsid w:val="4C63431C"/>
    <w:rsid w:val="4C9C6BF9"/>
    <w:rsid w:val="4CB571EA"/>
    <w:rsid w:val="4CB96B43"/>
    <w:rsid w:val="4CC75FCC"/>
    <w:rsid w:val="4CD63947"/>
    <w:rsid w:val="4CF3344B"/>
    <w:rsid w:val="4CFC49F4"/>
    <w:rsid w:val="4D073D73"/>
    <w:rsid w:val="4D1E27BA"/>
    <w:rsid w:val="4D23574A"/>
    <w:rsid w:val="4D4C4DB0"/>
    <w:rsid w:val="4D5869F3"/>
    <w:rsid w:val="4D6238ED"/>
    <w:rsid w:val="4D6B06B3"/>
    <w:rsid w:val="4D7322D5"/>
    <w:rsid w:val="4DD7034C"/>
    <w:rsid w:val="4DE312CB"/>
    <w:rsid w:val="4DF5318E"/>
    <w:rsid w:val="4E1F4862"/>
    <w:rsid w:val="4E2E4393"/>
    <w:rsid w:val="4E34765B"/>
    <w:rsid w:val="4E535EF2"/>
    <w:rsid w:val="4E56234E"/>
    <w:rsid w:val="4E8E4A9F"/>
    <w:rsid w:val="4EF11A75"/>
    <w:rsid w:val="4F08773C"/>
    <w:rsid w:val="4F130CF7"/>
    <w:rsid w:val="4F31409F"/>
    <w:rsid w:val="4F5E670E"/>
    <w:rsid w:val="4F830A4B"/>
    <w:rsid w:val="4F846A83"/>
    <w:rsid w:val="4FE52410"/>
    <w:rsid w:val="4FF461A4"/>
    <w:rsid w:val="50070E2C"/>
    <w:rsid w:val="500E01E6"/>
    <w:rsid w:val="502F619C"/>
    <w:rsid w:val="504B57F2"/>
    <w:rsid w:val="505C5D66"/>
    <w:rsid w:val="509A4341"/>
    <w:rsid w:val="50B72BFD"/>
    <w:rsid w:val="50C62BC7"/>
    <w:rsid w:val="50F72A66"/>
    <w:rsid w:val="5123368C"/>
    <w:rsid w:val="512B012E"/>
    <w:rsid w:val="5130747C"/>
    <w:rsid w:val="51501AF7"/>
    <w:rsid w:val="515C765A"/>
    <w:rsid w:val="516610D8"/>
    <w:rsid w:val="51905BB3"/>
    <w:rsid w:val="51946FCB"/>
    <w:rsid w:val="51A05024"/>
    <w:rsid w:val="51AC60FD"/>
    <w:rsid w:val="51D21D4C"/>
    <w:rsid w:val="51DD796B"/>
    <w:rsid w:val="51DF373B"/>
    <w:rsid w:val="521066B1"/>
    <w:rsid w:val="5266163F"/>
    <w:rsid w:val="527D59E1"/>
    <w:rsid w:val="52D20739"/>
    <w:rsid w:val="52E6760E"/>
    <w:rsid w:val="52EF4CB5"/>
    <w:rsid w:val="52F959F0"/>
    <w:rsid w:val="52FB1B32"/>
    <w:rsid w:val="52FF21DE"/>
    <w:rsid w:val="5302488E"/>
    <w:rsid w:val="53136173"/>
    <w:rsid w:val="53645473"/>
    <w:rsid w:val="539A4AC7"/>
    <w:rsid w:val="53C33539"/>
    <w:rsid w:val="53D004E8"/>
    <w:rsid w:val="542631B6"/>
    <w:rsid w:val="545F0C78"/>
    <w:rsid w:val="54647343"/>
    <w:rsid w:val="54A61722"/>
    <w:rsid w:val="54B31FAF"/>
    <w:rsid w:val="54FB4092"/>
    <w:rsid w:val="55122522"/>
    <w:rsid w:val="5524472E"/>
    <w:rsid w:val="55326D63"/>
    <w:rsid w:val="55484F36"/>
    <w:rsid w:val="555D1A10"/>
    <w:rsid w:val="55AB6932"/>
    <w:rsid w:val="55CE2B4A"/>
    <w:rsid w:val="560449EF"/>
    <w:rsid w:val="56155247"/>
    <w:rsid w:val="56162CC9"/>
    <w:rsid w:val="562338FD"/>
    <w:rsid w:val="56440315"/>
    <w:rsid w:val="56574DB7"/>
    <w:rsid w:val="566766E5"/>
    <w:rsid w:val="568A5206"/>
    <w:rsid w:val="56AC4A78"/>
    <w:rsid w:val="56C502EA"/>
    <w:rsid w:val="56DB16B9"/>
    <w:rsid w:val="56DE4C90"/>
    <w:rsid w:val="56F03CB1"/>
    <w:rsid w:val="57442EFB"/>
    <w:rsid w:val="574436DA"/>
    <w:rsid w:val="57480C7F"/>
    <w:rsid w:val="577A3463"/>
    <w:rsid w:val="57847CE3"/>
    <w:rsid w:val="57DB3DF1"/>
    <w:rsid w:val="57F967AD"/>
    <w:rsid w:val="58052975"/>
    <w:rsid w:val="582D112D"/>
    <w:rsid w:val="583152CE"/>
    <w:rsid w:val="58D802CE"/>
    <w:rsid w:val="58E525CA"/>
    <w:rsid w:val="593B5DDE"/>
    <w:rsid w:val="593D045A"/>
    <w:rsid w:val="595C44AE"/>
    <w:rsid w:val="5960739E"/>
    <w:rsid w:val="59896D0A"/>
    <w:rsid w:val="59B13835"/>
    <w:rsid w:val="59B72684"/>
    <w:rsid w:val="59CC6E29"/>
    <w:rsid w:val="59CE7D0B"/>
    <w:rsid w:val="59CF110D"/>
    <w:rsid w:val="59E349B5"/>
    <w:rsid w:val="59F66B3A"/>
    <w:rsid w:val="5A0532BF"/>
    <w:rsid w:val="5A6E4EEC"/>
    <w:rsid w:val="5A9579AE"/>
    <w:rsid w:val="5AC468CD"/>
    <w:rsid w:val="5AD8750F"/>
    <w:rsid w:val="5B342B9A"/>
    <w:rsid w:val="5B3936BE"/>
    <w:rsid w:val="5B492591"/>
    <w:rsid w:val="5B5953B0"/>
    <w:rsid w:val="5B5B1AB4"/>
    <w:rsid w:val="5B615779"/>
    <w:rsid w:val="5B630802"/>
    <w:rsid w:val="5B6C52EF"/>
    <w:rsid w:val="5B721297"/>
    <w:rsid w:val="5B807F68"/>
    <w:rsid w:val="5B93724D"/>
    <w:rsid w:val="5B944CCF"/>
    <w:rsid w:val="5BA0711B"/>
    <w:rsid w:val="5BB209FC"/>
    <w:rsid w:val="5BCE5F18"/>
    <w:rsid w:val="5BF232F7"/>
    <w:rsid w:val="5BFB631F"/>
    <w:rsid w:val="5C034D53"/>
    <w:rsid w:val="5C550997"/>
    <w:rsid w:val="5C903B7A"/>
    <w:rsid w:val="5CA507A4"/>
    <w:rsid w:val="5CCA665F"/>
    <w:rsid w:val="5D0C57B5"/>
    <w:rsid w:val="5D9539D7"/>
    <w:rsid w:val="5DBF6C59"/>
    <w:rsid w:val="5DCA41FA"/>
    <w:rsid w:val="5E1D6F56"/>
    <w:rsid w:val="5E4333EB"/>
    <w:rsid w:val="5E52187F"/>
    <w:rsid w:val="5E6A13CD"/>
    <w:rsid w:val="5E705D15"/>
    <w:rsid w:val="5E92274E"/>
    <w:rsid w:val="5E93326C"/>
    <w:rsid w:val="5E9F1A7A"/>
    <w:rsid w:val="5ECE18F6"/>
    <w:rsid w:val="5EE5503B"/>
    <w:rsid w:val="5EFB4BA4"/>
    <w:rsid w:val="5F0535BA"/>
    <w:rsid w:val="5F0A2EB1"/>
    <w:rsid w:val="5F1F3F1B"/>
    <w:rsid w:val="5F496E9B"/>
    <w:rsid w:val="5F497BDD"/>
    <w:rsid w:val="5F5F46B5"/>
    <w:rsid w:val="5F6505FD"/>
    <w:rsid w:val="5F654690"/>
    <w:rsid w:val="5F746EA8"/>
    <w:rsid w:val="5F895CFD"/>
    <w:rsid w:val="5FB25360"/>
    <w:rsid w:val="5FBA3CC0"/>
    <w:rsid w:val="5FD90D61"/>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790877"/>
    <w:rsid w:val="61BE4076"/>
    <w:rsid w:val="61D215CF"/>
    <w:rsid w:val="622C5484"/>
    <w:rsid w:val="623C3E38"/>
    <w:rsid w:val="625C563D"/>
    <w:rsid w:val="626A1704"/>
    <w:rsid w:val="628C1BC6"/>
    <w:rsid w:val="62AC44A2"/>
    <w:rsid w:val="62AD7E76"/>
    <w:rsid w:val="62B362C8"/>
    <w:rsid w:val="62B97A94"/>
    <w:rsid w:val="62C1330E"/>
    <w:rsid w:val="62FD6475"/>
    <w:rsid w:val="630C5A29"/>
    <w:rsid w:val="630D3DF3"/>
    <w:rsid w:val="6342085E"/>
    <w:rsid w:val="636F415C"/>
    <w:rsid w:val="63754A1B"/>
    <w:rsid w:val="63852ED6"/>
    <w:rsid w:val="63E35EC3"/>
    <w:rsid w:val="63F40F8B"/>
    <w:rsid w:val="640435CB"/>
    <w:rsid w:val="640F4C9F"/>
    <w:rsid w:val="64372D3D"/>
    <w:rsid w:val="64475192"/>
    <w:rsid w:val="64785A9C"/>
    <w:rsid w:val="64917820"/>
    <w:rsid w:val="649D72CC"/>
    <w:rsid w:val="64AA1CC5"/>
    <w:rsid w:val="651C646F"/>
    <w:rsid w:val="651D5BE5"/>
    <w:rsid w:val="65204E75"/>
    <w:rsid w:val="6528067E"/>
    <w:rsid w:val="656B2909"/>
    <w:rsid w:val="65A3045D"/>
    <w:rsid w:val="65AD2015"/>
    <w:rsid w:val="65C04C39"/>
    <w:rsid w:val="65C222CF"/>
    <w:rsid w:val="65D97752"/>
    <w:rsid w:val="65E25E59"/>
    <w:rsid w:val="65F903DC"/>
    <w:rsid w:val="65FB005C"/>
    <w:rsid w:val="661047DD"/>
    <w:rsid w:val="661C4D37"/>
    <w:rsid w:val="661E072B"/>
    <w:rsid w:val="66242736"/>
    <w:rsid w:val="66307F76"/>
    <w:rsid w:val="663B69C4"/>
    <w:rsid w:val="66564F2B"/>
    <w:rsid w:val="66580EAF"/>
    <w:rsid w:val="66694D0D"/>
    <w:rsid w:val="666C5CF5"/>
    <w:rsid w:val="667A1C2F"/>
    <w:rsid w:val="667B4472"/>
    <w:rsid w:val="66815F0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7C4CD5"/>
    <w:rsid w:val="67815A82"/>
    <w:rsid w:val="67980D1B"/>
    <w:rsid w:val="68011379"/>
    <w:rsid w:val="680D1D06"/>
    <w:rsid w:val="681462BE"/>
    <w:rsid w:val="68157452"/>
    <w:rsid w:val="68252C37"/>
    <w:rsid w:val="68817BAC"/>
    <w:rsid w:val="68852F89"/>
    <w:rsid w:val="689A5E59"/>
    <w:rsid w:val="68BF65E6"/>
    <w:rsid w:val="68CC4C87"/>
    <w:rsid w:val="68EE72DF"/>
    <w:rsid w:val="692E2EB0"/>
    <w:rsid w:val="69485FEA"/>
    <w:rsid w:val="694C7BCA"/>
    <w:rsid w:val="69677DC0"/>
    <w:rsid w:val="69937EC7"/>
    <w:rsid w:val="69B640BA"/>
    <w:rsid w:val="69D64558"/>
    <w:rsid w:val="69E23E3D"/>
    <w:rsid w:val="6A042548"/>
    <w:rsid w:val="6A0B0806"/>
    <w:rsid w:val="6A304492"/>
    <w:rsid w:val="6A471EFD"/>
    <w:rsid w:val="6A90616B"/>
    <w:rsid w:val="6AA64288"/>
    <w:rsid w:val="6AB57116"/>
    <w:rsid w:val="6AD65900"/>
    <w:rsid w:val="6AE73176"/>
    <w:rsid w:val="6B17424A"/>
    <w:rsid w:val="6B2218FA"/>
    <w:rsid w:val="6B691672"/>
    <w:rsid w:val="6B755FDA"/>
    <w:rsid w:val="6B7D64E9"/>
    <w:rsid w:val="6BB640C5"/>
    <w:rsid w:val="6BE97F42"/>
    <w:rsid w:val="6C2D5008"/>
    <w:rsid w:val="6C3A0859"/>
    <w:rsid w:val="6C5E6A51"/>
    <w:rsid w:val="6C6513C3"/>
    <w:rsid w:val="6C710F75"/>
    <w:rsid w:val="6C744268"/>
    <w:rsid w:val="6CCD388D"/>
    <w:rsid w:val="6CD62D03"/>
    <w:rsid w:val="6CD97FB6"/>
    <w:rsid w:val="6CDA233C"/>
    <w:rsid w:val="6D0F33FD"/>
    <w:rsid w:val="6D170809"/>
    <w:rsid w:val="6D4B22B8"/>
    <w:rsid w:val="6D663E0B"/>
    <w:rsid w:val="6D682186"/>
    <w:rsid w:val="6D930013"/>
    <w:rsid w:val="6D98425A"/>
    <w:rsid w:val="6E1A1656"/>
    <w:rsid w:val="6E231DD6"/>
    <w:rsid w:val="6E337CDC"/>
    <w:rsid w:val="6E404513"/>
    <w:rsid w:val="6E5A5288"/>
    <w:rsid w:val="6E614EA5"/>
    <w:rsid w:val="6E6F0172"/>
    <w:rsid w:val="6EE013EE"/>
    <w:rsid w:val="6EE079F1"/>
    <w:rsid w:val="6EE42C42"/>
    <w:rsid w:val="6F074F71"/>
    <w:rsid w:val="6F1B5C73"/>
    <w:rsid w:val="6F211A55"/>
    <w:rsid w:val="6F3C7AFB"/>
    <w:rsid w:val="6F7F7CB0"/>
    <w:rsid w:val="6F952AA2"/>
    <w:rsid w:val="6FBB0A5D"/>
    <w:rsid w:val="6FE0165C"/>
    <w:rsid w:val="6FE6309C"/>
    <w:rsid w:val="6FF0551E"/>
    <w:rsid w:val="700A405F"/>
    <w:rsid w:val="70104DC1"/>
    <w:rsid w:val="7019589D"/>
    <w:rsid w:val="70222744"/>
    <w:rsid w:val="703E1036"/>
    <w:rsid w:val="7040076C"/>
    <w:rsid w:val="706C7E4E"/>
    <w:rsid w:val="706D2B21"/>
    <w:rsid w:val="707B1384"/>
    <w:rsid w:val="707E55D4"/>
    <w:rsid w:val="70857A34"/>
    <w:rsid w:val="70985D3C"/>
    <w:rsid w:val="70E64CC7"/>
    <w:rsid w:val="71047C73"/>
    <w:rsid w:val="7109004F"/>
    <w:rsid w:val="710F390D"/>
    <w:rsid w:val="71103167"/>
    <w:rsid w:val="712E56F7"/>
    <w:rsid w:val="7156627F"/>
    <w:rsid w:val="71642194"/>
    <w:rsid w:val="71691ABB"/>
    <w:rsid w:val="7183799B"/>
    <w:rsid w:val="71984F13"/>
    <w:rsid w:val="71AE1AEA"/>
    <w:rsid w:val="71C852BA"/>
    <w:rsid w:val="71CF3B6C"/>
    <w:rsid w:val="71F80F33"/>
    <w:rsid w:val="722111CB"/>
    <w:rsid w:val="722922C6"/>
    <w:rsid w:val="722D46B7"/>
    <w:rsid w:val="722E6D97"/>
    <w:rsid w:val="724D6E70"/>
    <w:rsid w:val="72632F3A"/>
    <w:rsid w:val="728121EC"/>
    <w:rsid w:val="72A56BA8"/>
    <w:rsid w:val="72C05852"/>
    <w:rsid w:val="72CC4DE0"/>
    <w:rsid w:val="72F759AB"/>
    <w:rsid w:val="730701C4"/>
    <w:rsid w:val="732D4B5D"/>
    <w:rsid w:val="73393C88"/>
    <w:rsid w:val="734E3933"/>
    <w:rsid w:val="7362513F"/>
    <w:rsid w:val="7372081D"/>
    <w:rsid w:val="73740A39"/>
    <w:rsid w:val="73771D49"/>
    <w:rsid w:val="739049CF"/>
    <w:rsid w:val="73A1354E"/>
    <w:rsid w:val="73AE2AAC"/>
    <w:rsid w:val="73BA5FD6"/>
    <w:rsid w:val="73CD0FA0"/>
    <w:rsid w:val="73E544F1"/>
    <w:rsid w:val="74466A1C"/>
    <w:rsid w:val="74A11E7D"/>
    <w:rsid w:val="74AC62F7"/>
    <w:rsid w:val="74B25745"/>
    <w:rsid w:val="74B46F86"/>
    <w:rsid w:val="74F97739"/>
    <w:rsid w:val="75590B0A"/>
    <w:rsid w:val="756171BE"/>
    <w:rsid w:val="7582279F"/>
    <w:rsid w:val="75843EB5"/>
    <w:rsid w:val="759F4605"/>
    <w:rsid w:val="75BB2B52"/>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0A4A7F"/>
    <w:rsid w:val="781564B8"/>
    <w:rsid w:val="78224ACF"/>
    <w:rsid w:val="7869760B"/>
    <w:rsid w:val="788A2AAC"/>
    <w:rsid w:val="78936F61"/>
    <w:rsid w:val="789E2683"/>
    <w:rsid w:val="78A40158"/>
    <w:rsid w:val="78CD6DCC"/>
    <w:rsid w:val="78D07CAF"/>
    <w:rsid w:val="78DE12D7"/>
    <w:rsid w:val="78FC2038"/>
    <w:rsid w:val="78FC33D7"/>
    <w:rsid w:val="79183D69"/>
    <w:rsid w:val="79210683"/>
    <w:rsid w:val="79951709"/>
    <w:rsid w:val="799C3465"/>
    <w:rsid w:val="79B14EC4"/>
    <w:rsid w:val="79BE1ECC"/>
    <w:rsid w:val="79C066C2"/>
    <w:rsid w:val="79F31BBA"/>
    <w:rsid w:val="7A024BBA"/>
    <w:rsid w:val="7A2A6B4A"/>
    <w:rsid w:val="7A3D7A65"/>
    <w:rsid w:val="7A66105B"/>
    <w:rsid w:val="7A681070"/>
    <w:rsid w:val="7A71506F"/>
    <w:rsid w:val="7A7E1B39"/>
    <w:rsid w:val="7A860C7C"/>
    <w:rsid w:val="7AB16925"/>
    <w:rsid w:val="7AB32C12"/>
    <w:rsid w:val="7AB879FE"/>
    <w:rsid w:val="7AC96BBD"/>
    <w:rsid w:val="7B250F87"/>
    <w:rsid w:val="7B3264DD"/>
    <w:rsid w:val="7B7374F2"/>
    <w:rsid w:val="7B81188A"/>
    <w:rsid w:val="7B9C495B"/>
    <w:rsid w:val="7B9E2902"/>
    <w:rsid w:val="7BBA14B3"/>
    <w:rsid w:val="7BC854E2"/>
    <w:rsid w:val="7BED3460"/>
    <w:rsid w:val="7C0562EC"/>
    <w:rsid w:val="7C27683F"/>
    <w:rsid w:val="7C502792"/>
    <w:rsid w:val="7C742F3E"/>
    <w:rsid w:val="7C7C3FC9"/>
    <w:rsid w:val="7C8B6DF3"/>
    <w:rsid w:val="7C92265B"/>
    <w:rsid w:val="7CB14B4D"/>
    <w:rsid w:val="7CB479A6"/>
    <w:rsid w:val="7CE234E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8"/>
    <w:qFormat/>
    <w:uiPriority w:val="9"/>
    <w:pPr>
      <w:keepNext/>
      <w:keepLines/>
      <w:jc w:val="center"/>
      <w:outlineLvl w:val="0"/>
    </w:pPr>
    <w:rPr>
      <w:b/>
      <w:bCs/>
      <w:kern w:val="44"/>
      <w:sz w:val="36"/>
      <w:szCs w:val="44"/>
    </w:rPr>
  </w:style>
  <w:style w:type="paragraph" w:styleId="5">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3"/>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1"/>
    <w:qFormat/>
    <w:uiPriority w:val="0"/>
    <w:pPr>
      <w:ind w:firstLine="420"/>
    </w:pPr>
    <w:rPr>
      <w:rFonts w:ascii="Times New Roman" w:hAnsi="Times New Roman"/>
      <w:kern w:val="0"/>
      <w:sz w:val="20"/>
      <w:szCs w:val="20"/>
    </w:rPr>
  </w:style>
  <w:style w:type="paragraph" w:styleId="11">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1"/>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2"/>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0"/>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5"/>
    <w:next w:val="15"/>
    <w:link w:val="53"/>
    <w:qFormat/>
    <w:uiPriority w:val="0"/>
    <w:rPr>
      <w:b/>
    </w:rPr>
  </w:style>
  <w:style w:type="paragraph" w:styleId="37">
    <w:name w:val="Body Text First Indent 2"/>
    <w:basedOn w:val="17"/>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3"/>
    <w:qFormat/>
    <w:uiPriority w:val="9"/>
    <w:rPr>
      <w:rFonts w:ascii="Calibri" w:hAnsi="Calibri" w:eastAsia="宋体" w:cs="Times New Roman"/>
      <w:b/>
      <w:bCs/>
      <w:kern w:val="44"/>
      <w:sz w:val="36"/>
      <w:szCs w:val="44"/>
    </w:rPr>
  </w:style>
  <w:style w:type="character" w:customStyle="1" w:styleId="49">
    <w:name w:val="标题 2 Char"/>
    <w:basedOn w:val="40"/>
    <w:link w:val="5"/>
    <w:qFormat/>
    <w:uiPriority w:val="9"/>
    <w:rPr>
      <w:rFonts w:ascii="Arial" w:hAnsi="Arial" w:eastAsia="宋体" w:cs="Times New Roman"/>
      <w:b/>
      <w:bCs/>
      <w:sz w:val="24"/>
      <w:szCs w:val="32"/>
    </w:rPr>
  </w:style>
  <w:style w:type="character" w:customStyle="1" w:styleId="50">
    <w:name w:val="标题 3 Char"/>
    <w:basedOn w:val="40"/>
    <w:link w:val="6"/>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5"/>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3"/>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2"/>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7"/>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11"/>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2"/>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5"/>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6"/>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3"/>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character" w:customStyle="1" w:styleId="142">
    <w:name w:val="font11"/>
    <w:basedOn w:val="40"/>
    <w:qFormat/>
    <w:uiPriority w:val="0"/>
    <w:rPr>
      <w:rFonts w:hint="eastAsia" w:ascii="宋体" w:hAnsi="宋体" w:eastAsia="宋体" w:cs="宋体"/>
      <w:color w:val="000000"/>
      <w:sz w:val="24"/>
      <w:szCs w:val="24"/>
      <w:u w:val="none"/>
    </w:rPr>
  </w:style>
  <w:style w:type="character" w:customStyle="1" w:styleId="143">
    <w:name w:val="font21"/>
    <w:basedOn w:val="40"/>
    <w:qFormat/>
    <w:uiPriority w:val="0"/>
    <w:rPr>
      <w:rFonts w:hint="eastAsia" w:ascii="等线" w:hAnsi="等线" w:eastAsia="等线" w:cs="等线"/>
      <w:color w:val="000000"/>
      <w:sz w:val="24"/>
      <w:szCs w:val="24"/>
      <w:u w:val="none"/>
    </w:rPr>
  </w:style>
  <w:style w:type="paragraph" w:customStyle="1" w:styleId="144">
    <w:name w:val="_Style 2"/>
    <w:basedOn w:val="1"/>
    <w:qFormat/>
    <w:uiPriority w:val="0"/>
    <w:pPr>
      <w:ind w:firstLine="420" w:firstLineChars="200"/>
    </w:pPr>
    <w:rPr>
      <w:rFonts w:ascii="Times New Roman" w:hAnsi="Times New Roman" w:eastAsia="宋体" w:cs="Times New Roman"/>
      <w:szCs w:val="24"/>
    </w:rPr>
  </w:style>
  <w:style w:type="character" w:customStyle="1" w:styleId="145">
    <w:name w:val="font41"/>
    <w:basedOn w:val="40"/>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73</Pages>
  <Words>32998</Words>
  <Characters>34836</Characters>
  <Lines>335</Lines>
  <Paragraphs>94</Paragraphs>
  <TotalTime>19</TotalTime>
  <ScaleCrop>false</ScaleCrop>
  <LinksUpToDate>false</LinksUpToDate>
  <CharactersWithSpaces>41264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hsc</cp:lastModifiedBy>
  <cp:lastPrinted>2024-01-10T05:02:00Z</cp:lastPrinted>
  <dcterms:modified xsi:type="dcterms:W3CDTF">2024-10-23T11:44:08Z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