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0"/>
      <w:bookmarkStart w:id="1" w:name="OLE_LINK31"/>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jc w:val="center"/>
        <w:rPr>
          <w:rFonts w:hint="eastAsia" w:ascii="Calibri" w:hAnsi="Calibri" w:eastAsia="宋体" w:cs="Times New Roman"/>
          <w:color w:val="000000"/>
          <w:sz w:val="28"/>
          <w:szCs w:val="28"/>
          <w:lang w:val="en-US" w:eastAsia="zh-CN"/>
        </w:rPr>
      </w:pPr>
      <w:r>
        <w:rPr>
          <w:rFonts w:hint="eastAsia" w:ascii="Calibri" w:hAnsi="宋体" w:eastAsia="宋体" w:cs="Times New Roman"/>
          <w:b/>
          <w:bCs/>
          <w:color w:val="000000"/>
          <w:spacing w:val="-8"/>
          <w:sz w:val="48"/>
          <w:szCs w:val="44"/>
          <w:lang w:val="en-US" w:eastAsia="zh-CN"/>
        </w:rPr>
        <w:t>电泳下线废气排放达标提升项目</w:t>
      </w:r>
      <w:r>
        <w:rPr>
          <w:rFonts w:hint="eastAsia" w:ascii="Calibri" w:hAnsi="Calibri" w:eastAsia="宋体" w:cs="Times New Roman"/>
          <w:color w:val="000000"/>
          <w:sz w:val="28"/>
          <w:szCs w:val="28"/>
          <w:lang w:val="en-US" w:eastAsia="zh-CN"/>
        </w:rPr>
        <w:t xml:space="preserve">                                     </w:t>
      </w:r>
    </w:p>
    <w:p>
      <w:pPr>
        <w:pStyle w:val="16"/>
        <w:rPr>
          <w:rFonts w:hint="eastAsia"/>
          <w:lang w:eastAsia="zh-CN"/>
        </w:rPr>
      </w:pPr>
    </w:p>
    <w:p>
      <w:pPr>
        <w:pStyle w:val="16"/>
        <w:rPr>
          <w:rFonts w:hint="eastAsia"/>
          <w:lang w:eastAsia="zh-CN"/>
        </w:rPr>
      </w:pPr>
    </w:p>
    <w:p>
      <w:pPr>
        <w:pStyle w:val="16"/>
        <w:rPr>
          <w:rFonts w:hint="eastAsia"/>
          <w:lang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6"/>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12</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pPr>
            <w:pStyle w:val="16"/>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6"/>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9"/>
                <w:rFonts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电泳下线废气排放达标提升项目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val="en-US" w:eastAsia="zh-CN"/>
              </w:rPr>
              <w:t>CGZX2024110117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电泳下线废气排放达标提升项目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动力</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r>
              <w:rPr>
                <w:rFonts w:hint="eastAsia" w:ascii="宋体" w:hAnsi="宋体" w:eastAsia="宋体" w:cs="宋体"/>
                <w:sz w:val="24"/>
                <w:szCs w:val="24"/>
                <w:highlight w:val="none"/>
              </w:rPr>
              <w:t xml:space="preserve"> </w:t>
            </w:r>
          </w:p>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商务联系人：</w:t>
            </w:r>
            <w:r>
              <w:rPr>
                <w:rFonts w:hint="eastAsia" w:ascii="宋体" w:hAnsi="宋体" w:eastAsia="宋体" w:cs="宋体"/>
                <w:b/>
                <w:snapToGrid w:val="0"/>
                <w:kern w:val="0"/>
                <w:sz w:val="24"/>
                <w:szCs w:val="24"/>
                <w:lang w:val="en-US" w:eastAsia="zh-CN"/>
              </w:rPr>
              <w:t>黄工</w:t>
            </w:r>
          </w:p>
          <w:p>
            <w:pPr>
              <w:ind w:firstLine="482" w:firstLineChars="200"/>
              <w:rPr>
                <w:rFonts w:hint="default"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电话：</w:t>
            </w:r>
            <w:r>
              <w:rPr>
                <w:rFonts w:hint="eastAsia" w:ascii="宋体" w:hAnsi="宋体" w:eastAsia="宋体" w:cs="宋体"/>
                <w:bCs/>
                <w:snapToGrid w:val="0"/>
                <w:kern w:val="0"/>
                <w:sz w:val="24"/>
                <w:szCs w:val="24"/>
                <w:lang w:val="en-US" w:eastAsia="zh-CN"/>
              </w:rPr>
              <w:t>13475952683</w:t>
            </w:r>
          </w:p>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邮箱：</w:t>
            </w:r>
            <w:r>
              <w:rPr>
                <w:rFonts w:hint="eastAsia"/>
              </w:rPr>
              <w:t>huangsaichang@sinotruk.com</w:t>
            </w:r>
          </w:p>
          <w:p>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技术</w:t>
            </w:r>
            <w:r>
              <w:rPr>
                <w:rFonts w:hint="eastAsia" w:ascii="宋体" w:hAnsi="宋体" w:eastAsia="宋体" w:cs="宋体"/>
                <w:b/>
                <w:snapToGrid w:val="0"/>
                <w:kern w:val="0"/>
                <w:sz w:val="24"/>
                <w:szCs w:val="24"/>
                <w:highlight w:val="yellow"/>
              </w:rPr>
              <w:t>联系人：</w:t>
            </w:r>
            <w:r>
              <w:rPr>
                <w:rFonts w:hint="eastAsia" w:ascii="宋体" w:hAnsi="宋体" w:eastAsia="宋体" w:cs="宋体"/>
                <w:bCs/>
                <w:snapToGrid w:val="0"/>
                <w:kern w:val="0"/>
                <w:sz w:val="24"/>
                <w:szCs w:val="24"/>
                <w:highlight w:val="yellow"/>
                <w:lang w:val="en-US" w:eastAsia="zh-CN"/>
              </w:rPr>
              <w:t>公衍凯</w:t>
            </w:r>
          </w:p>
          <w:p>
            <w:pPr>
              <w:pStyle w:val="16"/>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rPr>
              <w:t>电话：</w:t>
            </w:r>
            <w:r>
              <w:rPr>
                <w:rFonts w:hint="eastAsia" w:ascii="宋体" w:hAnsi="宋体" w:eastAsia="宋体" w:cs="宋体"/>
                <w:bCs/>
                <w:snapToGrid w:val="0"/>
                <w:kern w:val="0"/>
                <w:sz w:val="24"/>
                <w:szCs w:val="24"/>
                <w:highlight w:val="yellow"/>
                <w:lang w:val="en-US" w:eastAsia="zh-CN"/>
              </w:rPr>
              <w:t>18615686769</w:t>
            </w:r>
          </w:p>
          <w:p>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：gongyk@sinotruk.com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pPr>
              <w:pStyle w:val="16"/>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35</w:t>
            </w:r>
            <w:r>
              <w:rPr>
                <w:rFonts w:hint="eastAsia" w:hAnsi="宋体" w:eastAsia="宋体" w:cs="Times New Roman"/>
                <w:color w:val="000000"/>
                <w:sz w:val="24"/>
                <w:szCs w:val="24"/>
                <w:highlight w:val="none"/>
                <w:lang w:val="en-US" w:eastAsia="zh-CN"/>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100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6"/>
              <w:ind w:firstLine="480" w:firstLineChars="200"/>
              <w:rPr>
                <w:rFonts w:hint="eastAsia" w:hAnsi="宋体" w:eastAsia="宋体" w:cs="宋体"/>
                <w:color w:val="000000"/>
                <w:kern w:val="0"/>
                <w:sz w:val="24"/>
                <w:szCs w:val="24"/>
              </w:rPr>
            </w:pPr>
            <w:r>
              <w:rPr>
                <w:rFonts w:hint="eastAsia" w:hAnsi="宋体" w:eastAsia="宋体" w:cs="宋体"/>
                <w:color w:val="000000"/>
                <w:kern w:val="0"/>
                <w:sz w:val="24"/>
                <w:szCs w:val="24"/>
                <w:lang w:val="en-US" w:eastAsia="zh-CN"/>
              </w:rPr>
              <w:t>6.</w:t>
            </w:r>
            <w:r>
              <w:rPr>
                <w:rFonts w:hint="eastAsia" w:hAnsi="宋体" w:eastAsia="宋体" w:cs="宋体"/>
                <w:color w:val="000000"/>
                <w:kern w:val="0"/>
                <w:sz w:val="24"/>
                <w:szCs w:val="24"/>
              </w:rPr>
              <w:t>拟投标人应提供2020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pPr>
              <w:pStyle w:val="16"/>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pPr>
              <w:pStyle w:val="16"/>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信用报告</w:t>
            </w:r>
            <w:r>
              <w:rPr>
                <w:rFonts w:hint="eastAsia" w:ascii="宋体" w:hAnsi="宋体" w:eastAsia="宋体" w:cs="宋体"/>
                <w:color w:val="000000"/>
                <w:sz w:val="24"/>
                <w:szCs w:val="24"/>
                <w:highlight w:val="none"/>
                <w:lang w:val="en-US" w:eastAsia="zh-CN"/>
              </w:rPr>
              <w:t>）未显示异常；</w:t>
            </w:r>
          </w:p>
          <w:p>
            <w:pPr>
              <w:pStyle w:val="16"/>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w:t>
            </w:r>
            <w:r>
              <w:rPr>
                <w:rFonts w:hint="eastAsia" w:hAnsi="宋体" w:eastAsia="宋体" w:cs="宋体"/>
                <w:color w:val="000000"/>
                <w:sz w:val="24"/>
                <w:szCs w:val="24"/>
                <w:highlight w:val="none"/>
                <w:lang w:val="en-US" w:eastAsia="zh-CN"/>
              </w:rPr>
              <w:t>本项目</w:t>
            </w:r>
            <w:r>
              <w:rPr>
                <w:rFonts w:hint="eastAsia" w:ascii="宋体" w:hAnsi="宋体" w:eastAsia="宋体" w:cs="宋体"/>
                <w:color w:val="000000"/>
                <w:sz w:val="24"/>
                <w:szCs w:val="24"/>
                <w:highlight w:val="none"/>
              </w:rPr>
              <w:t>生产厂家正式</w:t>
            </w:r>
            <w:r>
              <w:rPr>
                <w:rFonts w:hint="eastAsia" w:hAnsi="宋体" w:eastAsia="宋体" w:cs="宋体"/>
                <w:color w:val="000000"/>
                <w:sz w:val="24"/>
                <w:szCs w:val="24"/>
                <w:highlight w:val="none"/>
                <w:lang w:val="en-US" w:eastAsia="zh-CN"/>
              </w:rPr>
              <w:t>唯一</w:t>
            </w:r>
            <w:r>
              <w:rPr>
                <w:rFonts w:hint="eastAsia" w:ascii="宋体" w:hAnsi="宋体" w:eastAsia="宋体" w:cs="宋体"/>
                <w:color w:val="000000"/>
                <w:sz w:val="24"/>
                <w:szCs w:val="24"/>
                <w:highlight w:val="none"/>
              </w:rPr>
              <w:t>授权，提供授权书原件，保证提供原厂售后服务并提供原厂售后服务承诺书原件</w:t>
            </w:r>
            <w:r>
              <w:rPr>
                <w:rFonts w:hint="eastAsia" w:hAnsi="宋体" w:eastAsia="宋体" w:cs="宋体"/>
                <w:color w:val="000000"/>
                <w:sz w:val="24"/>
                <w:szCs w:val="24"/>
                <w:highlight w:val="none"/>
                <w:lang w:eastAsia="zh-CN"/>
              </w:rPr>
              <w:t>；</w:t>
            </w:r>
          </w:p>
          <w:p>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pPr>
              <w:pStyle w:val="16"/>
              <w:ind w:firstLine="482" w:firstLineChars="200"/>
              <w:rPr>
                <w:rFonts w:hint="eastAsia" w:hAnsi="宋体" w:eastAsia="宋体" w:cs="宋体"/>
                <w:color w:val="000000"/>
                <w:sz w:val="24"/>
                <w:szCs w:val="24"/>
                <w:highlight w:val="none"/>
                <w:lang w:val="en-US" w:eastAsia="zh-CN"/>
              </w:rPr>
            </w:pPr>
            <w:r>
              <w:rPr>
                <w:rFonts w:hint="eastAsia" w:hAnsi="宋体" w:eastAsia="宋体" w:cs="宋体"/>
                <w:b/>
                <w:bCs/>
                <w:sz w:val="24"/>
                <w:szCs w:val="24"/>
                <w:lang w:val="en-US" w:eastAsia="zh-CN"/>
              </w:rPr>
              <w:t>1-11</w:t>
            </w:r>
            <w:r>
              <w:rPr>
                <w:rFonts w:hint="default" w:hAnsi="宋体" w:eastAsia="宋体" w:cs="宋体"/>
                <w:b/>
                <w:bCs/>
                <w:sz w:val="24"/>
                <w:szCs w:val="24"/>
                <w:lang w:val="en-US" w:eastAsia="zh-CN"/>
              </w:rPr>
              <w:t>项文件必须提供，未提供者直接视为资质、资格审查未通过，无法继续参与投标！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4</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12</w:t>
            </w:r>
            <w:r>
              <w:rPr>
                <w:rFonts w:hint="eastAsia" w:ascii="宋体" w:hAnsi="宋体" w:eastAsia="宋体" w:cs="宋体"/>
                <w:bCs/>
                <w:sz w:val="24"/>
                <w:szCs w:val="24"/>
                <w:highlight w:val="yellow"/>
              </w:rPr>
              <w:t>日17:00前；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12</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13</w:t>
            </w:r>
            <w:r>
              <w:rPr>
                <w:rFonts w:hint="eastAsia" w:ascii="宋体" w:hAnsi="宋体" w:eastAsia="宋体" w:cs="宋体"/>
                <w:sz w:val="24"/>
                <w:szCs w:val="24"/>
                <w:highlight w:val="yellow"/>
              </w:rPr>
              <w:t>日1</w:t>
            </w: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4</w:t>
            </w:r>
            <w:r>
              <w:rPr>
                <w:rFonts w:hint="eastAsia" w:eastAsia="宋体" w:cs="宋体"/>
                <w:highlight w:val="yellow"/>
              </w:rPr>
              <w:t>年</w:t>
            </w:r>
            <w:r>
              <w:rPr>
                <w:rFonts w:hint="eastAsia" w:eastAsia="宋体" w:cs="宋体"/>
                <w:highlight w:val="yellow"/>
                <w:lang w:val="en-US" w:eastAsia="zh-CN"/>
              </w:rPr>
              <w:t>12</w:t>
            </w:r>
            <w:r>
              <w:rPr>
                <w:rFonts w:hint="eastAsia" w:eastAsia="宋体" w:cs="宋体"/>
                <w:highlight w:val="yellow"/>
              </w:rPr>
              <w:t>月</w:t>
            </w:r>
            <w:r>
              <w:rPr>
                <w:rFonts w:hint="eastAsia" w:eastAsia="宋体" w:cs="宋体"/>
                <w:highlight w:val="yellow"/>
                <w:lang w:val="en-US" w:eastAsia="zh-CN"/>
              </w:rPr>
              <w:t>16</w:t>
            </w:r>
            <w:r>
              <w:rPr>
                <w:rFonts w:hint="eastAsia" w:eastAsia="宋体" w:cs="宋体"/>
                <w:highlight w:val="yellow"/>
              </w:rPr>
              <w:t>日</w:t>
            </w:r>
            <w:r>
              <w:rPr>
                <w:rFonts w:hint="eastAsia" w:eastAsia="宋体" w:cs="宋体"/>
                <w:highlight w:val="yellow"/>
                <w:lang w:val="en-US" w:eastAsia="zh-CN"/>
              </w:rPr>
              <w:t>12时00分00秒</w:t>
            </w:r>
          </w:p>
          <w:p>
            <w:pPr>
              <w:pStyle w:val="112"/>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16"/>
              <w:ind w:firstLine="482" w:firstLineChars="200"/>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pPr>
              <w:ind w:firstLine="482"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宋体" w:hAnsi="宋体" w:eastAsia="宋体" w:cs="宋体"/>
                <w:bCs/>
                <w:snapToGrid w:val="0"/>
                <w:kern w:val="0"/>
                <w:sz w:val="24"/>
                <w:szCs w:val="24"/>
                <w:highlight w:val="yellow"/>
                <w:lang w:val="en-US" w:eastAsia="zh-CN"/>
              </w:rPr>
              <w:t>黄赛昌</w:t>
            </w:r>
            <w:r>
              <w:rPr>
                <w:rFonts w:hint="eastAsia" w:ascii="Times New Roman" w:hAnsi="Times New Roman" w:eastAsia="宋体" w:cs="Times New Roman"/>
                <w:color w:val="000000"/>
                <w:sz w:val="24"/>
                <w:szCs w:val="24"/>
                <w:highlight w:val="yellow"/>
                <w:lang w:val="en-US" w:eastAsia="zh-CN"/>
              </w:rPr>
              <w:t>/</w:t>
            </w:r>
            <w:r>
              <w:rPr>
                <w:rFonts w:hint="eastAsia" w:ascii="宋体" w:hAnsi="宋体" w:eastAsia="宋体" w:cs="宋体"/>
                <w:bCs/>
                <w:snapToGrid w:val="0"/>
                <w:kern w:val="0"/>
                <w:sz w:val="24"/>
                <w:szCs w:val="24"/>
                <w:highlight w:val="yellow"/>
                <w:lang w:val="en-US" w:eastAsia="zh-CN"/>
              </w:rPr>
              <w:t>13475952683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6"/>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12</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19</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16"/>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5000.00</w:t>
            </w:r>
            <w:r>
              <w:rPr>
                <w:rFonts w:hint="eastAsia" w:ascii="宋体" w:hAnsi="宋体" w:eastAsia="宋体" w:cs="宋体"/>
                <w:sz w:val="24"/>
                <w:szCs w:val="24"/>
                <w:highlight w:val="yellow"/>
              </w:rPr>
              <w:t>元</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16</w:t>
            </w:r>
            <w:r>
              <w:rPr>
                <w:rFonts w:hint="eastAsia" w:ascii="宋体" w:hAnsi="宋体" w:cs="宋体"/>
                <w:sz w:val="24"/>
                <w:szCs w:val="24"/>
                <w:highlight w:val="yellow"/>
              </w:rPr>
              <w:t>日1</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12</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19</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w:t>
            </w:r>
            <w:r>
              <w:rPr>
                <w:rFonts w:hint="eastAsia" w:ascii="宋体" w:hAnsi="宋体" w:eastAsia="宋体" w:cs="宋体"/>
                <w:b/>
                <w:bCs/>
                <w:sz w:val="24"/>
                <w:szCs w:val="24"/>
                <w:highlight w:val="magenta"/>
                <w:lang w:val="en-US" w:eastAsia="zh-CN"/>
              </w:rPr>
              <w:t>技术标入围后，原则上选取</w:t>
            </w:r>
            <w:r>
              <w:rPr>
                <w:rFonts w:hint="eastAsia" w:ascii="宋体" w:hAnsi="宋体" w:eastAsia="宋体" w:cs="宋体"/>
                <w:b/>
                <w:bCs/>
                <w:color w:val="auto"/>
                <w:sz w:val="24"/>
                <w:szCs w:val="24"/>
                <w:highlight w:val="magenta"/>
                <w:lang w:val="en-US" w:eastAsia="zh-CN"/>
              </w:rPr>
              <w:t>综合评分最高者</w:t>
            </w:r>
            <w:r>
              <w:rPr>
                <w:rFonts w:hint="eastAsia" w:ascii="宋体" w:hAnsi="宋体" w:eastAsia="宋体" w:cs="宋体"/>
                <w:b/>
                <w:color w:val="auto"/>
                <w:sz w:val="24"/>
                <w:szCs w:val="24"/>
                <w:highlight w:val="magenta"/>
                <w:lang w:val="en-US" w:eastAsia="zh-CN"/>
              </w:rPr>
              <w:t>中标</w:t>
            </w:r>
            <w:r>
              <w:rPr>
                <w:rFonts w:hint="eastAsia" w:ascii="宋体" w:hAnsi="宋体" w:eastAsia="宋体" w:cs="宋体"/>
                <w:sz w:val="24"/>
                <w:szCs w:val="24"/>
                <w:highlight w:val="magenta"/>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ind w:firstLine="480" w:firstLineChars="200"/>
              <w:rPr>
                <w:rFonts w:ascii="宋体" w:hAnsi="宋体"/>
                <w:sz w:val="24"/>
              </w:rPr>
            </w:pPr>
            <w:r>
              <w:rPr>
                <w:rFonts w:ascii="宋体" w:hAnsi="宋体"/>
                <w:sz w:val="24"/>
              </w:rPr>
              <w:t>1.合同生效后180个日历日之内交货至供货地点。</w:t>
            </w:r>
          </w:p>
          <w:p>
            <w:pPr>
              <w:ind w:firstLine="480" w:firstLineChars="200"/>
              <w:rPr>
                <w:rFonts w:ascii="宋体" w:hAnsi="宋体"/>
                <w:sz w:val="24"/>
              </w:rPr>
            </w:pPr>
            <w:r>
              <w:rPr>
                <w:rFonts w:ascii="宋体" w:hAnsi="宋体"/>
                <w:sz w:val="24"/>
              </w:rPr>
              <w:t>2.接续60个日历日之内安装调试完毕。</w:t>
            </w:r>
          </w:p>
          <w:p>
            <w:pPr>
              <w:pStyle w:val="16"/>
              <w:ind w:firstLine="480" w:firstLineChars="200"/>
              <w:rPr>
                <w:rFonts w:hint="eastAsia" w:hAnsi="宋体" w:eastAsia="宋体" w:cs="宋体"/>
                <w:color w:val="000000"/>
                <w:sz w:val="24"/>
                <w:szCs w:val="24"/>
              </w:rPr>
            </w:pPr>
            <w:r>
              <w:rPr>
                <w:rFonts w:ascii="宋体" w:hAnsi="宋体"/>
                <w:sz w:val="24"/>
              </w:rPr>
              <w:t>3.接续120个日历日之内完成终验收。</w:t>
            </w:r>
          </w:p>
          <w:p>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安装调试时间或终验收时间超过规定时间的，投标人应当随标书提供详细的工期计划。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6"/>
              <w:ind w:firstLine="482" w:firstLineChars="200"/>
              <w:rPr>
                <w:rFonts w:hint="default" w:hAnsi="宋体" w:eastAsia="宋体" w:cs="宋体"/>
                <w:color w:val="000000"/>
                <w:sz w:val="24"/>
                <w:szCs w:val="24"/>
                <w:lang w:val="en-US"/>
              </w:rPr>
            </w:pPr>
            <w:r>
              <w:rPr>
                <w:rFonts w:hint="eastAsia" w:hAnsi="宋体" w:eastAsia="宋体" w:cs="宋体"/>
                <w:b/>
                <w:bCs/>
                <w:color w:val="000000"/>
                <w:sz w:val="24"/>
                <w:szCs w:val="24"/>
              </w:rPr>
              <w:t>交货地点：</w:t>
            </w:r>
            <w:r>
              <w:rPr>
                <w:rFonts w:hint="eastAsia" w:hAnsi="宋体" w:eastAsia="宋体" w:cs="宋体"/>
                <w:b/>
                <w:bCs/>
                <w:color w:val="000000"/>
                <w:sz w:val="24"/>
                <w:szCs w:val="24"/>
                <w:lang w:val="en-US" w:eastAsia="zh-CN"/>
              </w:rPr>
              <w:t>中国重汽</w:t>
            </w:r>
            <w:r>
              <w:rPr>
                <w:rFonts w:hint="eastAsia" w:hAnsi="宋体" w:eastAsia="宋体" w:cs="宋体"/>
                <w:sz w:val="24"/>
                <w:szCs w:val="24"/>
                <w:highlight w:val="yellow"/>
                <w:u w:val="single"/>
                <w:lang w:val="en-US" w:eastAsia="zh-CN"/>
              </w:rPr>
              <w:t>济南轻卡制造公司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34"/>
              <w:spacing w:after="0" w:line="240" w:lineRule="auto"/>
              <w:ind w:firstLine="482"/>
              <w:rPr>
                <w:rFonts w:ascii="宋体" w:hAnsi="宋体" w:cs="宋体"/>
                <w:sz w:val="24"/>
                <w:szCs w:val="24"/>
              </w:rPr>
            </w:pPr>
            <w:r>
              <w:rPr>
                <w:rFonts w:hint="eastAsia" w:ascii="宋体" w:hAnsi="宋体" w:cs="宋体"/>
                <w:b/>
                <w:bCs/>
                <w:sz w:val="24"/>
                <w:szCs w:val="24"/>
                <w:u w:val="single"/>
              </w:rPr>
              <w:t>付款方式：半年期商业汇票（包括银行承兑汇票和商业承兑汇票）</w:t>
            </w:r>
          </w:p>
          <w:p>
            <w:pPr>
              <w:pStyle w:val="34"/>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合同生效设备全部到齐无质量问题通过买方初步验收并到货后，卖方开具金额为该合同设备价格</w:t>
            </w:r>
            <w:r>
              <w:rPr>
                <w:rFonts w:hint="eastAsia" w:ascii="宋体" w:hAnsi="宋体" w:cs="宋体"/>
                <w:sz w:val="24"/>
                <w:szCs w:val="24"/>
                <w:lang w:val="en-US" w:eastAsia="zh-CN"/>
              </w:rPr>
              <w:t>3</w:t>
            </w:r>
            <w:r>
              <w:rPr>
                <w:rFonts w:hint="eastAsia" w:ascii="宋体" w:hAnsi="宋体" w:cs="宋体"/>
                <w:sz w:val="24"/>
                <w:szCs w:val="24"/>
              </w:rPr>
              <w:t>0%的增值税专用发票带</w:t>
            </w:r>
            <w:r>
              <w:rPr>
                <w:rFonts w:hint="eastAsia" w:ascii="宋体" w:hAnsi="宋体" w:cs="宋体"/>
                <w:sz w:val="24"/>
                <w:szCs w:val="24"/>
                <w:lang w:val="en-US" w:eastAsia="zh-CN"/>
              </w:rPr>
              <w:t>3</w:t>
            </w:r>
            <w:r>
              <w:rPr>
                <w:rFonts w:hint="eastAsia" w:ascii="宋体" w:hAnsi="宋体" w:cs="宋体"/>
                <w:sz w:val="24"/>
                <w:szCs w:val="24"/>
              </w:rPr>
              <w:t>0%的收据（含复印件二份），经买方依照财务制度审核无误后支付合同价款的</w:t>
            </w:r>
            <w:r>
              <w:rPr>
                <w:rFonts w:hint="eastAsia" w:ascii="宋体" w:hAnsi="宋体" w:cs="宋体"/>
                <w:sz w:val="24"/>
                <w:szCs w:val="24"/>
                <w:lang w:val="en-US" w:eastAsia="zh-CN"/>
              </w:rPr>
              <w:t>3</w:t>
            </w:r>
            <w:r>
              <w:rPr>
                <w:rFonts w:hint="eastAsia" w:ascii="宋体" w:hAnsi="宋体" w:cs="宋体"/>
                <w:sz w:val="24"/>
                <w:szCs w:val="24"/>
              </w:rPr>
              <w:t>0%。</w:t>
            </w:r>
          </w:p>
          <w:p>
            <w:pPr>
              <w:pStyle w:val="34"/>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设备全部到齐，经现场安装、调试、验收合格交付使用后，卖方提交金额为合同价款</w:t>
            </w:r>
            <w:r>
              <w:rPr>
                <w:rFonts w:hint="eastAsia" w:ascii="宋体" w:hAnsi="宋体" w:cs="宋体"/>
                <w:sz w:val="24"/>
                <w:szCs w:val="24"/>
                <w:lang w:val="en-US" w:eastAsia="zh-CN"/>
              </w:rPr>
              <w:t>6</w:t>
            </w:r>
            <w:r>
              <w:rPr>
                <w:rFonts w:hint="eastAsia" w:ascii="宋体" w:hAnsi="宋体" w:cs="宋体"/>
                <w:sz w:val="24"/>
                <w:szCs w:val="24"/>
              </w:rPr>
              <w:t>0%的收据并附带下列单据，经买方依照财务制度审核无误后支付合同价款的</w:t>
            </w:r>
            <w:r>
              <w:rPr>
                <w:rFonts w:hint="eastAsia" w:ascii="宋体" w:hAnsi="宋体" w:cs="宋体"/>
                <w:sz w:val="24"/>
                <w:szCs w:val="24"/>
                <w:lang w:val="en-US" w:eastAsia="zh-CN"/>
              </w:rPr>
              <w:t>6</w:t>
            </w:r>
            <w:r>
              <w:rPr>
                <w:rFonts w:hint="eastAsia" w:ascii="宋体" w:hAnsi="宋体" w:cs="宋体"/>
                <w:sz w:val="24"/>
                <w:szCs w:val="24"/>
              </w:rPr>
              <w:t>0%。</w:t>
            </w:r>
          </w:p>
          <w:p>
            <w:pPr>
              <w:pStyle w:val="34"/>
              <w:spacing w:after="0" w:line="240" w:lineRule="auto"/>
              <w:ind w:left="0" w:leftChars="0" w:firstLine="480"/>
              <w:rPr>
                <w:rFonts w:ascii="宋体" w:hAnsi="宋体" w:cs="宋体"/>
                <w:sz w:val="24"/>
                <w:szCs w:val="24"/>
              </w:rPr>
            </w:pPr>
            <w:r>
              <w:rPr>
                <w:rFonts w:hint="eastAsia" w:ascii="宋体" w:hAnsi="宋体" w:cs="宋体"/>
                <w:sz w:val="24"/>
                <w:szCs w:val="24"/>
              </w:rPr>
              <w:t>a.金额为该合同设备价格</w:t>
            </w:r>
            <w:r>
              <w:rPr>
                <w:rFonts w:hint="eastAsia" w:ascii="宋体" w:hAnsi="宋体" w:cs="宋体"/>
                <w:sz w:val="24"/>
                <w:szCs w:val="24"/>
                <w:lang w:val="en-US" w:eastAsia="zh-CN"/>
              </w:rPr>
              <w:t>7</w:t>
            </w:r>
            <w:r>
              <w:rPr>
                <w:rFonts w:hint="eastAsia" w:ascii="宋体" w:hAnsi="宋体" w:cs="宋体"/>
                <w:sz w:val="24"/>
                <w:szCs w:val="24"/>
              </w:rPr>
              <w:t>0%的增值税专用发票（含复印件二份），具体开票信息详见发票信息表，根据表中所列分别开具增值税发票。</w:t>
            </w:r>
          </w:p>
          <w:p>
            <w:pPr>
              <w:pStyle w:val="34"/>
              <w:spacing w:after="0" w:line="240" w:lineRule="auto"/>
              <w:ind w:left="0" w:leftChars="0" w:firstLine="480"/>
              <w:rPr>
                <w:rFonts w:ascii="宋体" w:hAnsi="宋体" w:cs="宋体"/>
                <w:sz w:val="24"/>
                <w:szCs w:val="24"/>
              </w:rPr>
            </w:pPr>
            <w:r>
              <w:rPr>
                <w:rFonts w:hint="eastAsia" w:ascii="宋体" w:hAnsi="宋体" w:cs="宋体"/>
                <w:sz w:val="24"/>
                <w:szCs w:val="24"/>
              </w:rPr>
              <w:t>b.该套设备最终验收报告的原件及其复印件两份。</w:t>
            </w:r>
          </w:p>
          <w:p>
            <w:pPr>
              <w:pStyle w:val="34"/>
              <w:numPr>
                <w:ilvl w:val="0"/>
                <w:numId w:val="2"/>
              </w:numPr>
              <w:adjustRightInd w:val="0"/>
              <w:spacing w:after="0" w:line="240" w:lineRule="auto"/>
              <w:ind w:left="0" w:leftChars="0" w:firstLine="480"/>
              <w:rPr>
                <w:rFonts w:ascii="宋体" w:hAnsi="宋体" w:cs="宋体"/>
                <w:sz w:val="24"/>
                <w:szCs w:val="24"/>
              </w:rPr>
            </w:pPr>
            <w:r>
              <w:rPr>
                <w:rFonts w:hint="eastAsia" w:ascii="宋体" w:hAnsi="宋体" w:cs="宋体"/>
                <w:sz w:val="24"/>
                <w:szCs w:val="24"/>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pPr>
              <w:ind w:firstLine="480" w:firstLineChars="200"/>
              <w:rPr>
                <w:rFonts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增值税专用发票开票信息：</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名称：中国重汽集团济南动力有限公司</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地址：章丘市圣井唐王山路北潘王路西</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纳税人识别号：91370100787411873C</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开户行：中国银行章丘支行</w:t>
            </w:r>
          </w:p>
          <w:p>
            <w:pPr>
              <w:ind w:firstLine="480" w:firstLineChars="200"/>
              <w:rPr>
                <w:rFonts w:ascii="宋体" w:hAnsi="宋体" w:eastAsia="宋体" w:cs="宋体"/>
                <w:color w:val="000000"/>
                <w:sz w:val="24"/>
                <w:szCs w:val="24"/>
                <w:highlight w:val="cyan"/>
              </w:rPr>
            </w:pPr>
            <w:r>
              <w:rPr>
                <w:rFonts w:hint="eastAsia" w:ascii="宋体" w:hAnsi="宋体" w:eastAsia="宋体" w:cs="宋体"/>
                <w:color w:val="000000"/>
                <w:sz w:val="24"/>
                <w:szCs w:val="24"/>
                <w:highlight w:val="cyan"/>
              </w:rPr>
              <w:t>电话：0531-58062198</w:t>
            </w:r>
          </w:p>
          <w:p>
            <w:pPr>
              <w:ind w:firstLine="480" w:firstLineChars="200"/>
              <w:rPr>
                <w:rFonts w:ascii="宋体" w:hAnsi="宋体" w:cs="宋体"/>
                <w:bCs/>
                <w:sz w:val="24"/>
                <w:szCs w:val="24"/>
              </w:rPr>
            </w:pPr>
            <w:r>
              <w:rPr>
                <w:rFonts w:hint="eastAsia" w:ascii="宋体" w:hAnsi="宋体" w:eastAsia="宋体" w:cs="宋体"/>
                <w:color w:val="000000"/>
                <w:sz w:val="24"/>
                <w:szCs w:val="24"/>
                <w:highlight w:val="cyan"/>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none"/>
                <w:lang w:val="en-US" w:eastAsia="zh-CN"/>
              </w:rPr>
              <w:t>规定时间</w:t>
            </w:r>
            <w:r>
              <w:rPr>
                <w:rFonts w:hint="eastAsia" w:ascii="宋体" w:hAnsi="宋体" w:eastAsia="宋体" w:cs="宋体"/>
                <w:sz w:val="24"/>
                <w:szCs w:val="24"/>
                <w:highlight w:val="none"/>
              </w:rPr>
              <w:t>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pPr>
        <w:pStyle w:val="16"/>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cols w:space="720" w:num="1"/>
          <w:docGrid w:linePitch="290" w:charSpace="-3931"/>
        </w:sectPr>
      </w:pPr>
    </w:p>
    <w:p>
      <w:pPr>
        <w:pStyle w:val="16"/>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6"/>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6"/>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pPr>
        <w:pStyle w:val="16"/>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2"/>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6914"/>
      <w:bookmarkStart w:id="7" w:name="_Toc33267001"/>
      <w:bookmarkStart w:id="8" w:name="_Toc33266950"/>
      <w:bookmarkStart w:id="9" w:name="_Toc33266627"/>
      <w:bookmarkStart w:id="10" w:name="_Toc33285487"/>
      <w:bookmarkStart w:id="11" w:name="_Toc33265653"/>
      <w:bookmarkStart w:id="12" w:name="_Toc33265752"/>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highlight w:val="magenta"/>
        </w:rPr>
      </w:pPr>
      <w:r>
        <w:rPr>
          <w:rFonts w:hint="eastAsia" w:ascii="宋体" w:hAnsi="宋体" w:eastAsia="宋体" w:cs="宋体"/>
          <w:sz w:val="24"/>
          <w:szCs w:val="24"/>
          <w:highlight w:val="magenta"/>
        </w:rPr>
        <w:t>本次招标采用</w:t>
      </w:r>
      <w:bookmarkStart w:id="14" w:name="_Toc33265753"/>
      <w:bookmarkStart w:id="15" w:name="_Toc33267002"/>
      <w:bookmarkStart w:id="16" w:name="_Toc33266951"/>
      <w:bookmarkStart w:id="17" w:name="_Toc395116634"/>
      <w:bookmarkStart w:id="18" w:name="_Toc33265654"/>
      <w:bookmarkStart w:id="19" w:name="_Toc33285489"/>
      <w:bookmarkStart w:id="20" w:name="_Toc33266915"/>
      <w:bookmarkStart w:id="21" w:name="_Toc33266628"/>
      <w:r>
        <w:rPr>
          <w:rFonts w:hint="eastAsia" w:ascii="宋体" w:hAnsi="宋体" w:eastAsia="宋体" w:cs="宋体"/>
          <w:b/>
          <w:bCs/>
          <w:sz w:val="24"/>
          <w:szCs w:val="24"/>
          <w:highlight w:val="magenta"/>
          <w:lang w:val="en-US" w:eastAsia="zh-CN"/>
        </w:rPr>
        <w:t>综合评价法（详见附件14）</w:t>
      </w:r>
      <w:r>
        <w:rPr>
          <w:rFonts w:hint="eastAsia" w:ascii="宋体" w:hAnsi="宋体" w:eastAsia="宋体" w:cs="宋体"/>
          <w:sz w:val="24"/>
          <w:szCs w:val="24"/>
          <w:highlight w:val="magenta"/>
          <w:lang w:val="en-US" w:eastAsia="zh-CN"/>
        </w:rPr>
        <w:t>。</w:t>
      </w:r>
      <w:r>
        <w:rPr>
          <w:rFonts w:hint="eastAsia" w:ascii="宋体" w:hAnsi="宋体" w:eastAsia="宋体" w:cs="宋体"/>
          <w:color w:val="000000"/>
          <w:sz w:val="24"/>
          <w:szCs w:val="24"/>
          <w:highlight w:val="magenta"/>
        </w:rPr>
        <w:t>本着公平、公正、公开的原则，</w:t>
      </w:r>
      <w:r>
        <w:rPr>
          <w:rFonts w:hint="eastAsia" w:ascii="宋体" w:hAnsi="宋体" w:eastAsia="宋体" w:cs="宋体"/>
          <w:b/>
          <w:bCs/>
          <w:color w:val="000000"/>
          <w:sz w:val="24"/>
          <w:szCs w:val="24"/>
          <w:highlight w:val="magenta"/>
        </w:rPr>
        <w:t>在</w:t>
      </w:r>
      <w:r>
        <w:rPr>
          <w:rFonts w:hint="eastAsia" w:ascii="宋体" w:hAnsi="宋体" w:eastAsia="宋体" w:cs="宋体"/>
          <w:b/>
          <w:bCs/>
          <w:color w:val="000000"/>
          <w:sz w:val="24"/>
          <w:szCs w:val="24"/>
          <w:highlight w:val="magenta"/>
          <w:lang w:val="en-US" w:eastAsia="zh-CN"/>
        </w:rPr>
        <w:t>通过技术标</w:t>
      </w:r>
      <w:r>
        <w:rPr>
          <w:rFonts w:hint="eastAsia" w:ascii="宋体" w:hAnsi="宋体" w:eastAsia="宋体" w:cs="宋体"/>
          <w:b/>
          <w:bCs/>
          <w:color w:val="000000"/>
          <w:sz w:val="24"/>
          <w:szCs w:val="24"/>
          <w:highlight w:val="magenta"/>
        </w:rPr>
        <w:t>评审</w:t>
      </w:r>
      <w:r>
        <w:rPr>
          <w:rFonts w:hint="eastAsia" w:ascii="宋体" w:hAnsi="宋体" w:eastAsia="宋体" w:cs="宋体"/>
          <w:b/>
          <w:bCs/>
          <w:color w:val="000000"/>
          <w:sz w:val="24"/>
          <w:szCs w:val="24"/>
          <w:highlight w:val="magenta"/>
          <w:lang w:val="en-US" w:eastAsia="zh-CN"/>
        </w:rPr>
        <w:t>后入围</w:t>
      </w:r>
      <w:r>
        <w:rPr>
          <w:rFonts w:hint="eastAsia" w:ascii="宋体" w:hAnsi="宋体" w:eastAsia="宋体" w:cs="宋体"/>
          <w:b/>
          <w:bCs/>
          <w:color w:val="000000"/>
          <w:sz w:val="24"/>
          <w:szCs w:val="24"/>
          <w:highlight w:val="magenta"/>
        </w:rPr>
        <w:t>的前提下，</w:t>
      </w:r>
      <w:r>
        <w:rPr>
          <w:rFonts w:hint="eastAsia" w:ascii="宋体" w:hAnsi="宋体" w:eastAsia="宋体" w:cs="Times New Roman"/>
          <w:b/>
          <w:bCs/>
          <w:color w:val="000000"/>
          <w:sz w:val="24"/>
          <w:szCs w:val="24"/>
          <w:highlight w:val="magenta"/>
        </w:rPr>
        <w:t>对招标</w:t>
      </w:r>
      <w:r>
        <w:rPr>
          <w:rFonts w:hint="eastAsia" w:ascii="Calibri" w:hAnsi="Calibri" w:eastAsia="宋体" w:cs="Times New Roman"/>
          <w:b/>
          <w:bCs/>
          <w:color w:val="000000"/>
          <w:sz w:val="24"/>
          <w:szCs w:val="24"/>
          <w:highlight w:val="magenta"/>
        </w:rPr>
        <w:t>文件中规定的各项因素进行综合评审，</w:t>
      </w:r>
      <w:r>
        <w:rPr>
          <w:rFonts w:hint="eastAsia" w:ascii="Calibri" w:hAnsi="宋体" w:eastAsia="宋体" w:cs="Times New Roman"/>
          <w:b/>
          <w:bCs/>
          <w:color w:val="000000"/>
          <w:sz w:val="24"/>
          <w:szCs w:val="24"/>
          <w:highlight w:val="magenta"/>
        </w:rPr>
        <w:t>确定中标人</w:t>
      </w:r>
      <w:r>
        <w:rPr>
          <w:rFonts w:hint="eastAsia" w:ascii="宋体" w:hAnsi="宋体" w:eastAsia="宋体" w:cs="宋体"/>
          <w:b/>
          <w:bCs/>
          <w:color w:val="000000"/>
          <w:sz w:val="24"/>
          <w:szCs w:val="24"/>
          <w:highlight w:val="magenta"/>
        </w:rPr>
        <w:t>，</w:t>
      </w:r>
      <w:r>
        <w:rPr>
          <w:rFonts w:hint="eastAsia" w:ascii="宋体" w:hAnsi="宋体" w:eastAsia="宋体" w:cs="宋体"/>
          <w:b/>
          <w:color w:val="000000"/>
          <w:sz w:val="24"/>
          <w:szCs w:val="24"/>
          <w:highlight w:val="magenta"/>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6"/>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13准备资料，上传完毕后，等待审核</w:t>
      </w:r>
      <w:r>
        <w:rPr>
          <w:rFonts w:hint="eastAsia" w:ascii="宋体" w:hAnsi="宋体" w:eastAsia="宋体" w:cs="宋体"/>
          <w:b/>
          <w:color w:val="000000"/>
          <w:sz w:val="24"/>
          <w:szCs w:val="24"/>
          <w:highlight w:val="none"/>
        </w:rPr>
        <w:t>；</w:t>
      </w:r>
    </w:p>
    <w:p>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10"/>
        </w:numPr>
        <w:spacing w:line="360" w:lineRule="auto"/>
        <w:rPr>
          <w:rFonts w:hint="eastAsia" w:ascii="宋体" w:hAnsi="宋体" w:eastAsia="宋体" w:cs="宋体"/>
          <w:b/>
          <w:color w:val="auto"/>
          <w:sz w:val="24"/>
          <w:szCs w:val="24"/>
          <w:highlight w:val="magenta"/>
        </w:rPr>
      </w:pPr>
      <w:r>
        <w:rPr>
          <w:rFonts w:hint="eastAsia" w:ascii="宋体" w:hAnsi="宋体" w:eastAsia="宋体" w:cs="宋体"/>
          <w:b/>
          <w:color w:val="auto"/>
          <w:sz w:val="24"/>
          <w:szCs w:val="24"/>
          <w:highlight w:val="magenta"/>
          <w:lang w:val="en-US" w:eastAsia="zh-CN"/>
        </w:rPr>
        <w:t>中标人确定</w:t>
      </w:r>
      <w:r>
        <w:rPr>
          <w:rFonts w:hint="eastAsia" w:ascii="宋体" w:hAnsi="宋体" w:eastAsia="宋体" w:cs="宋体"/>
          <w:b/>
          <w:color w:val="auto"/>
          <w:sz w:val="24"/>
          <w:szCs w:val="24"/>
          <w:highlight w:val="magenta"/>
        </w:rPr>
        <w:t>：</w:t>
      </w:r>
      <w:r>
        <w:rPr>
          <w:rFonts w:hint="eastAsia" w:ascii="宋体" w:hAnsi="宋体" w:eastAsia="宋体" w:cs="宋体"/>
          <w:b/>
          <w:color w:val="auto"/>
          <w:sz w:val="24"/>
          <w:szCs w:val="24"/>
          <w:highlight w:val="magenta"/>
          <w:lang w:val="en-US" w:eastAsia="zh-CN"/>
        </w:rPr>
        <w:t>技术标入围后，原则上</w:t>
      </w:r>
      <w:r>
        <w:rPr>
          <w:rFonts w:hint="eastAsia" w:ascii="宋体" w:hAnsi="宋体" w:eastAsia="宋体" w:cs="宋体"/>
          <w:b/>
          <w:bCs/>
          <w:color w:val="auto"/>
          <w:sz w:val="24"/>
          <w:szCs w:val="24"/>
          <w:highlight w:val="magenta"/>
          <w:lang w:val="en-US" w:eastAsia="zh-CN"/>
        </w:rPr>
        <w:t>综合评分最高的投标方</w:t>
      </w:r>
      <w:r>
        <w:rPr>
          <w:rFonts w:hint="eastAsia" w:ascii="宋体" w:hAnsi="宋体" w:eastAsia="宋体" w:cs="宋体"/>
          <w:b/>
          <w:color w:val="auto"/>
          <w:sz w:val="24"/>
          <w:szCs w:val="24"/>
          <w:highlight w:val="magenta"/>
          <w:lang w:val="en-US" w:eastAsia="zh-CN"/>
        </w:rPr>
        <w:t>中标</w:t>
      </w:r>
      <w:r>
        <w:rPr>
          <w:rFonts w:hint="eastAsia" w:ascii="宋体" w:hAnsi="宋体" w:eastAsia="宋体" w:cs="宋体"/>
          <w:b/>
          <w:color w:val="auto"/>
          <w:sz w:val="24"/>
          <w:szCs w:val="24"/>
          <w:highlight w:val="magenta"/>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6"/>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5"/>
      <w:bookmarkStart w:id="23" w:name="OLE_LINK27"/>
      <w:bookmarkStart w:id="24" w:name="OLE_LINK29"/>
      <w:bookmarkStart w:id="25" w:name="OLE_LINK26"/>
      <w:bookmarkStart w:id="26" w:name="OLE_LINK28"/>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w:t>
      </w:r>
      <w:r>
        <w:rPr>
          <w:rFonts w:hint="eastAsia" w:ascii="宋体" w:hAnsi="宋体" w:eastAsia="宋体" w:cs="宋体"/>
          <w:b/>
          <w:color w:val="000000"/>
          <w:sz w:val="24"/>
          <w:szCs w:val="24"/>
          <w:lang w:val="en-US" w:eastAsia="zh-CN"/>
        </w:rPr>
        <w:t>动力</w:t>
      </w:r>
      <w:r>
        <w:rPr>
          <w:rFonts w:hint="eastAsia" w:ascii="宋体" w:hAnsi="宋体" w:eastAsia="宋体" w:cs="宋体"/>
          <w:b/>
          <w:color w:val="000000"/>
          <w:sz w:val="24"/>
          <w:szCs w:val="24"/>
          <w:lang w:eastAsia="zh-CN"/>
        </w:rPr>
        <w:t>有限公司</w:t>
      </w:r>
      <w:r>
        <w:rPr>
          <w:rFonts w:hint="eastAsia" w:ascii="宋体" w:hAnsi="宋体" w:eastAsia="宋体" w:cs="宋体"/>
          <w:b/>
          <w:color w:val="000000"/>
          <w:sz w:val="24"/>
          <w:szCs w:val="24"/>
        </w:rPr>
        <w:t>。</w:t>
      </w:r>
    </w:p>
    <w:p>
      <w:pPr>
        <w:pStyle w:val="16"/>
        <w:spacing w:line="360" w:lineRule="auto"/>
        <w:jc w:val="center"/>
        <w:rPr>
          <w:rFonts w:hint="eastAsia" w:ascii="宋体" w:hAnsi="宋体" w:eastAsia="宋体" w:cs="宋体"/>
          <w:b/>
          <w:bCs/>
          <w:kern w:val="44"/>
          <w:sz w:val="24"/>
          <w:szCs w:val="24"/>
        </w:rPr>
        <w:sectPr>
          <w:footerReference r:id="rId11" w:type="default"/>
          <w:pgSz w:w="11907" w:h="16840"/>
          <w:pgMar w:top="1304" w:right="1418" w:bottom="1304" w:left="1418" w:header="724" w:footer="851" w:gutter="0"/>
          <w:cols w:space="720" w:num="1"/>
          <w:docGrid w:linePitch="290" w:charSpace="-3931"/>
        </w:sectPr>
      </w:pPr>
    </w:p>
    <w:p>
      <w:pPr>
        <w:pStyle w:val="16"/>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电泳下线废气排放达标提升项目</w:t>
      </w:r>
    </w:p>
    <w:p>
      <w:pPr>
        <w:spacing w:line="276" w:lineRule="auto"/>
        <w:jc w:val="center"/>
        <w:rPr>
          <w:rFonts w:ascii="Calibri" w:hAnsi="Calibri" w:eastAsia="宋体" w:cs="Times New Roman"/>
          <w:b/>
          <w:bCs/>
          <w:color w:val="000000"/>
          <w:spacing w:val="-8"/>
          <w:sz w:val="48"/>
          <w:szCs w:val="44"/>
        </w:rPr>
      </w:pPr>
    </w:p>
    <w:p>
      <w:pPr>
        <w:jc w:val="right"/>
        <w:rPr>
          <w:rFonts w:ascii="Calibri" w:hAnsi="Calibri" w:eastAsia="宋体" w:cs="Times New Roman"/>
          <w:color w:val="000000"/>
          <w:sz w:val="28"/>
          <w:szCs w:val="28"/>
        </w:rPr>
      </w:pPr>
    </w:p>
    <w:p>
      <w:pPr>
        <w:pStyle w:val="16"/>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6"/>
      </w:pPr>
    </w:p>
    <w:p>
      <w:pPr>
        <w:pStyle w:val="16"/>
        <w:rPr>
          <w:rFonts w:ascii="黑体" w:hAnsi="宋体" w:eastAsia="黑体" w:cs="Times New Roman"/>
          <w:color w:val="000000"/>
          <w:sz w:val="72"/>
          <w:szCs w:val="72"/>
        </w:rPr>
      </w:pPr>
    </w:p>
    <w:p>
      <w:pPr>
        <w:pStyle w:val="16"/>
        <w:rPr>
          <w:rFonts w:ascii="黑体" w:hAnsi="宋体" w:eastAsia="黑体" w:cs="Times New Roman"/>
          <w:color w:val="000000"/>
          <w:sz w:val="72"/>
          <w:szCs w:val="72"/>
        </w:rPr>
      </w:pPr>
    </w:p>
    <w:p>
      <w:pPr>
        <w:spacing w:line="860" w:lineRule="exact"/>
        <w:rPr>
          <w:rFonts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ascii="华文仿宋" w:hAnsi="华文仿宋" w:eastAsia="华文仿宋"/>
          <w:sz w:val="32"/>
          <w:szCs w:val="28"/>
        </w:rPr>
      </w:pPr>
    </w:p>
    <w:p>
      <w:pPr>
        <w:spacing w:line="860" w:lineRule="exact"/>
        <w:rPr>
          <w:rFonts w:ascii="华文仿宋" w:hAnsi="华文仿宋" w:eastAsia="华文仿宋"/>
          <w:sz w:val="32"/>
          <w:szCs w:val="28"/>
        </w:rPr>
      </w:pP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16"/>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人：济南动力有限公司</w:t>
      </w:r>
    </w:p>
    <w:p>
      <w:pPr>
        <w:jc w:val="center"/>
        <w:rPr>
          <w:rFonts w:ascii="Calibri" w:hAnsi="Calibri" w:eastAsia="宋体" w:cs="Times New Roman"/>
          <w:color w:val="000000"/>
          <w:sz w:val="28"/>
          <w:szCs w:val="28"/>
        </w:rPr>
      </w:pP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1</w:t>
      </w:r>
      <w:r>
        <w:rPr>
          <w:rFonts w:hint="eastAsia" w:ascii="Calibri" w:hAnsi="Calibri" w:eastAsia="宋体" w:cs="Times New Roman"/>
          <w:color w:val="000000"/>
          <w:sz w:val="28"/>
          <w:szCs w:val="28"/>
          <w:lang w:val="en-US" w:eastAsia="zh-CN"/>
        </w:rPr>
        <w:t>2</w:t>
      </w:r>
      <w:bookmarkStart w:id="157" w:name="_GoBack"/>
      <w:bookmarkEnd w:id="157"/>
      <w:r>
        <w:rPr>
          <w:rFonts w:hint="eastAsia" w:ascii="Calibri" w:hAnsi="Calibri" w:eastAsia="宋体" w:cs="Times New Roman"/>
          <w:color w:val="000000"/>
          <w:sz w:val="28"/>
          <w:szCs w:val="28"/>
        </w:rPr>
        <w:t>月</w:t>
      </w:r>
    </w:p>
    <w:p>
      <w:pPr>
        <w:spacing w:line="360" w:lineRule="auto"/>
        <w:rPr>
          <w:rFonts w:ascii="宋体" w:hAnsi="宋体" w:eastAsia="宋体" w:cs="Times New Roman"/>
          <w:b/>
          <w:sz w:val="36"/>
          <w:szCs w:val="36"/>
        </w:rPr>
        <w:sectPr>
          <w:headerReference r:id="rId12" w:type="default"/>
          <w:footerReference r:id="rId13" w:type="default"/>
          <w:pgSz w:w="11907" w:h="16840"/>
          <w:pgMar w:top="1304" w:right="1418" w:bottom="1304" w:left="1418" w:header="724" w:footer="851" w:gutter="0"/>
          <w:cols w:space="720" w:num="1"/>
          <w:docGrid w:linePitch="290" w:charSpace="-3931"/>
        </w:sectPr>
      </w:pPr>
    </w:p>
    <w:p>
      <w:pPr>
        <w:pStyle w:val="2"/>
        <w:tabs>
          <w:tab w:val="right" w:leader="dot" w:pos="9061"/>
        </w:tabs>
        <w:ind w:left="0"/>
        <w:jc w:val="both"/>
      </w:pPr>
      <w:bookmarkStart w:id="32" w:name="_Toc26357117"/>
      <w:bookmarkStart w:id="33" w:name="_Toc27758106"/>
      <w:bookmarkStart w:id="34" w:name="_Toc180241683"/>
      <w:bookmarkStart w:id="35" w:name="_Toc18103"/>
      <w:r>
        <w:rPr>
          <w:rFonts w:hint="eastAsia"/>
        </w:rPr>
        <w:t>一、</w:t>
      </w:r>
      <w:bookmarkEnd w:id="32"/>
      <w:bookmarkEnd w:id="33"/>
      <w:r>
        <w:rPr>
          <w:rFonts w:hint="eastAsia"/>
        </w:rPr>
        <w:t>标的物用途</w:t>
      </w:r>
      <w:bookmarkEnd w:id="34"/>
      <w:bookmarkEnd w:id="35"/>
    </w:p>
    <w:p>
      <w:pPr>
        <w:spacing w:line="360" w:lineRule="auto"/>
        <w:ind w:firstLine="480" w:firstLineChars="200"/>
        <w:jc w:val="left"/>
        <w:rPr>
          <w:rFonts w:ascii="宋体" w:hAnsi="宋体" w:eastAsia="宋体"/>
          <w:bCs/>
          <w:sz w:val="24"/>
          <w:szCs w:val="24"/>
        </w:rPr>
      </w:pPr>
      <w:r>
        <w:rPr>
          <w:rFonts w:hint="eastAsia" w:asciiTheme="minorEastAsia" w:hAnsiTheme="minorEastAsia"/>
          <w:sz w:val="24"/>
          <w:szCs w:val="24"/>
        </w:rPr>
        <w:t>用于济南轻卡制造公司车架电泳下线修补工位漆雾排放达标提升及作业环境改善。</w:t>
      </w:r>
    </w:p>
    <w:p>
      <w:pPr>
        <w:pStyle w:val="2"/>
        <w:ind w:left="0"/>
        <w:jc w:val="both"/>
      </w:pPr>
      <w:bookmarkStart w:id="36" w:name="_Toc180241684"/>
      <w:bookmarkStart w:id="37" w:name="_Toc14387"/>
      <w:r>
        <w:rPr>
          <w:rFonts w:hint="eastAsia" w:ascii="宋体" w:hAnsi="宋体"/>
        </w:rPr>
        <w:t>二、</w:t>
      </w:r>
      <w:bookmarkStart w:id="38" w:name="_Toc26357118"/>
      <w:bookmarkStart w:id="39" w:name="_Toc27758107"/>
      <w:r>
        <w:rPr>
          <w:rFonts w:hint="eastAsia"/>
        </w:rPr>
        <w:t>标的物使用环境</w:t>
      </w:r>
      <w:bookmarkEnd w:id="36"/>
      <w:bookmarkEnd w:id="37"/>
      <w:bookmarkEnd w:id="38"/>
      <w:bookmarkEnd w:id="39"/>
    </w:p>
    <w:p>
      <w:pPr>
        <w:spacing w:line="360" w:lineRule="auto"/>
        <w:ind w:firstLine="480" w:firstLineChars="200"/>
        <w:rPr>
          <w:rFonts w:ascii="宋体" w:hAnsi="宋体"/>
          <w:bCs/>
          <w:sz w:val="24"/>
          <w:szCs w:val="24"/>
        </w:rPr>
      </w:pPr>
      <w:bookmarkStart w:id="40" w:name="_Toc26357119"/>
      <w:bookmarkStart w:id="41" w:name="_Toc23912"/>
      <w:bookmarkStart w:id="42" w:name="_Toc27758108"/>
      <w:r>
        <w:rPr>
          <w:rFonts w:hint="eastAsia" w:ascii="宋体" w:hAnsi="宋体"/>
          <w:bCs/>
          <w:sz w:val="24"/>
          <w:szCs w:val="24"/>
        </w:rPr>
        <w:t>1.项目名称：电泳下线废气排放达标提升项目</w:t>
      </w:r>
    </w:p>
    <w:p>
      <w:pPr>
        <w:spacing w:line="360" w:lineRule="auto"/>
        <w:ind w:firstLine="480" w:firstLineChars="200"/>
        <w:rPr>
          <w:rFonts w:ascii="宋体" w:hAnsi="宋体"/>
          <w:bCs/>
          <w:sz w:val="24"/>
          <w:szCs w:val="24"/>
        </w:rPr>
      </w:pPr>
      <w:r>
        <w:rPr>
          <w:rFonts w:hint="eastAsia" w:ascii="宋体" w:hAnsi="宋体"/>
          <w:bCs/>
          <w:sz w:val="24"/>
          <w:szCs w:val="24"/>
        </w:rPr>
        <w:t>2.</w:t>
      </w:r>
      <w:r>
        <w:rPr>
          <w:rFonts w:hint="eastAsia"/>
          <w:sz w:val="24"/>
          <w:szCs w:val="24"/>
        </w:rPr>
        <w:t>产能规划：</w:t>
      </w:r>
      <w:r>
        <w:rPr>
          <w:rFonts w:hint="eastAsia" w:ascii="宋体" w:hAnsi="宋体"/>
          <w:bCs/>
          <w:sz w:val="24"/>
          <w:szCs w:val="24"/>
        </w:rPr>
        <w:t>10万辆/年。</w:t>
      </w:r>
    </w:p>
    <w:p>
      <w:pPr>
        <w:spacing w:line="360" w:lineRule="auto"/>
        <w:ind w:firstLine="480" w:firstLineChars="200"/>
        <w:rPr>
          <w:rFonts w:ascii="宋体" w:hAnsi="宋体"/>
          <w:bCs/>
          <w:sz w:val="24"/>
          <w:szCs w:val="24"/>
        </w:rPr>
      </w:pPr>
      <w:r>
        <w:rPr>
          <w:rFonts w:hint="eastAsia" w:ascii="宋体" w:hAnsi="宋体"/>
          <w:bCs/>
          <w:sz w:val="24"/>
          <w:szCs w:val="24"/>
        </w:rPr>
        <w:t>3</w:t>
      </w:r>
      <w:r>
        <w:rPr>
          <w:rFonts w:ascii="宋体" w:hAnsi="宋体"/>
          <w:bCs/>
          <w:sz w:val="24"/>
          <w:szCs w:val="24"/>
        </w:rPr>
        <w:t>.</w:t>
      </w:r>
      <w:r>
        <w:rPr>
          <w:rFonts w:hint="eastAsia" w:ascii="宋体" w:hAnsi="宋体"/>
          <w:bCs/>
          <w:sz w:val="24"/>
          <w:szCs w:val="24"/>
        </w:rPr>
        <w:t>工作地点：山东济南</w:t>
      </w:r>
    </w:p>
    <w:p>
      <w:pPr>
        <w:spacing w:line="360" w:lineRule="auto"/>
        <w:ind w:firstLine="480" w:firstLineChars="200"/>
        <w:jc w:val="left"/>
        <w:rPr>
          <w:rFonts w:ascii="宋体" w:hAnsi="宋体"/>
          <w:sz w:val="24"/>
          <w:szCs w:val="24"/>
        </w:rPr>
      </w:pPr>
      <w:r>
        <w:rPr>
          <w:rFonts w:hint="eastAsia" w:ascii="宋体" w:hAnsi="宋体"/>
          <w:bCs/>
          <w:sz w:val="24"/>
          <w:szCs w:val="24"/>
        </w:rPr>
        <w:t>4</w:t>
      </w:r>
      <w:r>
        <w:rPr>
          <w:rFonts w:ascii="宋体" w:hAnsi="宋体"/>
          <w:bCs/>
          <w:sz w:val="24"/>
          <w:szCs w:val="24"/>
        </w:rPr>
        <w:t>.</w:t>
      </w:r>
      <w:r>
        <w:rPr>
          <w:rFonts w:hint="eastAsia" w:ascii="宋体" w:hAnsi="宋体"/>
          <w:bCs/>
          <w:sz w:val="24"/>
          <w:szCs w:val="24"/>
        </w:rPr>
        <w:t>工作制度：</w:t>
      </w:r>
      <w:r>
        <w:rPr>
          <w:rFonts w:hint="eastAsia" w:asciiTheme="minorEastAsia" w:hAnsiTheme="minorEastAsia" w:cstheme="minorEastAsia"/>
          <w:bCs/>
          <w:sz w:val="24"/>
          <w:szCs w:val="24"/>
        </w:rPr>
        <w:t>300工作日/年，两班23小时/工作日</w:t>
      </w:r>
      <w:r>
        <w:rPr>
          <w:rFonts w:hint="eastAsia" w:ascii="宋体" w:hAnsi="宋体"/>
          <w:sz w:val="24"/>
          <w:szCs w:val="24"/>
        </w:rPr>
        <w:t xml:space="preserve"> </w:t>
      </w:r>
    </w:p>
    <w:p>
      <w:pPr>
        <w:spacing w:line="360" w:lineRule="auto"/>
        <w:ind w:firstLine="480"/>
        <w:rPr>
          <w:rFonts w:ascii="宋体" w:hAnsi="宋体"/>
          <w:sz w:val="24"/>
          <w:szCs w:val="24"/>
        </w:rPr>
      </w:pPr>
      <w:r>
        <w:rPr>
          <w:rFonts w:hint="eastAsia" w:ascii="宋体" w:hAnsi="宋体"/>
          <w:sz w:val="24"/>
          <w:szCs w:val="24"/>
        </w:rPr>
        <w:t>5.年时基数：设备年时基数6900小时</w:t>
      </w:r>
    </w:p>
    <w:p>
      <w:pPr>
        <w:spacing w:line="360" w:lineRule="auto"/>
        <w:ind w:firstLine="480" w:firstLineChars="200"/>
        <w:jc w:val="left"/>
        <w:rPr>
          <w:rFonts w:ascii="宋体" w:hAnsi="宋体"/>
          <w:bCs/>
          <w:sz w:val="24"/>
          <w:szCs w:val="24"/>
        </w:rPr>
      </w:pPr>
      <w:r>
        <w:rPr>
          <w:rFonts w:hint="eastAsia" w:ascii="宋体" w:hAnsi="宋体"/>
          <w:bCs/>
          <w:sz w:val="24"/>
          <w:szCs w:val="24"/>
        </w:rPr>
        <w:t>6</w:t>
      </w:r>
      <w:r>
        <w:rPr>
          <w:rFonts w:ascii="宋体" w:hAnsi="宋体"/>
          <w:bCs/>
          <w:sz w:val="24"/>
          <w:szCs w:val="24"/>
        </w:rPr>
        <w:t>.</w:t>
      </w:r>
      <w:r>
        <w:rPr>
          <w:rFonts w:hint="eastAsia" w:ascii="宋体" w:hAnsi="宋体"/>
          <w:bCs/>
          <w:sz w:val="24"/>
          <w:szCs w:val="24"/>
        </w:rPr>
        <w:t>使用地点区域自然环境：</w:t>
      </w:r>
    </w:p>
    <w:p>
      <w:pPr>
        <w:spacing w:line="360" w:lineRule="auto"/>
        <w:ind w:firstLine="480" w:firstLineChars="200"/>
        <w:jc w:val="left"/>
        <w:rPr>
          <w:rFonts w:ascii="宋体" w:hAnsi="宋体"/>
          <w:bCs/>
          <w:sz w:val="24"/>
          <w:szCs w:val="24"/>
        </w:rPr>
      </w:pPr>
      <w:r>
        <w:rPr>
          <w:rFonts w:hint="eastAsia" w:ascii="宋体" w:hAnsi="宋体"/>
          <w:bCs/>
          <w:sz w:val="24"/>
          <w:szCs w:val="24"/>
        </w:rPr>
        <w:t>6</w:t>
      </w:r>
      <w:r>
        <w:rPr>
          <w:rFonts w:ascii="宋体" w:hAnsi="宋体"/>
          <w:bCs/>
          <w:sz w:val="24"/>
          <w:szCs w:val="24"/>
        </w:rPr>
        <w:t>.1.</w:t>
      </w:r>
      <w:r>
        <w:rPr>
          <w:rFonts w:hint="eastAsia" w:ascii="宋体" w:hAnsi="宋体"/>
          <w:bCs/>
          <w:sz w:val="24"/>
          <w:szCs w:val="24"/>
        </w:rPr>
        <w:t>海拔高度：1000m以下</w:t>
      </w:r>
    </w:p>
    <w:p>
      <w:pPr>
        <w:spacing w:line="360" w:lineRule="auto"/>
        <w:ind w:firstLine="480" w:firstLineChars="200"/>
        <w:jc w:val="left"/>
        <w:rPr>
          <w:rFonts w:ascii="宋体" w:hAnsi="宋体"/>
          <w:bCs/>
          <w:sz w:val="24"/>
          <w:szCs w:val="24"/>
        </w:rPr>
      </w:pPr>
      <w:r>
        <w:rPr>
          <w:rFonts w:hint="eastAsia" w:ascii="宋体" w:hAnsi="宋体"/>
          <w:bCs/>
          <w:sz w:val="24"/>
          <w:szCs w:val="24"/>
        </w:rPr>
        <w:t>6</w:t>
      </w:r>
      <w:r>
        <w:rPr>
          <w:rFonts w:ascii="宋体" w:hAnsi="宋体"/>
          <w:bCs/>
          <w:sz w:val="24"/>
          <w:szCs w:val="24"/>
        </w:rPr>
        <w:t>.2.</w:t>
      </w:r>
      <w:r>
        <w:rPr>
          <w:rFonts w:hint="eastAsia" w:ascii="宋体" w:hAnsi="宋体"/>
          <w:bCs/>
          <w:sz w:val="24"/>
          <w:szCs w:val="24"/>
        </w:rPr>
        <w:t>室外温度：-20℃～50℃</w:t>
      </w:r>
    </w:p>
    <w:p>
      <w:pPr>
        <w:spacing w:line="360" w:lineRule="auto"/>
        <w:ind w:firstLine="480" w:firstLineChars="200"/>
        <w:jc w:val="left"/>
        <w:rPr>
          <w:rFonts w:ascii="宋体" w:hAnsi="宋体"/>
          <w:bCs/>
          <w:sz w:val="24"/>
          <w:szCs w:val="24"/>
        </w:rPr>
      </w:pPr>
      <w:r>
        <w:rPr>
          <w:rFonts w:hint="eastAsia" w:ascii="宋体" w:hAnsi="宋体"/>
          <w:bCs/>
          <w:sz w:val="24"/>
          <w:szCs w:val="24"/>
        </w:rPr>
        <w:t>6</w:t>
      </w:r>
      <w:r>
        <w:rPr>
          <w:rFonts w:ascii="宋体" w:hAnsi="宋体"/>
          <w:bCs/>
          <w:sz w:val="24"/>
          <w:szCs w:val="24"/>
        </w:rPr>
        <w:t>.3.</w:t>
      </w:r>
      <w:r>
        <w:rPr>
          <w:rFonts w:hint="eastAsia" w:ascii="宋体" w:hAnsi="宋体"/>
          <w:bCs/>
          <w:sz w:val="24"/>
          <w:szCs w:val="24"/>
        </w:rPr>
        <w:t>室内温度：-20℃～50℃</w:t>
      </w:r>
      <w:r>
        <w:rPr>
          <w:rFonts w:hint="eastAsia" w:ascii="宋体" w:hAnsi="宋体"/>
          <w:bCs/>
          <w:sz w:val="24"/>
          <w:szCs w:val="24"/>
        </w:rPr>
        <w:tab/>
      </w:r>
    </w:p>
    <w:p>
      <w:pPr>
        <w:spacing w:line="360" w:lineRule="auto"/>
        <w:ind w:firstLine="480" w:firstLineChars="200"/>
        <w:jc w:val="left"/>
        <w:rPr>
          <w:rFonts w:ascii="宋体" w:hAnsi="宋体"/>
          <w:bCs/>
          <w:sz w:val="24"/>
          <w:szCs w:val="24"/>
        </w:rPr>
      </w:pPr>
      <w:r>
        <w:rPr>
          <w:rFonts w:hint="eastAsia" w:ascii="宋体" w:hAnsi="宋体"/>
          <w:bCs/>
          <w:sz w:val="24"/>
          <w:szCs w:val="24"/>
        </w:rPr>
        <w:t>6</w:t>
      </w:r>
      <w:r>
        <w:rPr>
          <w:rFonts w:ascii="宋体" w:hAnsi="宋体"/>
          <w:bCs/>
          <w:sz w:val="24"/>
          <w:szCs w:val="24"/>
        </w:rPr>
        <w:t>.4.</w:t>
      </w:r>
      <w:r>
        <w:rPr>
          <w:rFonts w:hint="eastAsia" w:ascii="宋体" w:hAnsi="宋体"/>
          <w:bCs/>
          <w:sz w:val="24"/>
          <w:szCs w:val="24"/>
        </w:rPr>
        <w:t>环境湿度：在20℃时最大湿度为90%</w:t>
      </w:r>
    </w:p>
    <w:p>
      <w:pPr>
        <w:spacing w:line="360" w:lineRule="auto"/>
        <w:ind w:firstLine="480" w:firstLineChars="200"/>
        <w:jc w:val="left"/>
        <w:rPr>
          <w:rFonts w:ascii="宋体" w:hAnsi="宋体"/>
          <w:sz w:val="24"/>
          <w:szCs w:val="24"/>
        </w:rPr>
      </w:pPr>
      <w:r>
        <w:rPr>
          <w:rFonts w:hint="eastAsia" w:ascii="宋体" w:hAnsi="宋体"/>
          <w:bCs/>
          <w:sz w:val="24"/>
          <w:szCs w:val="24"/>
        </w:rPr>
        <w:t>7</w:t>
      </w:r>
      <w:r>
        <w:rPr>
          <w:rFonts w:ascii="宋体" w:hAnsi="宋体"/>
          <w:bCs/>
          <w:sz w:val="24"/>
          <w:szCs w:val="24"/>
        </w:rPr>
        <w:t>.</w:t>
      </w:r>
      <w:r>
        <w:rPr>
          <w:rFonts w:hint="eastAsia" w:ascii="宋体" w:hAnsi="宋体"/>
          <w:bCs/>
          <w:sz w:val="24"/>
          <w:szCs w:val="24"/>
        </w:rPr>
        <w:t>压缩空气压力：0.4～0.6Mpa</w:t>
      </w:r>
    </w:p>
    <w:p>
      <w:pPr>
        <w:pStyle w:val="2"/>
        <w:ind w:left="0" w:firstLine="480" w:firstLineChars="200"/>
        <w:jc w:val="both"/>
        <w:rPr>
          <w:rFonts w:ascii="宋体" w:hAnsi="宋体" w:eastAsiaTheme="minorEastAsia" w:cstheme="minorBidi"/>
          <w:b w:val="0"/>
          <w:i w:val="0"/>
          <w:iCs w:val="0"/>
          <w:kern w:val="2"/>
          <w:sz w:val="24"/>
          <w:szCs w:val="24"/>
        </w:rPr>
      </w:pPr>
      <w:bookmarkStart w:id="43" w:name="_Toc180241685"/>
      <w:r>
        <w:rPr>
          <w:rFonts w:hint="eastAsia" w:ascii="宋体" w:hAnsi="宋体" w:eastAsiaTheme="minorEastAsia" w:cstheme="minorBidi"/>
          <w:b w:val="0"/>
          <w:i w:val="0"/>
          <w:iCs w:val="0"/>
          <w:kern w:val="2"/>
          <w:sz w:val="24"/>
          <w:szCs w:val="24"/>
        </w:rPr>
        <w:t>8.电源电压：三相五线制，符合中国制式，供电电压：AC380V±10%，供电频率：50Hz±2%，单相电：AC220V±10%，供电频率：50Hz±2%。</w:t>
      </w:r>
      <w:bookmarkEnd w:id="43"/>
    </w:p>
    <w:p>
      <w:pPr>
        <w:pStyle w:val="2"/>
        <w:ind w:left="0"/>
        <w:jc w:val="both"/>
      </w:pPr>
      <w:bookmarkStart w:id="44" w:name="_Toc180241686"/>
      <w:r>
        <w:rPr>
          <w:rFonts w:hint="eastAsia"/>
        </w:rPr>
        <w:t>三、供货范围</w:t>
      </w:r>
      <w:bookmarkEnd w:id="40"/>
      <w:bookmarkEnd w:id="41"/>
      <w:bookmarkEnd w:id="42"/>
      <w:bookmarkEnd w:id="44"/>
    </w:p>
    <w:p>
      <w:pPr>
        <w:spacing w:line="360" w:lineRule="auto"/>
        <w:ind w:firstLine="480" w:firstLineChars="200"/>
        <w:jc w:val="left"/>
        <w:rPr>
          <w:rFonts w:ascii="宋体" w:hAnsi="宋体"/>
          <w:bCs/>
          <w:sz w:val="24"/>
          <w:szCs w:val="24"/>
        </w:rPr>
      </w:pPr>
      <w:r>
        <w:rPr>
          <w:rFonts w:hint="eastAsia" w:ascii="宋体" w:hAnsi="宋体"/>
          <w:bCs/>
          <w:sz w:val="24"/>
          <w:szCs w:val="24"/>
        </w:rPr>
        <w:t>本项目包含下表中所有设备的设计、采购、制造、运输、装卸、安装、调试、验收及培训等；同时包含安全相关设备的设计、制造、采购任务，并提供相关的售后服务、最终的工艺安装图、必须的备品备件清单</w:t>
      </w:r>
      <w:r>
        <w:rPr>
          <w:rFonts w:hint="eastAsia" w:asciiTheme="minorEastAsia" w:hAnsiTheme="minorEastAsia"/>
          <w:sz w:val="24"/>
          <w:szCs w:val="24"/>
        </w:rPr>
        <w:t>（备品备件明确规格、厂家、产地、价格</w:t>
      </w:r>
      <w:r>
        <w:rPr>
          <w:rFonts w:hint="eastAsia" w:ascii="宋体" w:hAnsi="宋体"/>
          <w:bCs/>
          <w:sz w:val="24"/>
          <w:szCs w:val="24"/>
        </w:rPr>
        <w:t>，单独报价）。</w:t>
      </w:r>
    </w:p>
    <w:p>
      <w:pPr>
        <w:spacing w:line="360" w:lineRule="auto"/>
        <w:ind w:firstLine="480" w:firstLineChars="200"/>
        <w:jc w:val="left"/>
        <w:rPr>
          <w:rFonts w:ascii="宋体" w:hAnsi="宋体"/>
          <w:bCs/>
          <w:sz w:val="24"/>
          <w:szCs w:val="24"/>
        </w:rPr>
      </w:pPr>
      <w:r>
        <w:rPr>
          <w:rFonts w:hint="eastAsia" w:ascii="宋体" w:hAnsi="宋体"/>
          <w:bCs/>
          <w:sz w:val="24"/>
          <w:szCs w:val="24"/>
        </w:rPr>
        <w:t>货物名称及数量详见下表：</w:t>
      </w:r>
    </w:p>
    <w:tbl>
      <w:tblPr>
        <w:tblStyle w:val="35"/>
        <w:tblW w:w="7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3543"/>
        <w:gridCol w:w="709"/>
        <w:gridCol w:w="709"/>
        <w:gridCol w:w="2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1" w:hRule="atLeast"/>
          <w:tblHeader/>
          <w:jc w:val="center"/>
        </w:trPr>
        <w:tc>
          <w:tcPr>
            <w:tcW w:w="650" w:type="dxa"/>
            <w:vAlign w:val="center"/>
          </w:tcPr>
          <w:p>
            <w:pPr>
              <w:jc w:val="center"/>
              <w:rPr>
                <w:rFonts w:ascii="宋体" w:hAnsi="宋体" w:cs="宋体"/>
              </w:rPr>
            </w:pPr>
            <w:r>
              <w:rPr>
                <w:rFonts w:hint="eastAsia" w:ascii="宋体" w:hAnsi="宋体" w:cs="宋体"/>
              </w:rPr>
              <w:t>序号</w:t>
            </w:r>
          </w:p>
        </w:tc>
        <w:tc>
          <w:tcPr>
            <w:tcW w:w="3543" w:type="dxa"/>
            <w:vAlign w:val="center"/>
          </w:tcPr>
          <w:p>
            <w:pPr>
              <w:jc w:val="center"/>
              <w:rPr>
                <w:rFonts w:ascii="宋体" w:hAnsi="宋体" w:cs="宋体"/>
              </w:rPr>
            </w:pPr>
            <w:r>
              <w:rPr>
                <w:rFonts w:hint="eastAsia" w:ascii="宋体" w:hAnsi="宋体" w:cs="宋体"/>
              </w:rPr>
              <w:t>设备名称</w:t>
            </w:r>
          </w:p>
        </w:tc>
        <w:tc>
          <w:tcPr>
            <w:tcW w:w="709" w:type="dxa"/>
            <w:vAlign w:val="center"/>
          </w:tcPr>
          <w:p>
            <w:pPr>
              <w:jc w:val="center"/>
              <w:rPr>
                <w:rFonts w:ascii="宋体" w:hAnsi="宋体" w:cs="宋体"/>
              </w:rPr>
            </w:pPr>
            <w:r>
              <w:rPr>
                <w:rFonts w:hint="eastAsia" w:ascii="宋体" w:hAnsi="宋体" w:cs="宋体"/>
              </w:rPr>
              <w:t>单位</w:t>
            </w:r>
          </w:p>
        </w:tc>
        <w:tc>
          <w:tcPr>
            <w:tcW w:w="709" w:type="dxa"/>
            <w:vAlign w:val="center"/>
          </w:tcPr>
          <w:p>
            <w:pPr>
              <w:jc w:val="center"/>
              <w:rPr>
                <w:rFonts w:ascii="宋体" w:hAnsi="宋体" w:cs="宋体"/>
              </w:rPr>
            </w:pPr>
            <w:r>
              <w:rPr>
                <w:rFonts w:hint="eastAsia" w:ascii="宋体" w:hAnsi="宋体" w:cs="宋体"/>
              </w:rPr>
              <w:t>数量</w:t>
            </w:r>
          </w:p>
        </w:tc>
        <w:tc>
          <w:tcPr>
            <w:tcW w:w="2185" w:type="dxa"/>
            <w:vAlign w:val="center"/>
          </w:tcPr>
          <w:p>
            <w:pPr>
              <w:tabs>
                <w:tab w:val="left" w:pos="-2340"/>
              </w:tabs>
              <w:spacing w:line="400" w:lineRule="exact"/>
              <w:jc w:val="center"/>
              <w:rPr>
                <w:rFonts w:ascii="宋体" w:hAnsi="宋体" w:cs="宋体"/>
              </w:rPr>
            </w:pPr>
            <w:r>
              <w:rPr>
                <w:rFonts w:hint="eastAsia" w:ascii="宋体" w:hAnsi="宋体"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50" w:type="dxa"/>
            <w:vAlign w:val="center"/>
          </w:tcPr>
          <w:p>
            <w:pPr>
              <w:jc w:val="center"/>
              <w:rPr>
                <w:rFonts w:ascii="宋体" w:hAnsi="宋体" w:cs="宋体"/>
                <w:color w:val="000000"/>
              </w:rPr>
            </w:pPr>
            <w:r>
              <w:rPr>
                <w:rFonts w:hint="eastAsia" w:ascii="宋体" w:hAnsi="宋体" w:cs="宋体"/>
                <w:color w:val="000000"/>
              </w:rPr>
              <w:t>1</w:t>
            </w:r>
          </w:p>
        </w:tc>
        <w:tc>
          <w:tcPr>
            <w:tcW w:w="3543" w:type="dxa"/>
            <w:vAlign w:val="center"/>
          </w:tcPr>
          <w:p>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漆雾收集处理系统</w:t>
            </w:r>
          </w:p>
        </w:tc>
        <w:tc>
          <w:tcPr>
            <w:tcW w:w="709" w:type="dxa"/>
            <w:vAlign w:val="center"/>
          </w:tcPr>
          <w:p>
            <w:pPr>
              <w:widowControl/>
              <w:jc w:val="center"/>
              <w:textAlignment w:val="center"/>
              <w:rPr>
                <w:rFonts w:ascii="仿宋" w:hAnsi="仿宋" w:eastAsia="仿宋" w:cs="仿宋"/>
                <w:color w:val="000000"/>
                <w:sz w:val="24"/>
                <w:szCs w:val="24"/>
              </w:rPr>
            </w:pPr>
            <w:r>
              <w:rPr>
                <w:rFonts w:ascii="仿宋" w:hAnsi="仿宋" w:eastAsia="仿宋" w:cs="仿宋"/>
                <w:color w:val="000000"/>
                <w:sz w:val="24"/>
                <w:szCs w:val="24"/>
              </w:rPr>
              <w:t>1</w:t>
            </w:r>
          </w:p>
        </w:tc>
        <w:tc>
          <w:tcPr>
            <w:tcW w:w="709" w:type="dxa"/>
            <w:vAlign w:val="center"/>
          </w:tcPr>
          <w:p>
            <w:pPr>
              <w:jc w:val="center"/>
              <w:rPr>
                <w:rFonts w:ascii="宋体" w:hAnsi="宋体" w:cs="宋体"/>
                <w:color w:val="000000"/>
              </w:rPr>
            </w:pPr>
            <w:r>
              <w:rPr>
                <w:rFonts w:hint="eastAsia" w:ascii="宋体" w:hAnsi="宋体" w:cs="宋体"/>
                <w:color w:val="000000"/>
              </w:rPr>
              <w:t>套</w:t>
            </w:r>
          </w:p>
        </w:tc>
        <w:tc>
          <w:tcPr>
            <w:tcW w:w="2185" w:type="dxa"/>
            <w:vAlign w:val="center"/>
          </w:tcPr>
          <w:p>
            <w:pPr>
              <w:jc w:val="cente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50" w:type="dxa"/>
            <w:vAlign w:val="center"/>
          </w:tcPr>
          <w:p>
            <w:pPr>
              <w:jc w:val="center"/>
              <w:rPr>
                <w:rFonts w:ascii="宋体" w:hAnsi="宋体" w:cs="宋体"/>
                <w:color w:val="000000"/>
              </w:rPr>
            </w:pPr>
            <w:r>
              <w:rPr>
                <w:rFonts w:ascii="宋体" w:hAnsi="宋体" w:cs="宋体"/>
                <w:color w:val="000000"/>
              </w:rPr>
              <w:t>2</w:t>
            </w:r>
          </w:p>
        </w:tc>
        <w:tc>
          <w:tcPr>
            <w:tcW w:w="3543" w:type="dxa"/>
            <w:vAlign w:val="center"/>
          </w:tcPr>
          <w:p>
            <w:pPr>
              <w:widowControl/>
              <w:jc w:val="center"/>
              <w:textAlignment w:val="center"/>
              <w:rPr>
                <w:rFonts w:ascii="仿宋" w:hAnsi="仿宋" w:eastAsia="仿宋" w:cs="仿宋"/>
                <w:color w:val="000000"/>
                <w:kern w:val="0"/>
                <w:sz w:val="24"/>
                <w:szCs w:val="24"/>
              </w:rPr>
            </w:pPr>
            <w:r>
              <w:rPr>
                <w:rFonts w:hint="eastAsia" w:ascii="仿宋" w:hAnsi="仿宋" w:eastAsia="仿宋" w:cs="仿宋"/>
                <w:color w:val="000000"/>
                <w:kern w:val="0"/>
                <w:sz w:val="24"/>
                <w:szCs w:val="24"/>
              </w:rPr>
              <w:t>防滑板</w:t>
            </w:r>
          </w:p>
        </w:tc>
        <w:tc>
          <w:tcPr>
            <w:tcW w:w="709" w:type="dxa"/>
            <w:vAlign w:val="center"/>
          </w:tcPr>
          <w:p>
            <w:pPr>
              <w:widowControl/>
              <w:jc w:val="center"/>
              <w:textAlignment w:val="center"/>
              <w:rPr>
                <w:rFonts w:ascii="仿宋" w:hAnsi="仿宋" w:eastAsia="仿宋" w:cs="仿宋"/>
                <w:color w:val="000000"/>
                <w:kern w:val="0"/>
                <w:sz w:val="24"/>
                <w:szCs w:val="24"/>
              </w:rPr>
            </w:pPr>
            <w:r>
              <w:rPr>
                <w:rFonts w:ascii="仿宋" w:hAnsi="仿宋" w:eastAsia="仿宋" w:cs="仿宋"/>
                <w:color w:val="000000"/>
                <w:kern w:val="0"/>
                <w:sz w:val="24"/>
                <w:szCs w:val="24"/>
              </w:rPr>
              <w:t>1</w:t>
            </w:r>
          </w:p>
        </w:tc>
        <w:tc>
          <w:tcPr>
            <w:tcW w:w="709" w:type="dxa"/>
            <w:vAlign w:val="center"/>
          </w:tcPr>
          <w:p>
            <w:pPr>
              <w:jc w:val="center"/>
              <w:rPr>
                <w:rFonts w:ascii="宋体" w:hAnsi="宋体" w:cs="宋体"/>
                <w:color w:val="000000"/>
              </w:rPr>
            </w:pPr>
            <w:r>
              <w:rPr>
                <w:rFonts w:hint="eastAsia" w:ascii="宋体" w:hAnsi="宋体" w:cs="宋体"/>
                <w:color w:val="000000"/>
              </w:rPr>
              <w:t>套</w:t>
            </w:r>
          </w:p>
        </w:tc>
        <w:tc>
          <w:tcPr>
            <w:tcW w:w="2185" w:type="dxa"/>
            <w:vAlign w:val="center"/>
          </w:tcPr>
          <w:p>
            <w:pPr>
              <w:jc w:val="center"/>
              <w:rPr>
                <w:rFonts w:ascii="宋体" w:hAnsi="宋体" w:cs="宋体"/>
              </w:rPr>
            </w:pPr>
          </w:p>
        </w:tc>
      </w:tr>
    </w:tbl>
    <w:p>
      <w:pPr>
        <w:pStyle w:val="2"/>
        <w:ind w:left="0"/>
        <w:jc w:val="both"/>
      </w:pPr>
      <w:bookmarkStart w:id="45" w:name="_Toc23035"/>
      <w:bookmarkStart w:id="46" w:name="_Toc180241687"/>
      <w:bookmarkStart w:id="47" w:name="_Toc26357121"/>
      <w:bookmarkStart w:id="48" w:name="_Toc27758110"/>
      <w:r>
        <w:rPr>
          <w:rFonts w:hint="eastAsia"/>
        </w:rPr>
        <w:t>四、工程界面</w:t>
      </w:r>
      <w:bookmarkEnd w:id="45"/>
      <w:bookmarkEnd w:id="46"/>
    </w:p>
    <w:p>
      <w:pPr>
        <w:pStyle w:val="11"/>
        <w:spacing w:line="360" w:lineRule="auto"/>
        <w:rPr>
          <w:rFonts w:ascii="宋体" w:hAnsi="宋体"/>
          <w:sz w:val="24"/>
          <w:szCs w:val="24"/>
        </w:rPr>
      </w:pPr>
      <w:bookmarkStart w:id="49" w:name="_Toc32178"/>
      <w:r>
        <w:rPr>
          <w:rFonts w:ascii="宋体" w:hAnsi="宋体"/>
          <w:sz w:val="24"/>
          <w:szCs w:val="24"/>
        </w:rPr>
        <w:t>1</w:t>
      </w:r>
      <w:r>
        <w:rPr>
          <w:rFonts w:hint="eastAsia" w:ascii="宋体" w:hAnsi="宋体"/>
          <w:sz w:val="24"/>
          <w:szCs w:val="24"/>
        </w:rPr>
        <w:t>.基础，涉及的基础及二次浇注划分基础、二次浇注、预埋件、地坑等由投标方出设计方案，经招标方评审通过后，招标方出具设备基础施工图后，投标方负责按图实施。</w:t>
      </w:r>
    </w:p>
    <w:p>
      <w:pPr>
        <w:spacing w:line="360" w:lineRule="auto"/>
        <w:rPr>
          <w:rFonts w:ascii="宋体" w:hAnsi="宋体"/>
          <w:sz w:val="24"/>
          <w:szCs w:val="24"/>
        </w:rPr>
      </w:pPr>
      <w:r>
        <w:rPr>
          <w:rFonts w:ascii="宋体" w:hAnsi="宋体"/>
          <w:sz w:val="24"/>
          <w:szCs w:val="24"/>
        </w:rPr>
        <w:t>2</w:t>
      </w:r>
      <w:r>
        <w:rPr>
          <w:rFonts w:hint="eastAsia" w:ascii="宋体" w:hAnsi="宋体"/>
          <w:sz w:val="24"/>
          <w:szCs w:val="24"/>
        </w:rPr>
        <w:t>.气源划分，气源一次侧与二次侧的范围界定：根据设备需要，招标方指定部分气源点作为接口；阀门后所有的气路设施由投标方负责，投标方需在提供资料时提出预留气源接口位置。</w:t>
      </w:r>
    </w:p>
    <w:p>
      <w:pPr>
        <w:spacing w:line="360" w:lineRule="auto"/>
        <w:rPr>
          <w:rFonts w:ascii="宋体" w:hAnsi="宋体"/>
          <w:sz w:val="24"/>
          <w:szCs w:val="24"/>
        </w:rPr>
      </w:pPr>
      <w:r>
        <w:rPr>
          <w:rFonts w:ascii="宋体" w:hAnsi="宋体"/>
          <w:sz w:val="24"/>
          <w:szCs w:val="24"/>
        </w:rPr>
        <w:t>3</w:t>
      </w:r>
      <w:r>
        <w:rPr>
          <w:rFonts w:hint="eastAsia" w:ascii="宋体" w:hAnsi="宋体"/>
          <w:sz w:val="24"/>
          <w:szCs w:val="24"/>
        </w:rPr>
        <w:t>.电源划分，控制柜仅指设备的主控柜，原则上每台设备设置一个主控柜（主控柜位置需根据实际生产情况具体设置），单台设备超过一个主控柜需在图纸会签时说明，否则招标方不负责提供多余电源点。招标方提供电源接点，投标方负责从插接箱中接电进投标方主控柜，线缆和桥架及母线插接箱均由投标方负责。投标方负责每条主线和分装线边小功率设备的线边配电柜（带电表及通讯上  传功能），配电柜接线及柜内各元器件由投标方负责。</w:t>
      </w:r>
    </w:p>
    <w:p>
      <w:pPr>
        <w:spacing w:line="360" w:lineRule="auto"/>
        <w:rPr>
          <w:rFonts w:ascii="宋体" w:hAnsi="宋体"/>
          <w:sz w:val="24"/>
          <w:szCs w:val="24"/>
        </w:rPr>
      </w:pPr>
      <w:r>
        <w:rPr>
          <w:rFonts w:hint="eastAsia" w:ascii="宋体" w:hAnsi="宋体"/>
          <w:sz w:val="24"/>
          <w:szCs w:val="24"/>
        </w:rPr>
        <w:t xml:space="preserve">投标方负责线边配电柜到线边两侧工位上的接电盒（具体图纸会签时确定），接电盒内各元器件由投标方负责。投标方负责提供输送设备、工艺设备、照明、风扇、插座用电。  </w:t>
      </w:r>
    </w:p>
    <w:p>
      <w:pPr>
        <w:spacing w:line="360" w:lineRule="auto"/>
        <w:jc w:val="left"/>
        <w:rPr>
          <w:rFonts w:asciiTheme="minorEastAsia" w:hAnsiTheme="minorEastAsia"/>
          <w:sz w:val="24"/>
          <w:szCs w:val="24"/>
        </w:rPr>
      </w:pPr>
      <w:r>
        <w:rPr>
          <w:rFonts w:ascii="宋体" w:hAnsi="宋体"/>
          <w:bCs/>
          <w:sz w:val="24"/>
          <w:szCs w:val="24"/>
        </w:rPr>
        <w:t>4</w:t>
      </w:r>
      <w:r>
        <w:rPr>
          <w:rFonts w:hint="eastAsia" w:ascii="宋体" w:hAnsi="宋体"/>
          <w:bCs/>
          <w:sz w:val="24"/>
          <w:szCs w:val="24"/>
        </w:rPr>
        <w:t>.工艺接口，</w:t>
      </w:r>
      <w:r>
        <w:rPr>
          <w:rFonts w:hint="eastAsia" w:asciiTheme="minorEastAsia" w:hAnsiTheme="minorEastAsia"/>
          <w:sz w:val="24"/>
          <w:szCs w:val="24"/>
        </w:rPr>
        <w:t>各设备具体布置情况详见平面布置图。平面布置图仅提出各设备布置位置及输送流向，投标方应细化各设备设计方案后，作为投标依据。</w:t>
      </w:r>
    </w:p>
    <w:p>
      <w:pPr>
        <w:pStyle w:val="2"/>
        <w:ind w:left="0"/>
        <w:jc w:val="both"/>
      </w:pPr>
      <w:bookmarkStart w:id="50" w:name="_Toc180241688"/>
      <w:r>
        <w:rPr>
          <w:rFonts w:hint="eastAsia"/>
        </w:rPr>
        <w:t>五、标的物技术要求</w:t>
      </w:r>
      <w:bookmarkEnd w:id="47"/>
      <w:bookmarkEnd w:id="48"/>
      <w:bookmarkEnd w:id="49"/>
      <w:bookmarkEnd w:id="50"/>
    </w:p>
    <w:p>
      <w:pPr>
        <w:spacing w:line="480" w:lineRule="exact"/>
        <w:rPr>
          <w:rFonts w:ascii="宋体" w:hAnsi="宋体"/>
          <w:b/>
          <w:bCs/>
          <w:sz w:val="24"/>
          <w:szCs w:val="24"/>
        </w:rPr>
      </w:pPr>
      <w:r>
        <w:rPr>
          <w:rFonts w:hint="eastAsia" w:ascii="宋体" w:hAnsi="宋体"/>
          <w:b/>
          <w:bCs/>
          <w:sz w:val="24"/>
          <w:szCs w:val="24"/>
        </w:rPr>
        <w:t>1、基本要求</w:t>
      </w:r>
    </w:p>
    <w:p>
      <w:pPr>
        <w:spacing w:line="360" w:lineRule="auto"/>
        <w:rPr>
          <w:rFonts w:ascii="宋体" w:hAnsi="宋体"/>
          <w:bCs/>
          <w:sz w:val="24"/>
        </w:rPr>
      </w:pPr>
      <w:r>
        <w:rPr>
          <w:rFonts w:hint="eastAsia" w:ascii="宋体" w:hAnsi="宋体"/>
          <w:bCs/>
          <w:sz w:val="24"/>
        </w:rPr>
        <w:t>1.1投标方所供的货物，必须符合中国最新版的法律、法规和相关标准、规范的要求，符合项目所在地政府有关特殊要求。</w:t>
      </w:r>
    </w:p>
    <w:p>
      <w:pPr>
        <w:spacing w:line="360" w:lineRule="auto"/>
        <w:rPr>
          <w:rFonts w:ascii="宋体" w:hAnsi="宋体"/>
          <w:bCs/>
          <w:sz w:val="24"/>
        </w:rPr>
      </w:pPr>
      <w:r>
        <w:rPr>
          <w:rFonts w:hint="eastAsia" w:ascii="宋体" w:hAnsi="宋体"/>
          <w:bCs/>
          <w:sz w:val="24"/>
        </w:rPr>
        <w:t>1.2投标方所供货物涉及的、招标方有权使用的专利权技术以及知识产权保护的其它技术等，应保证招标方不因此受到任何侵权指控以及实际损失。</w:t>
      </w:r>
    </w:p>
    <w:p>
      <w:pPr>
        <w:spacing w:line="360" w:lineRule="auto"/>
        <w:rPr>
          <w:rFonts w:ascii="宋体" w:hAnsi="宋体"/>
          <w:bCs/>
          <w:sz w:val="24"/>
        </w:rPr>
      </w:pPr>
      <w:r>
        <w:rPr>
          <w:rFonts w:hint="eastAsia" w:ascii="宋体" w:hAnsi="宋体"/>
          <w:bCs/>
          <w:sz w:val="24"/>
        </w:rPr>
        <w:t>1.3投标方应保证所供货物的先进性、可靠性、经济性和实用性，并为全新货物（或设备）。</w:t>
      </w:r>
    </w:p>
    <w:p>
      <w:pPr>
        <w:spacing w:line="360" w:lineRule="auto"/>
        <w:rPr>
          <w:rFonts w:ascii="宋体" w:hAnsi="宋体"/>
          <w:bCs/>
          <w:sz w:val="24"/>
        </w:rPr>
      </w:pPr>
      <w:r>
        <w:rPr>
          <w:rFonts w:hint="eastAsia" w:ascii="宋体" w:hAnsi="宋体"/>
          <w:bCs/>
          <w:sz w:val="24"/>
        </w:rPr>
        <w:t>1.4投标方应满足招标方提出的各项技术要求，必要时应当免费提供技术承诺或担保。</w:t>
      </w:r>
    </w:p>
    <w:p>
      <w:pPr>
        <w:spacing w:line="360" w:lineRule="auto"/>
        <w:rPr>
          <w:rFonts w:ascii="宋体" w:hAnsi="宋体"/>
          <w:bCs/>
          <w:sz w:val="24"/>
        </w:rPr>
      </w:pPr>
      <w:r>
        <w:rPr>
          <w:rFonts w:hint="eastAsia" w:ascii="宋体" w:hAnsi="宋体"/>
          <w:bCs/>
          <w:sz w:val="24"/>
        </w:rPr>
        <w:t>1.5投标方应保证所供货物（或设备）为中国公布的非淘汰货物（或设备），并为中国指定或规定的主管部门认可的环保型和节能型货物（或设备）。</w:t>
      </w:r>
    </w:p>
    <w:p>
      <w:pPr>
        <w:spacing w:line="360" w:lineRule="auto"/>
        <w:rPr>
          <w:rFonts w:ascii="宋体" w:hAnsi="宋体"/>
          <w:bCs/>
          <w:sz w:val="24"/>
        </w:rPr>
      </w:pPr>
      <w:r>
        <w:rPr>
          <w:rFonts w:hint="eastAsia" w:ascii="宋体" w:hAnsi="宋体"/>
          <w:bCs/>
          <w:sz w:val="24"/>
        </w:rPr>
        <w:t>1.6投标方应保证所供货物（或生产线）的完整性和成套性，能保证货物（或生产线）的正常运行、使用。</w:t>
      </w:r>
    </w:p>
    <w:p>
      <w:pPr>
        <w:spacing w:line="360" w:lineRule="auto"/>
        <w:rPr>
          <w:rFonts w:ascii="宋体" w:hAnsi="宋体"/>
          <w:bCs/>
          <w:sz w:val="24"/>
        </w:rPr>
      </w:pPr>
      <w:r>
        <w:rPr>
          <w:rFonts w:hint="eastAsia" w:ascii="宋体" w:hAnsi="宋体"/>
          <w:bCs/>
          <w:sz w:val="24"/>
        </w:rPr>
        <w:t>1.7投标方应对招标方采购的货物（或生产线）所涉及的技术、产能等信息负有保密义务，特殊项目应当无条件签署保密协议。</w:t>
      </w:r>
    </w:p>
    <w:p>
      <w:pPr>
        <w:spacing w:line="360" w:lineRule="auto"/>
        <w:rPr>
          <w:rFonts w:ascii="宋体" w:hAnsi="宋体"/>
          <w:sz w:val="24"/>
          <w:szCs w:val="24"/>
        </w:rPr>
      </w:pPr>
      <w:r>
        <w:rPr>
          <w:rFonts w:hint="eastAsia" w:ascii="宋体" w:hAnsi="宋体"/>
          <w:sz w:val="24"/>
          <w:szCs w:val="24"/>
        </w:rPr>
        <w:t>1.</w:t>
      </w:r>
      <w:r>
        <w:rPr>
          <w:rFonts w:ascii="宋体" w:hAnsi="宋体"/>
          <w:sz w:val="24"/>
          <w:szCs w:val="24"/>
        </w:rPr>
        <w:t xml:space="preserve">8 </w:t>
      </w:r>
      <w:r>
        <w:rPr>
          <w:rFonts w:hint="eastAsia" w:ascii="宋体" w:hAnsi="宋体"/>
          <w:sz w:val="24"/>
          <w:szCs w:val="24"/>
        </w:rPr>
        <w:t>要求选用一级能效的电机，符合《G</w:t>
      </w:r>
      <w:r>
        <w:rPr>
          <w:rFonts w:ascii="宋体" w:hAnsi="宋体"/>
          <w:sz w:val="24"/>
          <w:szCs w:val="24"/>
        </w:rPr>
        <w:t xml:space="preserve">B 18613-2020 </w:t>
      </w:r>
      <w:r>
        <w:rPr>
          <w:rFonts w:hint="eastAsia" w:ascii="宋体" w:hAnsi="宋体"/>
          <w:sz w:val="24"/>
          <w:szCs w:val="24"/>
        </w:rPr>
        <w:t>电动机能效限定值及能效等级》的要求。</w:t>
      </w:r>
    </w:p>
    <w:p>
      <w:pPr>
        <w:spacing w:line="360" w:lineRule="auto"/>
        <w:rPr>
          <w:rFonts w:ascii="宋体" w:hAnsi="宋体"/>
          <w:sz w:val="24"/>
          <w:szCs w:val="24"/>
        </w:rPr>
      </w:pPr>
      <w:r>
        <w:rPr>
          <w:rFonts w:hint="eastAsia" w:ascii="宋体" w:hAnsi="宋体"/>
          <w:sz w:val="24"/>
          <w:szCs w:val="24"/>
        </w:rPr>
        <w:t>1</w:t>
      </w:r>
      <w:r>
        <w:rPr>
          <w:rFonts w:ascii="宋体" w:hAnsi="宋体"/>
          <w:sz w:val="24"/>
          <w:szCs w:val="24"/>
        </w:rPr>
        <w:t>.9</w:t>
      </w:r>
      <w:r>
        <w:rPr>
          <w:rFonts w:hint="eastAsia" w:ascii="宋体" w:hAnsi="宋体"/>
          <w:sz w:val="24"/>
          <w:szCs w:val="24"/>
        </w:rPr>
        <w:t>设备表面漆面颜色符合《Q-ZZ 30070 设备 设施颜色标识》规定，外观无明显缺陷。</w:t>
      </w:r>
    </w:p>
    <w:p>
      <w:pPr>
        <w:autoSpaceDE w:val="0"/>
        <w:autoSpaceDN w:val="0"/>
        <w:adjustRightInd w:val="0"/>
        <w:spacing w:line="480" w:lineRule="exact"/>
        <w:jc w:val="left"/>
        <w:rPr>
          <w:rFonts w:ascii="宋体" w:hAnsi="宋体"/>
          <w:b/>
          <w:sz w:val="24"/>
          <w:szCs w:val="24"/>
        </w:rPr>
      </w:pPr>
      <w:r>
        <w:rPr>
          <w:rFonts w:hint="eastAsia" w:ascii="宋体" w:hAnsi="宋体"/>
          <w:b/>
          <w:sz w:val="24"/>
          <w:szCs w:val="24"/>
        </w:rPr>
        <w:t>2、技术要求</w:t>
      </w:r>
    </w:p>
    <w:p>
      <w:pPr>
        <w:autoSpaceDE w:val="0"/>
        <w:autoSpaceDN w:val="0"/>
        <w:adjustRightInd w:val="0"/>
        <w:spacing w:line="480" w:lineRule="exact"/>
        <w:jc w:val="left"/>
        <w:rPr>
          <w:rFonts w:ascii="宋体" w:hAnsi="宋体"/>
          <w:b/>
          <w:sz w:val="24"/>
          <w:szCs w:val="24"/>
        </w:rPr>
      </w:pPr>
      <w:r>
        <w:rPr>
          <w:rFonts w:hint="eastAsia" w:ascii="宋体" w:hAnsi="宋体"/>
          <w:b/>
          <w:sz w:val="24"/>
          <w:szCs w:val="24"/>
        </w:rPr>
        <w:t>2.1、漆雾收集处理系统</w:t>
      </w:r>
    </w:p>
    <w:p>
      <w:pPr>
        <w:autoSpaceDE w:val="0"/>
        <w:autoSpaceDN w:val="0"/>
        <w:adjustRightInd w:val="0"/>
        <w:spacing w:line="480" w:lineRule="exact"/>
        <w:jc w:val="left"/>
        <w:rPr>
          <w:rFonts w:ascii="宋体" w:hAnsi="宋体" w:cs="Times New Roman"/>
          <w:sz w:val="24"/>
          <w:szCs w:val="24"/>
        </w:rPr>
      </w:pPr>
      <w:r>
        <w:rPr>
          <w:rFonts w:hint="eastAsia" w:ascii="宋体" w:hAnsi="宋体" w:cs="Times New Roman"/>
          <w:sz w:val="24"/>
          <w:szCs w:val="24"/>
        </w:rPr>
        <w:t>2.1.1、电泳下线补漆工位设置地坑，工位上方设置集气罩。在地坑和上方的集气罩都设置漆雾收集口，将补漆废气有效的收集起来。</w:t>
      </w:r>
    </w:p>
    <w:p>
      <w:pPr>
        <w:autoSpaceDE w:val="0"/>
        <w:autoSpaceDN w:val="0"/>
        <w:adjustRightInd w:val="0"/>
        <w:spacing w:line="480" w:lineRule="exact"/>
        <w:jc w:val="left"/>
        <w:rPr>
          <w:rFonts w:ascii="宋体" w:hAnsi="宋体" w:cs="Times New Roman"/>
          <w:sz w:val="24"/>
          <w:szCs w:val="24"/>
        </w:rPr>
      </w:pPr>
      <w:r>
        <w:rPr>
          <w:rFonts w:hint="eastAsia" w:ascii="宋体" w:hAnsi="宋体" w:cs="Times New Roman"/>
          <w:sz w:val="24"/>
          <w:szCs w:val="24"/>
        </w:rPr>
        <w:t>2</w:t>
      </w:r>
      <w:r>
        <w:rPr>
          <w:rFonts w:ascii="宋体" w:hAnsi="宋体" w:cs="Times New Roman"/>
          <w:sz w:val="24"/>
          <w:szCs w:val="24"/>
        </w:rPr>
        <w:t>.1.2</w:t>
      </w:r>
      <w:r>
        <w:rPr>
          <w:rFonts w:hint="eastAsia" w:ascii="宋体" w:hAnsi="宋体" w:cs="Times New Roman"/>
          <w:sz w:val="24"/>
          <w:szCs w:val="24"/>
        </w:rPr>
        <w:t>、收集到的漆雾通过过滤设备过滤后经过风管连接到烘干废气燃烧室进行燃烧，燃烧后通过烘干废气排放筒排放至车间外。</w:t>
      </w:r>
    </w:p>
    <w:p>
      <w:pPr>
        <w:autoSpaceDE w:val="0"/>
        <w:autoSpaceDN w:val="0"/>
        <w:adjustRightInd w:val="0"/>
        <w:spacing w:line="480" w:lineRule="exact"/>
        <w:jc w:val="left"/>
        <w:rPr>
          <w:rFonts w:ascii="宋体" w:hAnsi="宋体" w:cs="Times New Roman"/>
          <w:sz w:val="24"/>
          <w:szCs w:val="24"/>
        </w:rPr>
      </w:pPr>
      <w:r>
        <w:rPr>
          <w:rFonts w:hint="eastAsia" w:ascii="宋体" w:hAnsi="宋体" w:cs="Times New Roman"/>
          <w:sz w:val="24"/>
          <w:szCs w:val="24"/>
        </w:rPr>
        <w:t>2</w:t>
      </w:r>
      <w:r>
        <w:rPr>
          <w:rFonts w:ascii="宋体" w:hAnsi="宋体" w:cs="Times New Roman"/>
          <w:sz w:val="24"/>
          <w:szCs w:val="24"/>
        </w:rPr>
        <w:t>.1.3</w:t>
      </w:r>
      <w:r>
        <w:rPr>
          <w:rFonts w:hint="eastAsia" w:ascii="宋体" w:hAnsi="宋体" w:cs="Times New Roman"/>
          <w:sz w:val="24"/>
          <w:szCs w:val="24"/>
        </w:rPr>
        <w:t>、车架正向电泳项目会改变修补时喷漆方向，该项目需要根据正向电泳项目基本完成后进行施工；同时如正向电泳项目不予批复，该方案可通过调节阀实现集气罩吸气为主，地坑为辅。</w:t>
      </w:r>
    </w:p>
    <w:p>
      <w:pPr>
        <w:autoSpaceDE w:val="0"/>
        <w:autoSpaceDN w:val="0"/>
        <w:adjustRightInd w:val="0"/>
        <w:spacing w:line="480" w:lineRule="exact"/>
        <w:jc w:val="left"/>
        <w:rPr>
          <w:rFonts w:ascii="宋体" w:hAnsi="宋体" w:cs="Times New Roman"/>
          <w:sz w:val="24"/>
          <w:szCs w:val="24"/>
        </w:rPr>
      </w:pPr>
      <w:r>
        <w:rPr>
          <w:rFonts w:hint="eastAsia" w:ascii="宋体" w:hAnsi="宋体" w:cs="Times New Roman"/>
          <w:sz w:val="24"/>
          <w:szCs w:val="24"/>
        </w:rPr>
        <w:t>2</w:t>
      </w:r>
      <w:r>
        <w:rPr>
          <w:rFonts w:ascii="宋体" w:hAnsi="宋体" w:cs="Times New Roman"/>
          <w:sz w:val="24"/>
          <w:szCs w:val="24"/>
        </w:rPr>
        <w:t>.2</w:t>
      </w:r>
      <w:r>
        <w:rPr>
          <w:rFonts w:hint="eastAsia" w:ascii="宋体" w:hAnsi="宋体" w:cs="Times New Roman"/>
          <w:sz w:val="24"/>
          <w:szCs w:val="24"/>
        </w:rPr>
        <w:t>、</w:t>
      </w:r>
      <w:r>
        <w:rPr>
          <w:rFonts w:hint="eastAsia" w:ascii="宋体" w:hAnsi="宋体"/>
          <w:b/>
          <w:sz w:val="24"/>
          <w:szCs w:val="24"/>
        </w:rPr>
        <w:t>防滑板</w:t>
      </w:r>
    </w:p>
    <w:p>
      <w:pPr>
        <w:autoSpaceDE w:val="0"/>
        <w:autoSpaceDN w:val="0"/>
        <w:adjustRightInd w:val="0"/>
        <w:spacing w:line="480" w:lineRule="exact"/>
        <w:jc w:val="left"/>
        <w:rPr>
          <w:rFonts w:ascii="宋体" w:hAnsi="宋体" w:cs="Times New Roman"/>
          <w:sz w:val="24"/>
          <w:szCs w:val="24"/>
        </w:rPr>
      </w:pPr>
      <w:r>
        <w:rPr>
          <w:rFonts w:hint="eastAsia" w:ascii="宋体" w:hAnsi="宋体" w:cs="Times New Roman"/>
          <w:sz w:val="24"/>
          <w:szCs w:val="24"/>
        </w:rPr>
        <w:t>2</w:t>
      </w:r>
      <w:r>
        <w:rPr>
          <w:rFonts w:ascii="宋体" w:hAnsi="宋体" w:cs="Times New Roman"/>
          <w:sz w:val="24"/>
          <w:szCs w:val="24"/>
        </w:rPr>
        <w:t>.2.4</w:t>
      </w:r>
      <w:r>
        <w:rPr>
          <w:rFonts w:hint="eastAsia" w:ascii="宋体" w:hAnsi="宋体" w:cs="Times New Roman"/>
          <w:sz w:val="24"/>
          <w:szCs w:val="24"/>
        </w:rPr>
        <w:t>、电泳下线区域仍然有防护用板簧销、堵孔塞拆除工位、缺陷打磨工位，需要优化防滑板的功能。</w:t>
      </w:r>
    </w:p>
    <w:p>
      <w:pPr>
        <w:autoSpaceDE w:val="0"/>
        <w:autoSpaceDN w:val="0"/>
        <w:adjustRightInd w:val="0"/>
        <w:spacing w:line="480" w:lineRule="exact"/>
        <w:jc w:val="left"/>
        <w:rPr>
          <w:rFonts w:ascii="宋体" w:hAnsi="宋体" w:cs="Times New Roman"/>
          <w:sz w:val="24"/>
          <w:szCs w:val="24"/>
        </w:rPr>
      </w:pPr>
      <w:r>
        <w:rPr>
          <w:rFonts w:hint="eastAsia" w:ascii="宋体" w:hAnsi="宋体" w:cs="Times New Roman"/>
          <w:sz w:val="24"/>
          <w:szCs w:val="24"/>
        </w:rPr>
        <w:t>2</w:t>
      </w:r>
      <w:r>
        <w:rPr>
          <w:rFonts w:ascii="宋体" w:hAnsi="宋体" w:cs="Times New Roman"/>
          <w:sz w:val="24"/>
          <w:szCs w:val="24"/>
        </w:rPr>
        <w:t>.2.5</w:t>
      </w:r>
      <w:r>
        <w:rPr>
          <w:rFonts w:hint="eastAsia" w:ascii="宋体" w:hAnsi="宋体" w:cs="Times New Roman"/>
          <w:sz w:val="24"/>
          <w:szCs w:val="24"/>
        </w:rPr>
        <w:t>、采用镀锌角钢做多个框架，框架和地面固定。框架内插入木板，利用螺丝把木板固定，方便后期的拆卸和更换。</w:t>
      </w:r>
    </w:p>
    <w:p>
      <w:pPr>
        <w:autoSpaceDE w:val="0"/>
        <w:autoSpaceDN w:val="0"/>
        <w:adjustRightInd w:val="0"/>
        <w:spacing w:line="480" w:lineRule="exact"/>
        <w:jc w:val="left"/>
        <w:rPr>
          <w:rFonts w:ascii="宋体" w:hAnsi="宋体" w:cs="Times New Roman"/>
          <w:sz w:val="24"/>
          <w:szCs w:val="24"/>
        </w:rPr>
      </w:pPr>
      <w:r>
        <w:rPr>
          <w:rFonts w:hint="eastAsia" w:ascii="宋体" w:hAnsi="宋体" w:cs="Times New Roman"/>
          <w:sz w:val="24"/>
          <w:szCs w:val="24"/>
        </w:rPr>
        <w:t>2</w:t>
      </w:r>
      <w:r>
        <w:rPr>
          <w:rFonts w:ascii="宋体" w:hAnsi="宋体" w:cs="Times New Roman"/>
          <w:sz w:val="24"/>
          <w:szCs w:val="24"/>
        </w:rPr>
        <w:t>.2.6</w:t>
      </w:r>
      <w:r>
        <w:rPr>
          <w:rFonts w:hint="eastAsia" w:ascii="宋体" w:hAnsi="宋体" w:cs="Times New Roman"/>
          <w:sz w:val="24"/>
          <w:szCs w:val="24"/>
        </w:rPr>
        <w:t>、在下线区域西侧中心位置</w:t>
      </w:r>
      <w:r>
        <w:rPr>
          <w:rFonts w:ascii="宋体" w:hAnsi="宋体" w:cs="Times New Roman"/>
          <w:sz w:val="24"/>
          <w:szCs w:val="24"/>
        </w:rPr>
        <w:t>2m×2m区域设置可拆卸框架。当悬链故障时，快速拆卸框架、木板，方便叉车进入应急进行车架下线。</w:t>
      </w:r>
    </w:p>
    <w:p>
      <w:pPr>
        <w:autoSpaceDE w:val="0"/>
        <w:autoSpaceDN w:val="0"/>
        <w:adjustRightInd w:val="0"/>
        <w:spacing w:line="480" w:lineRule="exact"/>
        <w:jc w:val="left"/>
        <w:rPr>
          <w:rFonts w:ascii="宋体" w:hAnsi="宋体" w:cs="Times New Roman"/>
          <w:sz w:val="24"/>
          <w:szCs w:val="24"/>
        </w:rPr>
      </w:pPr>
      <w:r>
        <w:rPr>
          <w:rFonts w:ascii="宋体" w:hAnsi="宋体" w:cs="Times New Roman"/>
          <w:sz w:val="24"/>
          <w:szCs w:val="24"/>
        </w:rPr>
        <w:t>2.</w:t>
      </w:r>
      <w:r>
        <w:rPr>
          <w:rFonts w:hint="eastAsia" w:ascii="宋体" w:hAnsi="宋体" w:cs="Times New Roman"/>
          <w:sz w:val="24"/>
          <w:szCs w:val="24"/>
        </w:rPr>
        <w:t>3、</w:t>
      </w:r>
      <w:r>
        <w:rPr>
          <w:rFonts w:hint="eastAsia" w:ascii="宋体" w:hAnsi="宋体"/>
          <w:b/>
          <w:sz w:val="24"/>
          <w:szCs w:val="24"/>
        </w:rPr>
        <w:t>程序要求</w:t>
      </w:r>
    </w:p>
    <w:p>
      <w:pPr>
        <w:autoSpaceDE w:val="0"/>
        <w:autoSpaceDN w:val="0"/>
        <w:adjustRightInd w:val="0"/>
        <w:spacing w:line="480" w:lineRule="exact"/>
        <w:jc w:val="left"/>
        <w:rPr>
          <w:rFonts w:ascii="宋体" w:hAnsi="宋体" w:cs="Times New Roman"/>
          <w:sz w:val="24"/>
          <w:szCs w:val="24"/>
        </w:rPr>
      </w:pPr>
      <w:r>
        <w:rPr>
          <w:rFonts w:ascii="宋体" w:hAnsi="宋体" w:cs="Times New Roman"/>
          <w:sz w:val="24"/>
          <w:szCs w:val="24"/>
        </w:rPr>
        <w:t>2.3.1</w:t>
      </w:r>
      <w:r>
        <w:rPr>
          <w:rFonts w:hint="eastAsia" w:ascii="宋体" w:hAnsi="宋体" w:cs="Times New Roman"/>
          <w:sz w:val="24"/>
          <w:szCs w:val="24"/>
        </w:rPr>
        <w:t>、</w:t>
      </w:r>
      <w:r>
        <w:rPr>
          <w:rFonts w:ascii="宋体" w:hAnsi="宋体" w:cs="Times New Roman"/>
          <w:sz w:val="24"/>
          <w:szCs w:val="24"/>
        </w:rPr>
        <w:t xml:space="preserve"> 供方必须提供所有设备程序的源代码，包括但不限于 PLC</w:t>
      </w:r>
      <w:r>
        <w:rPr>
          <w:rFonts w:hint="eastAsia" w:ascii="宋体" w:hAnsi="宋体" w:cs="Times New Roman"/>
          <w:sz w:val="24"/>
          <w:szCs w:val="24"/>
        </w:rPr>
        <w:t>程序、</w:t>
      </w:r>
      <w:r>
        <w:rPr>
          <w:rFonts w:ascii="宋体" w:hAnsi="宋体" w:cs="Times New Roman"/>
          <w:sz w:val="24"/>
          <w:szCs w:val="24"/>
        </w:rPr>
        <w:t>HMI 程序、机器人程序、视觉程序、伺服等。</w:t>
      </w:r>
    </w:p>
    <w:p>
      <w:pPr>
        <w:autoSpaceDE w:val="0"/>
        <w:autoSpaceDN w:val="0"/>
        <w:adjustRightInd w:val="0"/>
        <w:spacing w:line="480" w:lineRule="exact"/>
        <w:jc w:val="left"/>
        <w:rPr>
          <w:rFonts w:ascii="宋体" w:hAnsi="宋体" w:cs="Times New Roman"/>
          <w:sz w:val="24"/>
          <w:szCs w:val="24"/>
        </w:rPr>
      </w:pPr>
      <w:r>
        <w:rPr>
          <w:rFonts w:ascii="宋体" w:hAnsi="宋体" w:cs="Times New Roman"/>
          <w:sz w:val="24"/>
          <w:szCs w:val="24"/>
        </w:rPr>
        <w:t>2.3.2</w:t>
      </w:r>
      <w:r>
        <w:rPr>
          <w:rFonts w:hint="eastAsia" w:ascii="宋体" w:hAnsi="宋体" w:cs="Times New Roman"/>
          <w:sz w:val="24"/>
          <w:szCs w:val="24"/>
        </w:rPr>
        <w:t>、</w:t>
      </w:r>
      <w:r>
        <w:rPr>
          <w:rFonts w:ascii="宋体" w:hAnsi="宋体" w:cs="Times New Roman"/>
          <w:sz w:val="24"/>
          <w:szCs w:val="24"/>
        </w:rPr>
        <w:t>供方所提供的程序不得设置任何密码、保护等限制手段，PLC 不得设置修改下载权限，功能块不得设置密码保护。</w:t>
      </w:r>
    </w:p>
    <w:p>
      <w:pPr>
        <w:autoSpaceDE w:val="0"/>
        <w:autoSpaceDN w:val="0"/>
        <w:adjustRightInd w:val="0"/>
        <w:spacing w:line="480" w:lineRule="exact"/>
        <w:jc w:val="left"/>
        <w:rPr>
          <w:rFonts w:ascii="宋体" w:hAnsi="宋体" w:cs="Times New Roman"/>
          <w:sz w:val="24"/>
          <w:szCs w:val="24"/>
        </w:rPr>
      </w:pPr>
      <w:r>
        <w:rPr>
          <w:rFonts w:ascii="宋体" w:hAnsi="宋体" w:cs="Times New Roman"/>
          <w:sz w:val="24"/>
          <w:szCs w:val="24"/>
        </w:rPr>
        <w:t>2.3.3</w:t>
      </w:r>
      <w:r>
        <w:rPr>
          <w:rFonts w:hint="eastAsia" w:ascii="宋体" w:hAnsi="宋体" w:cs="Times New Roman"/>
          <w:sz w:val="24"/>
          <w:szCs w:val="24"/>
        </w:rPr>
        <w:t>、</w:t>
      </w:r>
      <w:r>
        <w:rPr>
          <w:rFonts w:ascii="宋体" w:hAnsi="宋体" w:cs="Times New Roman"/>
          <w:sz w:val="24"/>
          <w:szCs w:val="24"/>
        </w:rPr>
        <w:t xml:space="preserve"> HMI 界面等需要密码保护的程序，供方必须提供所有级别</w:t>
      </w:r>
      <w:r>
        <w:rPr>
          <w:rFonts w:hint="eastAsia" w:ascii="宋体" w:hAnsi="宋体" w:cs="Times New Roman"/>
          <w:sz w:val="24"/>
          <w:szCs w:val="24"/>
        </w:rPr>
        <w:t>的用户名、密码。</w:t>
      </w:r>
    </w:p>
    <w:p>
      <w:pPr>
        <w:autoSpaceDE w:val="0"/>
        <w:autoSpaceDN w:val="0"/>
        <w:adjustRightInd w:val="0"/>
        <w:spacing w:line="480" w:lineRule="exact"/>
        <w:jc w:val="left"/>
        <w:rPr>
          <w:rFonts w:ascii="宋体" w:hAnsi="宋体" w:cs="Times New Roman"/>
          <w:sz w:val="24"/>
          <w:szCs w:val="24"/>
        </w:rPr>
      </w:pPr>
      <w:r>
        <w:rPr>
          <w:rFonts w:ascii="宋体" w:hAnsi="宋体" w:cs="Times New Roman"/>
          <w:sz w:val="24"/>
          <w:szCs w:val="24"/>
        </w:rPr>
        <w:t>2.3.4</w:t>
      </w:r>
      <w:r>
        <w:rPr>
          <w:rFonts w:hint="eastAsia" w:ascii="宋体" w:hAnsi="宋体" w:cs="Times New Roman"/>
          <w:sz w:val="24"/>
          <w:szCs w:val="24"/>
        </w:rPr>
        <w:t>、</w:t>
      </w:r>
      <w:r>
        <w:rPr>
          <w:rFonts w:ascii="宋体" w:hAnsi="宋体" w:cs="Times New Roman"/>
          <w:sz w:val="24"/>
          <w:szCs w:val="24"/>
        </w:rPr>
        <w:t>供方需在设备入场前提供设备程序源码，HMI 界面各级用</w:t>
      </w:r>
      <w:r>
        <w:rPr>
          <w:rFonts w:hint="eastAsia" w:ascii="宋体" w:hAnsi="宋体" w:cs="Times New Roman"/>
          <w:sz w:val="24"/>
          <w:szCs w:val="24"/>
        </w:rPr>
        <w:t>户名和密码，并保证与现场程序一致。</w:t>
      </w:r>
    </w:p>
    <w:p>
      <w:pPr>
        <w:autoSpaceDE w:val="0"/>
        <w:autoSpaceDN w:val="0"/>
        <w:adjustRightInd w:val="0"/>
        <w:spacing w:line="480" w:lineRule="exact"/>
        <w:jc w:val="left"/>
        <w:rPr>
          <w:rFonts w:ascii="宋体" w:hAnsi="宋体" w:cs="Times New Roman"/>
          <w:sz w:val="24"/>
          <w:szCs w:val="24"/>
        </w:rPr>
      </w:pPr>
      <w:r>
        <w:rPr>
          <w:rFonts w:ascii="宋体" w:hAnsi="宋体" w:cs="Times New Roman"/>
          <w:sz w:val="24"/>
          <w:szCs w:val="24"/>
        </w:rPr>
        <w:t>2.3.5</w:t>
      </w:r>
      <w:r>
        <w:rPr>
          <w:rFonts w:hint="eastAsia" w:ascii="宋体" w:hAnsi="宋体" w:cs="Times New Roman"/>
          <w:sz w:val="24"/>
          <w:szCs w:val="24"/>
        </w:rPr>
        <w:t>、</w:t>
      </w:r>
      <w:r>
        <w:rPr>
          <w:rFonts w:ascii="宋体" w:hAnsi="宋体" w:cs="Times New Roman"/>
          <w:sz w:val="24"/>
          <w:szCs w:val="24"/>
        </w:rPr>
        <w:t xml:space="preserve"> 供方需在终验收前提供最新的设备程序源码和电气图纸，</w:t>
      </w:r>
      <w:r>
        <w:rPr>
          <w:rFonts w:hint="eastAsia" w:ascii="宋体" w:hAnsi="宋体" w:cs="Times New Roman"/>
          <w:sz w:val="24"/>
          <w:szCs w:val="24"/>
        </w:rPr>
        <w:t>图纸要求为可编辑原格式（</w:t>
      </w:r>
      <w:r>
        <w:rPr>
          <w:rFonts w:ascii="宋体" w:hAnsi="宋体" w:cs="Times New Roman"/>
          <w:sz w:val="24"/>
          <w:szCs w:val="24"/>
        </w:rPr>
        <w:t>EPLAN、CAD 格式）且与实际接线一致。</w:t>
      </w:r>
    </w:p>
    <w:p>
      <w:pPr>
        <w:autoSpaceDE w:val="0"/>
        <w:autoSpaceDN w:val="0"/>
        <w:adjustRightInd w:val="0"/>
        <w:spacing w:line="480" w:lineRule="exact"/>
        <w:jc w:val="left"/>
        <w:rPr>
          <w:rFonts w:ascii="宋体" w:hAnsi="宋体" w:cs="Times New Roman"/>
          <w:sz w:val="24"/>
          <w:szCs w:val="24"/>
        </w:rPr>
      </w:pPr>
      <w:r>
        <w:rPr>
          <w:rFonts w:ascii="宋体" w:hAnsi="宋体" w:cs="Times New Roman"/>
          <w:sz w:val="24"/>
          <w:szCs w:val="24"/>
        </w:rPr>
        <w:t>2.3.6</w:t>
      </w:r>
      <w:r>
        <w:rPr>
          <w:rFonts w:hint="eastAsia" w:ascii="宋体" w:hAnsi="宋体" w:cs="Times New Roman"/>
          <w:sz w:val="24"/>
          <w:szCs w:val="24"/>
        </w:rPr>
        <w:t>、</w:t>
      </w:r>
      <w:r>
        <w:rPr>
          <w:rFonts w:ascii="宋体" w:hAnsi="宋体" w:cs="Times New Roman"/>
          <w:sz w:val="24"/>
          <w:szCs w:val="24"/>
        </w:rPr>
        <w:t xml:space="preserve"> 供方免费开放所有通讯接口，包括但不限于以太网、RS232、RS485、PROFIBUS、PROFINET、MODBUS 等常见接口，以及</w:t>
      </w:r>
      <w:r>
        <w:rPr>
          <w:rFonts w:hint="eastAsia" w:ascii="宋体" w:hAnsi="宋体" w:cs="Times New Roman"/>
          <w:sz w:val="24"/>
          <w:szCs w:val="24"/>
        </w:rPr>
        <w:t>设备特有的专用接口。</w:t>
      </w:r>
    </w:p>
    <w:p>
      <w:pPr>
        <w:autoSpaceDE w:val="0"/>
        <w:autoSpaceDN w:val="0"/>
        <w:adjustRightInd w:val="0"/>
        <w:spacing w:line="480" w:lineRule="exact"/>
        <w:jc w:val="left"/>
        <w:rPr>
          <w:rFonts w:ascii="宋体" w:hAnsi="宋体" w:cs="Times New Roman"/>
          <w:sz w:val="24"/>
          <w:szCs w:val="24"/>
        </w:rPr>
      </w:pPr>
      <w:r>
        <w:rPr>
          <w:rFonts w:ascii="宋体" w:hAnsi="宋体" w:cs="Times New Roman"/>
          <w:sz w:val="24"/>
          <w:szCs w:val="24"/>
        </w:rPr>
        <w:t>2.3.7</w:t>
      </w:r>
      <w:r>
        <w:rPr>
          <w:rFonts w:hint="eastAsia" w:ascii="宋体" w:hAnsi="宋体" w:cs="Times New Roman"/>
          <w:sz w:val="24"/>
          <w:szCs w:val="24"/>
        </w:rPr>
        <w:t>、</w:t>
      </w:r>
      <w:r>
        <w:rPr>
          <w:rFonts w:ascii="宋体" w:hAnsi="宋体" w:cs="Times New Roman"/>
          <w:sz w:val="24"/>
          <w:szCs w:val="24"/>
        </w:rPr>
        <w:t xml:space="preserve"> 供方免费提供数据交互功能，交互数据包括但不限于实时</w:t>
      </w:r>
      <w:r>
        <w:rPr>
          <w:rFonts w:hint="eastAsia" w:ascii="宋体" w:hAnsi="宋体" w:cs="Times New Roman"/>
          <w:sz w:val="24"/>
          <w:szCs w:val="24"/>
        </w:rPr>
        <w:t>数据、历史数据、报警信息等。</w:t>
      </w:r>
    </w:p>
    <w:p>
      <w:pPr>
        <w:autoSpaceDE w:val="0"/>
        <w:autoSpaceDN w:val="0"/>
        <w:adjustRightInd w:val="0"/>
        <w:spacing w:line="480" w:lineRule="exact"/>
        <w:jc w:val="left"/>
        <w:rPr>
          <w:rFonts w:ascii="宋体" w:hAnsi="宋体" w:cs="Times New Roman"/>
          <w:sz w:val="24"/>
          <w:szCs w:val="24"/>
        </w:rPr>
      </w:pPr>
      <w:r>
        <w:rPr>
          <w:rFonts w:ascii="宋体" w:hAnsi="宋体" w:cs="Times New Roman"/>
          <w:sz w:val="24"/>
          <w:szCs w:val="24"/>
        </w:rPr>
        <w:t>2.3.8</w:t>
      </w:r>
      <w:r>
        <w:rPr>
          <w:rFonts w:hint="eastAsia" w:ascii="宋体" w:hAnsi="宋体" w:cs="Times New Roman"/>
          <w:sz w:val="24"/>
          <w:szCs w:val="24"/>
        </w:rPr>
        <w:t>、</w:t>
      </w:r>
      <w:r>
        <w:rPr>
          <w:rFonts w:ascii="宋体" w:hAnsi="宋体" w:cs="Times New Roman"/>
          <w:sz w:val="24"/>
          <w:szCs w:val="24"/>
        </w:rPr>
        <w:t>供方在设备入场前提供接口的技术文档和参数说明，包括</w:t>
      </w:r>
      <w:r>
        <w:rPr>
          <w:rFonts w:hint="eastAsia" w:ascii="宋体" w:hAnsi="宋体" w:cs="Times New Roman"/>
          <w:sz w:val="24"/>
          <w:szCs w:val="24"/>
        </w:rPr>
        <w:t>但不限于接口协议、通讯速率、数据格式等。</w:t>
      </w:r>
    </w:p>
    <w:p>
      <w:pPr>
        <w:autoSpaceDE w:val="0"/>
        <w:autoSpaceDN w:val="0"/>
        <w:adjustRightInd w:val="0"/>
        <w:spacing w:line="480" w:lineRule="exact"/>
        <w:jc w:val="left"/>
        <w:rPr>
          <w:rFonts w:ascii="宋体" w:hAnsi="宋体" w:cs="Times New Roman"/>
          <w:sz w:val="24"/>
          <w:szCs w:val="24"/>
        </w:rPr>
      </w:pPr>
      <w:r>
        <w:rPr>
          <w:rFonts w:ascii="宋体" w:hAnsi="宋体" w:cs="Times New Roman"/>
          <w:sz w:val="24"/>
          <w:szCs w:val="24"/>
        </w:rPr>
        <w:t>2.3.9</w:t>
      </w:r>
      <w:r>
        <w:rPr>
          <w:rFonts w:hint="eastAsia" w:ascii="宋体" w:hAnsi="宋体" w:cs="Times New Roman"/>
          <w:sz w:val="24"/>
          <w:szCs w:val="24"/>
        </w:rPr>
        <w:t>、</w:t>
      </w:r>
      <w:r>
        <w:rPr>
          <w:rFonts w:ascii="宋体" w:hAnsi="宋体" w:cs="Times New Roman"/>
          <w:sz w:val="24"/>
          <w:szCs w:val="24"/>
        </w:rPr>
        <w:t>设备使用周期内，供方免费派遣技术人员与甲方调试团队</w:t>
      </w:r>
      <w:r>
        <w:rPr>
          <w:rFonts w:hint="eastAsia" w:ascii="宋体" w:hAnsi="宋体" w:cs="Times New Roman"/>
          <w:sz w:val="24"/>
          <w:szCs w:val="24"/>
        </w:rPr>
        <w:t>共同进行设备通讯接口的调试工作。</w:t>
      </w:r>
    </w:p>
    <w:p>
      <w:pPr>
        <w:autoSpaceDE w:val="0"/>
        <w:autoSpaceDN w:val="0"/>
        <w:adjustRightInd w:val="0"/>
        <w:spacing w:line="480" w:lineRule="exact"/>
        <w:jc w:val="left"/>
        <w:rPr>
          <w:rFonts w:ascii="宋体" w:hAnsi="宋体"/>
          <w:b/>
          <w:sz w:val="24"/>
          <w:szCs w:val="24"/>
        </w:rPr>
      </w:pPr>
      <w:r>
        <w:rPr>
          <w:rFonts w:hint="eastAsia" w:ascii="宋体" w:hAnsi="宋体" w:cs="Times New Roman"/>
          <w:sz w:val="24"/>
          <w:szCs w:val="24"/>
        </w:rPr>
        <w:t>2</w:t>
      </w:r>
      <w:r>
        <w:rPr>
          <w:rFonts w:ascii="宋体" w:hAnsi="宋体" w:cs="Times New Roman"/>
          <w:sz w:val="24"/>
          <w:szCs w:val="24"/>
        </w:rPr>
        <w:t>.4</w:t>
      </w:r>
      <w:r>
        <w:rPr>
          <w:rFonts w:hint="eastAsia" w:ascii="宋体" w:hAnsi="宋体"/>
          <w:b/>
          <w:sz w:val="24"/>
          <w:szCs w:val="24"/>
        </w:rPr>
        <w:t>、主要设备单元</w:t>
      </w:r>
    </w:p>
    <w:p>
      <w:pPr>
        <w:autoSpaceDE w:val="0"/>
        <w:autoSpaceDN w:val="0"/>
        <w:adjustRightInd w:val="0"/>
        <w:spacing w:line="480" w:lineRule="exact"/>
        <w:jc w:val="left"/>
        <w:rPr>
          <w:rFonts w:ascii="宋体" w:hAnsi="宋体" w:cs="Times New Roman"/>
          <w:sz w:val="24"/>
          <w:szCs w:val="24"/>
        </w:rPr>
      </w:pPr>
      <w:r>
        <w:rPr>
          <w:rFonts w:hint="eastAsia" w:ascii="宋体" w:hAnsi="宋体" w:cs="Times New Roman"/>
          <w:sz w:val="24"/>
          <w:szCs w:val="24"/>
        </w:rPr>
        <w:t>2</w:t>
      </w:r>
      <w:r>
        <w:rPr>
          <w:rFonts w:ascii="宋体" w:hAnsi="宋体" w:cs="Times New Roman"/>
          <w:sz w:val="24"/>
          <w:szCs w:val="24"/>
        </w:rPr>
        <w:t>.4.1</w:t>
      </w:r>
      <w:r>
        <w:rPr>
          <w:rFonts w:hint="eastAsia" w:ascii="宋体" w:hAnsi="宋体" w:cs="Times New Roman"/>
          <w:sz w:val="24"/>
          <w:szCs w:val="24"/>
        </w:rPr>
        <w:t>、设备风机采用防火花结构设计，叶轮及外壳之间包裹有色金属，强化风机、燃烧炉的安全性。</w:t>
      </w:r>
    </w:p>
    <w:p>
      <w:pPr>
        <w:autoSpaceDE w:val="0"/>
        <w:autoSpaceDN w:val="0"/>
        <w:adjustRightInd w:val="0"/>
        <w:spacing w:line="480" w:lineRule="exact"/>
        <w:jc w:val="left"/>
        <w:rPr>
          <w:rFonts w:ascii="宋体" w:hAnsi="宋体" w:cs="Times New Roman"/>
          <w:sz w:val="24"/>
          <w:szCs w:val="24"/>
        </w:rPr>
      </w:pPr>
      <w:r>
        <w:rPr>
          <w:rFonts w:hint="eastAsia" w:ascii="宋体" w:hAnsi="宋体" w:cs="Times New Roman"/>
          <w:sz w:val="24"/>
          <w:szCs w:val="24"/>
        </w:rPr>
        <w:t>风机采用变频器控制，系统在运行过程中，可随着风量的变化，根据风机前管道压力变化自动或手动调整风机频率，调整风机风量，节能降耗，并确保用户范围生产线的稳定。</w:t>
      </w:r>
    </w:p>
    <w:p>
      <w:pPr>
        <w:autoSpaceDE w:val="0"/>
        <w:autoSpaceDN w:val="0"/>
        <w:adjustRightInd w:val="0"/>
        <w:spacing w:line="480" w:lineRule="exact"/>
        <w:jc w:val="left"/>
        <w:rPr>
          <w:rFonts w:ascii="宋体" w:hAnsi="宋体" w:cs="Times New Roman"/>
          <w:sz w:val="24"/>
          <w:szCs w:val="24"/>
        </w:rPr>
      </w:pPr>
      <w:r>
        <w:rPr>
          <w:rFonts w:ascii="宋体" w:hAnsi="宋体" w:cs="Times New Roman"/>
          <w:sz w:val="24"/>
          <w:szCs w:val="24"/>
        </w:rPr>
        <w:t>2.4.2</w:t>
      </w:r>
      <w:r>
        <w:rPr>
          <w:rFonts w:hint="eastAsia" w:ascii="宋体" w:hAnsi="宋体" w:cs="Times New Roman"/>
          <w:sz w:val="24"/>
          <w:szCs w:val="24"/>
        </w:rPr>
        <w:t>、阀门采用气动蝶阀、挡板阀及电动蝶阀，气动执行器选用单作用执行器，断电断气情况下自动复位关闭，保证系统的安全性。</w:t>
      </w:r>
    </w:p>
    <w:p>
      <w:pPr>
        <w:autoSpaceDE w:val="0"/>
        <w:autoSpaceDN w:val="0"/>
        <w:adjustRightInd w:val="0"/>
        <w:spacing w:line="480" w:lineRule="exact"/>
        <w:jc w:val="left"/>
        <w:rPr>
          <w:rFonts w:ascii="宋体" w:hAnsi="宋体" w:cs="Times New Roman"/>
          <w:sz w:val="24"/>
          <w:szCs w:val="24"/>
        </w:rPr>
      </w:pPr>
      <w:r>
        <w:rPr>
          <w:rFonts w:hint="eastAsia" w:ascii="宋体" w:hAnsi="宋体" w:cs="Times New Roman"/>
          <w:sz w:val="24"/>
          <w:szCs w:val="24"/>
        </w:rPr>
        <w:t>2</w:t>
      </w:r>
      <w:r>
        <w:rPr>
          <w:rFonts w:ascii="宋体" w:hAnsi="宋体" w:cs="Times New Roman"/>
          <w:sz w:val="24"/>
          <w:szCs w:val="24"/>
        </w:rPr>
        <w:t>.4.3</w:t>
      </w:r>
      <w:r>
        <w:rPr>
          <w:rFonts w:hint="eastAsia" w:ascii="宋体" w:hAnsi="宋体" w:cs="Times New Roman"/>
          <w:sz w:val="24"/>
          <w:szCs w:val="24"/>
        </w:rPr>
        <w:t>、废气处理设置控制系统采用手动旋钮系统，参数显示、报警显示、自动连锁保护、接收数据软件、数据显示、数据传输、数据储存等功能，并设有紧急停车功能。数据通讯接口预留有</w:t>
      </w:r>
      <w:r>
        <w:rPr>
          <w:rFonts w:ascii="宋体" w:hAnsi="宋体" w:cs="Times New Roman"/>
          <w:sz w:val="24"/>
          <w:szCs w:val="24"/>
        </w:rPr>
        <w:t>20%余量。</w:t>
      </w:r>
    </w:p>
    <w:p>
      <w:pPr>
        <w:autoSpaceDE w:val="0"/>
        <w:autoSpaceDN w:val="0"/>
        <w:adjustRightInd w:val="0"/>
        <w:spacing w:line="480" w:lineRule="exact"/>
        <w:jc w:val="left"/>
        <w:rPr>
          <w:rFonts w:ascii="宋体" w:hAnsi="宋体" w:cs="Times New Roman"/>
          <w:sz w:val="24"/>
          <w:szCs w:val="24"/>
        </w:rPr>
      </w:pPr>
      <w:r>
        <w:rPr>
          <w:rFonts w:hint="eastAsia" w:ascii="宋体" w:hAnsi="宋体" w:cs="Times New Roman"/>
          <w:sz w:val="24"/>
          <w:szCs w:val="24"/>
        </w:rPr>
        <w:t>2</w:t>
      </w:r>
      <w:r>
        <w:rPr>
          <w:rFonts w:ascii="宋体" w:hAnsi="宋体" w:cs="Times New Roman"/>
          <w:sz w:val="24"/>
          <w:szCs w:val="24"/>
        </w:rPr>
        <w:t>.4.4</w:t>
      </w:r>
      <w:r>
        <w:rPr>
          <w:rFonts w:hint="eastAsia" w:ascii="宋体" w:hAnsi="宋体" w:cs="Times New Roman"/>
          <w:sz w:val="24"/>
          <w:szCs w:val="24"/>
        </w:rPr>
        <w:t>、各控制柜设置单独操作的运转</w:t>
      </w:r>
      <w:r>
        <w:rPr>
          <w:rFonts w:ascii="宋体" w:hAnsi="宋体" w:cs="Times New Roman"/>
          <w:sz w:val="24"/>
          <w:szCs w:val="24"/>
        </w:rPr>
        <w:t>/停止控制。</w:t>
      </w:r>
    </w:p>
    <w:p>
      <w:pPr>
        <w:autoSpaceDE w:val="0"/>
        <w:autoSpaceDN w:val="0"/>
        <w:adjustRightInd w:val="0"/>
        <w:spacing w:line="480" w:lineRule="exact"/>
        <w:jc w:val="left"/>
        <w:rPr>
          <w:rFonts w:ascii="宋体" w:hAnsi="宋体" w:cs="Times New Roman"/>
          <w:sz w:val="24"/>
          <w:szCs w:val="24"/>
        </w:rPr>
      </w:pPr>
      <w:r>
        <w:rPr>
          <w:rFonts w:hint="eastAsia" w:ascii="宋体" w:hAnsi="宋体" w:cs="Times New Roman"/>
          <w:sz w:val="24"/>
          <w:szCs w:val="24"/>
        </w:rPr>
        <w:t>设置相应设备运转状态的指示灯。</w:t>
      </w:r>
    </w:p>
    <w:p>
      <w:pPr>
        <w:autoSpaceDE w:val="0"/>
        <w:autoSpaceDN w:val="0"/>
        <w:adjustRightInd w:val="0"/>
        <w:spacing w:line="480" w:lineRule="exact"/>
        <w:jc w:val="left"/>
        <w:rPr>
          <w:rFonts w:ascii="宋体" w:hAnsi="宋体" w:cs="Times New Roman"/>
          <w:sz w:val="24"/>
          <w:szCs w:val="24"/>
        </w:rPr>
      </w:pPr>
      <w:r>
        <w:rPr>
          <w:rFonts w:hint="eastAsia" w:ascii="宋体" w:hAnsi="宋体" w:cs="Times New Roman"/>
          <w:sz w:val="24"/>
          <w:szCs w:val="24"/>
        </w:rPr>
        <w:t>各控制柜独立安装用电表，且中控柜上可查看各柜用电情况。（数据能够传输到中控室系统）</w:t>
      </w:r>
    </w:p>
    <w:p>
      <w:pPr>
        <w:autoSpaceDE w:val="0"/>
        <w:autoSpaceDN w:val="0"/>
        <w:adjustRightInd w:val="0"/>
        <w:spacing w:line="480" w:lineRule="exact"/>
        <w:jc w:val="left"/>
        <w:rPr>
          <w:rFonts w:ascii="宋体" w:hAnsi="宋体" w:cs="Times New Roman"/>
          <w:sz w:val="24"/>
          <w:szCs w:val="24"/>
        </w:rPr>
      </w:pPr>
      <w:r>
        <w:rPr>
          <w:rFonts w:hint="eastAsia" w:ascii="宋体" w:hAnsi="宋体" w:cs="Times New Roman"/>
          <w:sz w:val="24"/>
          <w:szCs w:val="24"/>
        </w:rPr>
        <w:t>各设备控制柜不能放置在有泄漏风险设备的正下方。</w:t>
      </w:r>
      <w:r>
        <w:rPr>
          <w:rFonts w:ascii="宋体" w:hAnsi="宋体" w:cs="Times New Roman"/>
          <w:sz w:val="24"/>
          <w:szCs w:val="24"/>
        </w:rPr>
        <w:t xml:space="preserve">    </w:t>
      </w:r>
    </w:p>
    <w:p>
      <w:pPr>
        <w:autoSpaceDE w:val="0"/>
        <w:autoSpaceDN w:val="0"/>
        <w:adjustRightInd w:val="0"/>
        <w:spacing w:line="480" w:lineRule="exact"/>
        <w:jc w:val="left"/>
        <w:rPr>
          <w:rFonts w:ascii="宋体" w:hAnsi="宋体" w:cs="Times New Roman"/>
          <w:sz w:val="24"/>
          <w:szCs w:val="24"/>
        </w:rPr>
      </w:pPr>
      <w:r>
        <w:rPr>
          <w:rFonts w:hint="eastAsia" w:ascii="宋体" w:hAnsi="宋体" w:cs="Times New Roman"/>
          <w:sz w:val="24"/>
          <w:szCs w:val="24"/>
        </w:rPr>
        <w:t>控制柜带相关温度、电压、电流等数据信息能显示、存储及读取。</w:t>
      </w:r>
      <w:r>
        <w:rPr>
          <w:rFonts w:ascii="宋体" w:hAnsi="宋体" w:cs="Times New Roman"/>
          <w:sz w:val="24"/>
          <w:szCs w:val="24"/>
        </w:rPr>
        <w:t xml:space="preserve"> </w:t>
      </w:r>
    </w:p>
    <w:p>
      <w:pPr>
        <w:autoSpaceDE w:val="0"/>
        <w:autoSpaceDN w:val="0"/>
        <w:adjustRightInd w:val="0"/>
        <w:spacing w:line="480" w:lineRule="exact"/>
        <w:jc w:val="left"/>
        <w:rPr>
          <w:rFonts w:ascii="宋体" w:hAnsi="宋体" w:cs="Times New Roman"/>
          <w:sz w:val="24"/>
          <w:szCs w:val="24"/>
        </w:rPr>
      </w:pPr>
      <w:r>
        <w:rPr>
          <w:rFonts w:hint="eastAsia" w:ascii="宋体" w:hAnsi="宋体" w:cs="Times New Roman"/>
          <w:sz w:val="24"/>
          <w:szCs w:val="24"/>
        </w:rPr>
        <w:t>控制柜内若有大功率的部件，应单独设置分柜及空调。</w:t>
      </w:r>
    </w:p>
    <w:p>
      <w:pPr>
        <w:autoSpaceDE w:val="0"/>
        <w:autoSpaceDN w:val="0"/>
        <w:adjustRightInd w:val="0"/>
        <w:spacing w:line="480" w:lineRule="exact"/>
        <w:jc w:val="left"/>
        <w:rPr>
          <w:rFonts w:ascii="宋体" w:hAnsi="宋体" w:cs="Times New Roman"/>
          <w:sz w:val="24"/>
          <w:szCs w:val="24"/>
        </w:rPr>
      </w:pPr>
      <w:r>
        <w:rPr>
          <w:rFonts w:hint="eastAsia" w:ascii="宋体" w:hAnsi="宋体" w:cs="Times New Roman"/>
          <w:sz w:val="24"/>
          <w:szCs w:val="24"/>
        </w:rPr>
        <w:t>2</w:t>
      </w:r>
      <w:r>
        <w:rPr>
          <w:rFonts w:ascii="宋体" w:hAnsi="宋体" w:cs="Times New Roman"/>
          <w:sz w:val="24"/>
          <w:szCs w:val="24"/>
        </w:rPr>
        <w:t>.4.5</w:t>
      </w:r>
      <w:r>
        <w:rPr>
          <w:rFonts w:hint="eastAsia" w:ascii="宋体" w:hAnsi="宋体" w:cs="Times New Roman"/>
          <w:sz w:val="24"/>
          <w:szCs w:val="24"/>
        </w:rPr>
        <w:t>、</w:t>
      </w:r>
      <w:r>
        <w:rPr>
          <w:rFonts w:ascii="宋体" w:hAnsi="宋体" w:cs="Times New Roman"/>
          <w:sz w:val="24"/>
          <w:szCs w:val="24"/>
        </w:rPr>
        <w:t>设计时充分考虑控制的安全及可靠性，室外的电器进行漏电保护。</w:t>
      </w:r>
    </w:p>
    <w:p>
      <w:pPr>
        <w:autoSpaceDE w:val="0"/>
        <w:autoSpaceDN w:val="0"/>
        <w:adjustRightInd w:val="0"/>
        <w:spacing w:line="480" w:lineRule="exact"/>
        <w:jc w:val="left"/>
        <w:rPr>
          <w:rFonts w:ascii="宋体" w:hAnsi="宋体" w:cs="Times New Roman"/>
          <w:sz w:val="24"/>
          <w:szCs w:val="24"/>
        </w:rPr>
      </w:pPr>
      <w:r>
        <w:rPr>
          <w:rFonts w:ascii="宋体" w:hAnsi="宋体" w:cs="Times New Roman"/>
          <w:sz w:val="24"/>
          <w:szCs w:val="24"/>
        </w:rPr>
        <w:t>控制程序包含自动-手动控制两种模式。自动运转时，主控柜启动/停止按钮可以控制全套设备的运转状态。手动运转时，各个设备启动/停止单独控制。设计时应充分考虑控制的安全及可靠性。</w:t>
      </w:r>
    </w:p>
    <w:p>
      <w:pPr>
        <w:autoSpaceDE w:val="0"/>
        <w:autoSpaceDN w:val="0"/>
        <w:adjustRightInd w:val="0"/>
        <w:spacing w:line="480" w:lineRule="exact"/>
        <w:jc w:val="left"/>
        <w:rPr>
          <w:rFonts w:ascii="宋体" w:hAnsi="宋体" w:cs="Times New Roman"/>
          <w:sz w:val="24"/>
          <w:szCs w:val="24"/>
        </w:rPr>
      </w:pPr>
      <w:r>
        <w:rPr>
          <w:rFonts w:hint="eastAsia" w:ascii="宋体" w:hAnsi="宋体" w:cs="Times New Roman"/>
          <w:sz w:val="24"/>
          <w:szCs w:val="24"/>
        </w:rPr>
        <w:t>2</w:t>
      </w:r>
      <w:r>
        <w:rPr>
          <w:rFonts w:ascii="宋体" w:hAnsi="宋体" w:cs="Times New Roman"/>
          <w:sz w:val="24"/>
          <w:szCs w:val="24"/>
        </w:rPr>
        <w:t>.4.6</w:t>
      </w:r>
      <w:r>
        <w:rPr>
          <w:rFonts w:hint="eastAsia" w:ascii="宋体" w:hAnsi="宋体" w:cs="Times New Roman"/>
          <w:sz w:val="24"/>
          <w:szCs w:val="24"/>
        </w:rPr>
        <w:t>、过滤箱设置风压监测系统，一旦设备本身发生阻塞风压监测就会触发报警装置提醒检查或更换内部过滤装置；设置温度报警装置，在使用过程中箱内温度一旦超过设定值就可以触发警报器进行报警提示！</w:t>
      </w:r>
    </w:p>
    <w:p>
      <w:pPr>
        <w:autoSpaceDE w:val="0"/>
        <w:autoSpaceDN w:val="0"/>
        <w:adjustRightInd w:val="0"/>
        <w:spacing w:line="480" w:lineRule="exact"/>
        <w:jc w:val="left"/>
        <w:rPr>
          <w:rFonts w:ascii="宋体" w:hAnsi="宋体" w:cs="Times New Roman"/>
          <w:sz w:val="24"/>
          <w:szCs w:val="24"/>
        </w:rPr>
      </w:pPr>
      <w:r>
        <w:rPr>
          <w:rFonts w:hint="eastAsia" w:ascii="宋体" w:hAnsi="宋体" w:cs="Times New Roman"/>
          <w:sz w:val="24"/>
          <w:szCs w:val="24"/>
        </w:rPr>
        <w:t>控温和超温保护系统：箱体的控温和超温控制系统必须绝对可靠，确保箱内温度不会超过有机废气的自燃温度。采用连锁设计、双重独立超温保护系统等。</w:t>
      </w:r>
    </w:p>
    <w:p>
      <w:pPr>
        <w:autoSpaceDE w:val="0"/>
        <w:autoSpaceDN w:val="0"/>
        <w:adjustRightInd w:val="0"/>
        <w:spacing w:line="480" w:lineRule="exact"/>
        <w:jc w:val="left"/>
        <w:rPr>
          <w:rFonts w:ascii="宋体" w:hAnsi="宋体" w:cs="Times New Roman"/>
          <w:sz w:val="24"/>
          <w:szCs w:val="24"/>
        </w:rPr>
      </w:pPr>
      <w:r>
        <w:rPr>
          <w:rFonts w:hint="eastAsia" w:ascii="宋体" w:hAnsi="宋体" w:cs="Times New Roman"/>
          <w:sz w:val="24"/>
          <w:szCs w:val="24"/>
        </w:rPr>
        <w:t>能量释放设计：箱体结构必须有能量释放部分，如安全门等，以控制爆炸对环境的影响。设置有无焰泄爆片防止着火带来的压力有所释放</w:t>
      </w:r>
    </w:p>
    <w:p>
      <w:pPr>
        <w:autoSpaceDE w:val="0"/>
        <w:autoSpaceDN w:val="0"/>
        <w:adjustRightInd w:val="0"/>
        <w:spacing w:line="480" w:lineRule="exact"/>
        <w:jc w:val="left"/>
        <w:rPr>
          <w:rFonts w:ascii="宋体" w:hAnsi="宋体" w:cs="Times New Roman"/>
          <w:sz w:val="24"/>
          <w:szCs w:val="24"/>
        </w:rPr>
      </w:pPr>
      <w:r>
        <w:rPr>
          <w:rFonts w:hint="eastAsia" w:ascii="宋体" w:hAnsi="宋体" w:cs="Times New Roman"/>
          <w:sz w:val="24"/>
          <w:szCs w:val="24"/>
        </w:rPr>
        <w:t>静电防护：有可能积蓄静电的部位应考虑接地问题，以防止静电引起的爆炸</w:t>
      </w:r>
    </w:p>
    <w:p>
      <w:pPr>
        <w:autoSpaceDE w:val="0"/>
        <w:autoSpaceDN w:val="0"/>
        <w:adjustRightInd w:val="0"/>
        <w:spacing w:line="480" w:lineRule="exact"/>
        <w:jc w:val="left"/>
        <w:rPr>
          <w:rFonts w:ascii="宋体" w:hAnsi="宋体" w:cs="Times New Roman"/>
          <w:sz w:val="24"/>
          <w:szCs w:val="24"/>
        </w:rPr>
      </w:pPr>
      <w:r>
        <w:rPr>
          <w:rFonts w:hint="eastAsia" w:ascii="宋体" w:hAnsi="宋体" w:cs="Times New Roman"/>
          <w:sz w:val="24"/>
          <w:szCs w:val="24"/>
        </w:rPr>
        <w:t>在管道与干式过滤箱之间设置防火隔爆阀，如果燃烧炉出现回火发生时此阀门会通过管道内压力作用或烟气温度自动关闭防止回火对其它工位造成二次受损！</w:t>
      </w:r>
    </w:p>
    <w:p>
      <w:pPr>
        <w:pStyle w:val="2"/>
        <w:ind w:left="0"/>
        <w:jc w:val="both"/>
        <w:rPr>
          <w:sz w:val="32"/>
          <w:szCs w:val="32"/>
        </w:rPr>
      </w:pPr>
      <w:bookmarkStart w:id="51" w:name="_Toc10762"/>
      <w:bookmarkStart w:id="52" w:name="_Toc180241689"/>
      <w:r>
        <w:rPr>
          <w:rFonts w:hint="eastAsia"/>
          <w:sz w:val="32"/>
          <w:szCs w:val="32"/>
        </w:rPr>
        <w:t>六、备品、备件</w:t>
      </w:r>
      <w:bookmarkEnd w:id="51"/>
      <w:bookmarkEnd w:id="52"/>
    </w:p>
    <w:p>
      <w:pPr>
        <w:snapToGrid w:val="0"/>
        <w:spacing w:line="360" w:lineRule="auto"/>
        <w:ind w:firstLine="480" w:firstLineChars="200"/>
        <w:rPr>
          <w:rFonts w:hAnsi="宋体"/>
          <w:sz w:val="24"/>
        </w:rPr>
      </w:pPr>
      <w:r>
        <w:rPr>
          <w:rFonts w:hint="eastAsia" w:hAnsi="宋体"/>
          <w:sz w:val="24"/>
        </w:rPr>
        <w:t>1、投标方向招标方提供备件清单，由招标方确认最终选择哪些作为备品备件。招标方招标文件所指备品备件、易损件和专用耗材，是招标方为保证设备质保期之后正常运行一年所自备自用的备品备件、易损件和专用耗材；</w:t>
      </w:r>
    </w:p>
    <w:p>
      <w:pPr>
        <w:snapToGrid w:val="0"/>
        <w:spacing w:line="360" w:lineRule="auto"/>
        <w:ind w:firstLine="480" w:firstLineChars="200"/>
        <w:rPr>
          <w:rFonts w:hAnsi="宋体"/>
          <w:sz w:val="24"/>
        </w:rPr>
      </w:pPr>
      <w:r>
        <w:rPr>
          <w:rFonts w:hint="eastAsia" w:hAnsi="宋体"/>
          <w:sz w:val="24"/>
        </w:rPr>
        <w:t>投标方应免费提供满足设备正常运行一年所需的备品备件、易损件和专用耗材，并附详细清单（包括名称、型号、规格、单位、数量、生产厂家、单价、总价等条目）；投标方应提供设备维修所必需的专用工具，并附详细清单（包括名称、型号、规格、单位、数量、生产厂家、单价、总价等条目）；投标方应提供易损件和专用耗材的制造图纸及其技术要求等资料；</w:t>
      </w:r>
    </w:p>
    <w:p>
      <w:pPr>
        <w:snapToGrid w:val="0"/>
        <w:spacing w:line="360" w:lineRule="auto"/>
        <w:ind w:firstLine="480" w:firstLineChars="200"/>
        <w:rPr>
          <w:rFonts w:hAnsi="宋体"/>
          <w:sz w:val="24"/>
        </w:rPr>
      </w:pPr>
      <w:r>
        <w:rPr>
          <w:rFonts w:hint="eastAsia" w:hAnsi="宋体"/>
          <w:sz w:val="24"/>
        </w:rPr>
        <w:t>2、备品备件、易损件和专用耗材，其费用应分类单列，做好备配件目录，标明价格及折扣，并计入投标总报价之内。</w:t>
      </w:r>
    </w:p>
    <w:p>
      <w:pPr>
        <w:pStyle w:val="2"/>
        <w:ind w:left="0"/>
        <w:jc w:val="both"/>
        <w:rPr>
          <w:sz w:val="32"/>
          <w:szCs w:val="32"/>
        </w:rPr>
      </w:pPr>
      <w:bookmarkStart w:id="53" w:name="_Toc11449"/>
      <w:bookmarkStart w:id="54" w:name="_Toc27758126"/>
      <w:bookmarkStart w:id="55" w:name="_Toc180241690"/>
      <w:bookmarkStart w:id="56" w:name="_Toc26357134"/>
      <w:r>
        <w:rPr>
          <w:rFonts w:hint="eastAsia"/>
          <w:sz w:val="32"/>
          <w:szCs w:val="32"/>
        </w:rPr>
        <w:t>七、验收</w:t>
      </w:r>
      <w:bookmarkEnd w:id="53"/>
      <w:bookmarkEnd w:id="54"/>
      <w:bookmarkEnd w:id="55"/>
      <w:bookmarkEnd w:id="56"/>
    </w:p>
    <w:p>
      <w:pPr>
        <w:snapToGrid w:val="0"/>
        <w:spacing w:line="360" w:lineRule="auto"/>
        <w:rPr>
          <w:rFonts w:hAnsi="宋体"/>
          <w:b/>
          <w:sz w:val="28"/>
          <w:szCs w:val="28"/>
        </w:rPr>
      </w:pPr>
      <w:bookmarkStart w:id="57" w:name="_Toc26806122"/>
      <w:bookmarkStart w:id="58" w:name="_Toc26357135"/>
      <w:bookmarkStart w:id="59" w:name="_Toc27758127"/>
      <w:r>
        <w:rPr>
          <w:rFonts w:hint="eastAsia" w:hAnsi="宋体"/>
          <w:b/>
          <w:sz w:val="28"/>
          <w:szCs w:val="28"/>
        </w:rPr>
        <w:t>1、预验收</w:t>
      </w:r>
      <w:bookmarkEnd w:id="57"/>
      <w:bookmarkEnd w:id="58"/>
      <w:bookmarkEnd w:id="59"/>
    </w:p>
    <w:p>
      <w:pPr>
        <w:pStyle w:val="56"/>
        <w:tabs>
          <w:tab w:val="left" w:pos="0"/>
        </w:tabs>
        <w:spacing w:line="360" w:lineRule="auto"/>
        <w:ind w:firstLine="480"/>
        <w:jc w:val="left"/>
        <w:rPr>
          <w:rFonts w:ascii="宋体" w:hAnsi="宋体"/>
          <w:sz w:val="24"/>
        </w:rPr>
      </w:pPr>
      <w:r>
        <w:rPr>
          <w:rFonts w:hint="eastAsia" w:ascii="宋体" w:hAnsi="宋体"/>
          <w:sz w:val="24"/>
        </w:rPr>
        <w:t>1.1设备制造完成</w:t>
      </w:r>
      <w:r>
        <w:rPr>
          <w:rFonts w:ascii="宋体" w:hAnsi="宋体"/>
          <w:sz w:val="24"/>
        </w:rPr>
        <w:t>后，</w:t>
      </w:r>
      <w:r>
        <w:rPr>
          <w:rFonts w:hint="eastAsia" w:ascii="宋体" w:hAnsi="宋体"/>
          <w:sz w:val="24"/>
        </w:rPr>
        <w:t>投标方在设备制造地点进行自验收，验收通过后，通知招标方到</w:t>
      </w:r>
      <w:r>
        <w:rPr>
          <w:rFonts w:ascii="宋体" w:hAnsi="宋体"/>
          <w:sz w:val="24"/>
        </w:rPr>
        <w:t>制造地点进行</w:t>
      </w:r>
      <w:r>
        <w:rPr>
          <w:rFonts w:hint="eastAsia" w:ascii="宋体" w:hAnsi="宋体"/>
          <w:sz w:val="24"/>
        </w:rPr>
        <w:t>项目</w:t>
      </w:r>
      <w:r>
        <w:rPr>
          <w:rFonts w:ascii="宋体" w:hAnsi="宋体"/>
          <w:sz w:val="24"/>
        </w:rPr>
        <w:t>预验收。</w:t>
      </w:r>
    </w:p>
    <w:p>
      <w:pPr>
        <w:pStyle w:val="56"/>
        <w:tabs>
          <w:tab w:val="left" w:pos="0"/>
        </w:tabs>
        <w:spacing w:line="360" w:lineRule="auto"/>
        <w:ind w:firstLine="480"/>
        <w:jc w:val="left"/>
        <w:rPr>
          <w:rFonts w:ascii="宋体" w:hAnsi="宋体"/>
          <w:sz w:val="24"/>
        </w:rPr>
      </w:pPr>
      <w:r>
        <w:rPr>
          <w:rFonts w:hint="eastAsia" w:ascii="宋体" w:hAnsi="宋体"/>
          <w:sz w:val="24"/>
        </w:rPr>
        <w:t>1.2招标方负责提供相关产品件用于项目的预验收。</w:t>
      </w:r>
    </w:p>
    <w:p>
      <w:pPr>
        <w:pStyle w:val="56"/>
        <w:tabs>
          <w:tab w:val="left" w:pos="0"/>
        </w:tabs>
        <w:spacing w:line="360" w:lineRule="auto"/>
        <w:ind w:firstLine="480"/>
        <w:jc w:val="left"/>
        <w:rPr>
          <w:rFonts w:ascii="宋体" w:hAnsi="宋体"/>
          <w:sz w:val="24"/>
        </w:rPr>
      </w:pPr>
      <w:r>
        <w:rPr>
          <w:rFonts w:hint="eastAsia" w:ascii="宋体" w:hAnsi="宋体"/>
          <w:sz w:val="24"/>
        </w:rPr>
        <w:t>1.3</w:t>
      </w:r>
      <w:r>
        <w:rPr>
          <w:rFonts w:ascii="宋体" w:hAnsi="宋体"/>
          <w:sz w:val="24"/>
        </w:rPr>
        <w:t>双方参加</w:t>
      </w:r>
      <w:r>
        <w:rPr>
          <w:rFonts w:hint="eastAsia" w:ascii="宋体" w:hAnsi="宋体"/>
          <w:sz w:val="24"/>
        </w:rPr>
        <w:t>，</w:t>
      </w:r>
      <w:r>
        <w:rPr>
          <w:rFonts w:ascii="宋体" w:hAnsi="宋体"/>
          <w:sz w:val="24"/>
        </w:rPr>
        <w:t>检查</w:t>
      </w:r>
      <w:r>
        <w:rPr>
          <w:rFonts w:hint="eastAsia" w:ascii="宋体" w:hAnsi="宋体"/>
          <w:sz w:val="24"/>
        </w:rPr>
        <w:t>设备各部件</w:t>
      </w:r>
      <w:r>
        <w:rPr>
          <w:rFonts w:ascii="宋体" w:hAnsi="宋体"/>
          <w:sz w:val="24"/>
        </w:rPr>
        <w:t>操作性</w:t>
      </w:r>
      <w:r>
        <w:rPr>
          <w:rFonts w:hint="eastAsia" w:ascii="宋体" w:hAnsi="宋体"/>
          <w:sz w:val="24"/>
        </w:rPr>
        <w:t>、吊具的吊装操作性等</w:t>
      </w:r>
      <w:r>
        <w:rPr>
          <w:rFonts w:ascii="宋体" w:hAnsi="宋体"/>
          <w:sz w:val="24"/>
        </w:rPr>
        <w:t>。经招标方确认合格后方可包装、发运。</w:t>
      </w:r>
    </w:p>
    <w:p>
      <w:pPr>
        <w:pStyle w:val="56"/>
        <w:tabs>
          <w:tab w:val="left" w:pos="0"/>
        </w:tabs>
        <w:spacing w:line="360" w:lineRule="auto"/>
        <w:ind w:firstLine="480"/>
        <w:jc w:val="left"/>
        <w:rPr>
          <w:rFonts w:ascii="宋体" w:hAnsi="宋体"/>
          <w:sz w:val="24"/>
        </w:rPr>
      </w:pPr>
      <w:r>
        <w:rPr>
          <w:rFonts w:hint="eastAsia" w:ascii="宋体" w:hAnsi="宋体"/>
          <w:sz w:val="24"/>
        </w:rPr>
        <w:t>1.4</w:t>
      </w:r>
      <w:r>
        <w:rPr>
          <w:rFonts w:ascii="宋体" w:hAnsi="宋体"/>
          <w:sz w:val="24"/>
        </w:rPr>
        <w:t>在</w:t>
      </w:r>
      <w:r>
        <w:rPr>
          <w:rFonts w:hint="eastAsia" w:ascii="宋体" w:hAnsi="宋体"/>
          <w:sz w:val="24"/>
        </w:rPr>
        <w:t>设备</w:t>
      </w:r>
      <w:r>
        <w:rPr>
          <w:rFonts w:ascii="宋体" w:hAnsi="宋体"/>
          <w:sz w:val="24"/>
        </w:rPr>
        <w:t>的预验收过程中，由于投标方设计或制造等原因而出现的质量问题，招标方有权提出请投标方返修，然后再次检查直至合格。</w:t>
      </w:r>
    </w:p>
    <w:p>
      <w:pPr>
        <w:pStyle w:val="56"/>
        <w:tabs>
          <w:tab w:val="left" w:pos="0"/>
        </w:tabs>
        <w:spacing w:line="360" w:lineRule="auto"/>
        <w:ind w:firstLine="480"/>
        <w:jc w:val="left"/>
        <w:rPr>
          <w:rFonts w:ascii="宋体" w:hAnsi="宋体"/>
          <w:sz w:val="24"/>
        </w:rPr>
      </w:pPr>
      <w:r>
        <w:rPr>
          <w:rFonts w:hint="eastAsia" w:ascii="宋体" w:hAnsi="宋体"/>
          <w:sz w:val="24"/>
        </w:rPr>
        <w:t>1.5</w:t>
      </w:r>
      <w:r>
        <w:rPr>
          <w:rFonts w:ascii="宋体" w:hAnsi="宋体"/>
          <w:sz w:val="24"/>
        </w:rPr>
        <w:t>预验收合格后，发运前双方需签署预验收记录，但预验收合格的记录不能替代最终验收报告。</w:t>
      </w:r>
    </w:p>
    <w:p>
      <w:pPr>
        <w:pStyle w:val="56"/>
        <w:tabs>
          <w:tab w:val="left" w:pos="0"/>
        </w:tabs>
        <w:spacing w:line="360" w:lineRule="auto"/>
        <w:ind w:firstLine="480"/>
        <w:jc w:val="left"/>
        <w:rPr>
          <w:rFonts w:ascii="宋体" w:hAnsi="宋体"/>
          <w:sz w:val="24"/>
        </w:rPr>
      </w:pPr>
      <w:r>
        <w:rPr>
          <w:rFonts w:hint="eastAsia" w:ascii="宋体" w:hAnsi="宋体"/>
          <w:sz w:val="24"/>
        </w:rPr>
        <w:t>1.6</w:t>
      </w:r>
      <w:r>
        <w:rPr>
          <w:rFonts w:ascii="宋体" w:hAnsi="宋体"/>
          <w:sz w:val="24"/>
        </w:rPr>
        <w:t>预验收合格后的所有试件应经防腐处理后</w:t>
      </w:r>
      <w:r>
        <w:rPr>
          <w:rFonts w:hint="eastAsia" w:ascii="宋体" w:hAnsi="宋体"/>
          <w:sz w:val="24"/>
        </w:rPr>
        <w:t>设备</w:t>
      </w:r>
      <w:r>
        <w:rPr>
          <w:rFonts w:ascii="宋体" w:hAnsi="宋体"/>
          <w:sz w:val="24"/>
        </w:rPr>
        <w:t>一起发交至招标方。</w:t>
      </w:r>
    </w:p>
    <w:p>
      <w:pPr>
        <w:pStyle w:val="56"/>
        <w:tabs>
          <w:tab w:val="left" w:pos="0"/>
        </w:tabs>
        <w:spacing w:line="360" w:lineRule="auto"/>
        <w:ind w:firstLine="480"/>
        <w:jc w:val="left"/>
        <w:rPr>
          <w:rFonts w:ascii="宋体" w:hAnsi="宋体"/>
          <w:sz w:val="24"/>
        </w:rPr>
      </w:pPr>
      <w:r>
        <w:rPr>
          <w:rFonts w:hint="eastAsia" w:ascii="宋体" w:hAnsi="宋体"/>
          <w:sz w:val="24"/>
        </w:rPr>
        <w:t>1</w:t>
      </w:r>
      <w:r>
        <w:rPr>
          <w:rFonts w:ascii="宋体" w:hAnsi="宋体"/>
          <w:sz w:val="24"/>
        </w:rPr>
        <w:t>.7</w:t>
      </w:r>
      <w:r>
        <w:rPr>
          <w:rFonts w:hint="eastAsia" w:ascii="宋体" w:hAnsi="宋体"/>
          <w:sz w:val="24"/>
        </w:rPr>
        <w:t>预验收的项目包括不限于以下：</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1950"/>
        <w:gridCol w:w="4234"/>
        <w:gridCol w:w="2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tcPr>
          <w:p>
            <w:pPr>
              <w:rPr>
                <w:b/>
              </w:rPr>
            </w:pPr>
            <w:r>
              <w:rPr>
                <w:rFonts w:hint="eastAsia"/>
                <w:b/>
              </w:rPr>
              <w:t>序号</w:t>
            </w:r>
          </w:p>
        </w:tc>
        <w:tc>
          <w:tcPr>
            <w:tcW w:w="1950" w:type="dxa"/>
          </w:tcPr>
          <w:p>
            <w:pPr>
              <w:rPr>
                <w:b/>
              </w:rPr>
            </w:pPr>
            <w:r>
              <w:rPr>
                <w:rFonts w:hint="eastAsia"/>
                <w:b/>
              </w:rPr>
              <w:t>预验收项目</w:t>
            </w:r>
          </w:p>
        </w:tc>
        <w:tc>
          <w:tcPr>
            <w:tcW w:w="4234" w:type="dxa"/>
          </w:tcPr>
          <w:p>
            <w:pPr>
              <w:rPr>
                <w:b/>
              </w:rPr>
            </w:pPr>
            <w:r>
              <w:rPr>
                <w:rFonts w:hint="eastAsia"/>
                <w:b/>
              </w:rPr>
              <w:t>项目要求</w:t>
            </w:r>
          </w:p>
        </w:tc>
        <w:tc>
          <w:tcPr>
            <w:tcW w:w="2262" w:type="dxa"/>
          </w:tcPr>
          <w:p>
            <w:pPr>
              <w:rPr>
                <w:b/>
              </w:rPr>
            </w:pPr>
            <w:r>
              <w:rPr>
                <w:rFonts w:hint="eastAsia"/>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tcPr>
          <w:p>
            <w:r>
              <w:rPr>
                <w:rFonts w:hint="eastAsia"/>
              </w:rPr>
              <w:t>1</w:t>
            </w:r>
          </w:p>
        </w:tc>
        <w:tc>
          <w:tcPr>
            <w:tcW w:w="1950" w:type="dxa"/>
          </w:tcPr>
          <w:p>
            <w:r>
              <w:rPr>
                <w:rFonts w:hint="eastAsia"/>
              </w:rPr>
              <w:t>集气罩</w:t>
            </w:r>
          </w:p>
        </w:tc>
        <w:tc>
          <w:tcPr>
            <w:tcW w:w="4234" w:type="dxa"/>
          </w:tcPr>
          <w:p>
            <w:r>
              <w:rPr>
                <w:rFonts w:hint="eastAsia"/>
              </w:rPr>
              <w:t>数量：4套</w:t>
            </w:r>
          </w:p>
          <w:p>
            <w:r>
              <w:rPr>
                <w:rFonts w:hint="eastAsia"/>
              </w:rPr>
              <w:t>板材厚度：1.5mm</w:t>
            </w:r>
          </w:p>
          <w:p>
            <w:r>
              <w:rPr>
                <w:rFonts w:hint="eastAsia"/>
              </w:rPr>
              <w:t>尺寸：1500×1000</w:t>
            </w:r>
          </w:p>
          <w:p>
            <w:r>
              <w:rPr>
                <w:rFonts w:hint="eastAsia"/>
              </w:rPr>
              <w:t>材质：镀锌板</w:t>
            </w:r>
          </w:p>
        </w:tc>
        <w:tc>
          <w:tcPr>
            <w:tcW w:w="2262"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tcPr>
          <w:p>
            <w:r>
              <w:rPr>
                <w:rFonts w:hint="eastAsia"/>
              </w:rPr>
              <w:t>2</w:t>
            </w:r>
          </w:p>
        </w:tc>
        <w:tc>
          <w:tcPr>
            <w:tcW w:w="1950" w:type="dxa"/>
          </w:tcPr>
          <w:p>
            <w:r>
              <w:rPr>
                <w:rFonts w:hint="eastAsia"/>
              </w:rPr>
              <w:t>轴流风机</w:t>
            </w:r>
          </w:p>
        </w:tc>
        <w:tc>
          <w:tcPr>
            <w:tcW w:w="4234" w:type="dxa"/>
          </w:tcPr>
          <w:p>
            <w:r>
              <w:rPr>
                <w:rFonts w:hint="eastAsia"/>
              </w:rPr>
              <w:t>电机能耗要求：一级节能</w:t>
            </w:r>
          </w:p>
          <w:p>
            <w:r>
              <w:rPr>
                <w:rFonts w:hint="eastAsia"/>
              </w:rPr>
              <w:t>防爆要求：防爆电机</w:t>
            </w:r>
          </w:p>
        </w:tc>
        <w:tc>
          <w:tcPr>
            <w:tcW w:w="2262" w:type="dxa"/>
          </w:tcPr>
          <w:p>
            <w:r>
              <w:rPr>
                <w:rFonts w:hint="eastAsia"/>
              </w:rPr>
              <w:t>组装前预验收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tcPr>
          <w:p>
            <w:r>
              <w:rPr>
                <w:rFonts w:hint="eastAsia"/>
              </w:rPr>
              <w:t>3</w:t>
            </w:r>
          </w:p>
        </w:tc>
        <w:tc>
          <w:tcPr>
            <w:tcW w:w="1950" w:type="dxa"/>
          </w:tcPr>
          <w:p>
            <w:r>
              <w:rPr>
                <w:rFonts w:hint="eastAsia"/>
              </w:rPr>
              <w:t>主排风机</w:t>
            </w:r>
          </w:p>
        </w:tc>
        <w:tc>
          <w:tcPr>
            <w:tcW w:w="4234" w:type="dxa"/>
          </w:tcPr>
          <w:p>
            <w:r>
              <w:rPr>
                <w:rFonts w:hint="eastAsia"/>
              </w:rPr>
              <w:t>电机能耗要求：一级节能</w:t>
            </w:r>
          </w:p>
          <w:p>
            <w:r>
              <w:rPr>
                <w:rFonts w:hint="eastAsia"/>
              </w:rPr>
              <w:t>防爆要求：防爆电机</w:t>
            </w:r>
          </w:p>
        </w:tc>
        <w:tc>
          <w:tcPr>
            <w:tcW w:w="2262" w:type="dxa"/>
          </w:tcPr>
          <w:p>
            <w:r>
              <w:rPr>
                <w:rFonts w:hint="eastAsia"/>
              </w:rPr>
              <w:t>组装前预验收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tcPr>
          <w:p>
            <w:r>
              <w:rPr>
                <w:rFonts w:hint="eastAsia"/>
              </w:rPr>
              <w:t>4</w:t>
            </w:r>
          </w:p>
        </w:tc>
        <w:tc>
          <w:tcPr>
            <w:tcW w:w="1950" w:type="dxa"/>
          </w:tcPr>
          <w:p>
            <w:r>
              <w:rPr>
                <w:rFonts w:hint="eastAsia"/>
              </w:rPr>
              <w:t>电动风阀</w:t>
            </w:r>
          </w:p>
        </w:tc>
        <w:tc>
          <w:tcPr>
            <w:tcW w:w="4234" w:type="dxa"/>
          </w:tcPr>
          <w:p>
            <w:pPr>
              <w:widowControl/>
              <w:wordWrap w:val="0"/>
              <w:spacing w:line="408" w:lineRule="atLeast"/>
              <w:jc w:val="left"/>
              <w:outlineLvl w:val="0"/>
            </w:pPr>
            <w:r>
              <w:rPr>
                <w:rFonts w:hint="eastAsia"/>
              </w:rPr>
              <w:t>符合</w:t>
            </w:r>
            <w:r>
              <w:t>CB/T 3726-1995风管调风门</w:t>
            </w:r>
          </w:p>
        </w:tc>
        <w:tc>
          <w:tcPr>
            <w:tcW w:w="2262" w:type="dxa"/>
          </w:tcPr>
          <w:p>
            <w:pPr>
              <w:widowControl/>
              <w:wordWrap w:val="0"/>
              <w:spacing w:line="408" w:lineRule="atLeast"/>
              <w:jc w:val="left"/>
              <w:outlineLv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tcPr>
          <w:p>
            <w:r>
              <w:rPr>
                <w:rFonts w:hint="eastAsia"/>
              </w:rPr>
              <w:t>5</w:t>
            </w:r>
          </w:p>
        </w:tc>
        <w:tc>
          <w:tcPr>
            <w:tcW w:w="1950" w:type="dxa"/>
          </w:tcPr>
          <w:p>
            <w:r>
              <w:rPr>
                <w:rFonts w:hint="eastAsia"/>
              </w:rPr>
              <w:t>漆雾过滤箱</w:t>
            </w:r>
          </w:p>
        </w:tc>
        <w:tc>
          <w:tcPr>
            <w:tcW w:w="4234" w:type="dxa"/>
          </w:tcPr>
          <w:p>
            <w:r>
              <w:rPr>
                <w:rFonts w:hint="eastAsia"/>
              </w:rPr>
              <w:t>配有中效过滤棉两道</w:t>
            </w:r>
          </w:p>
          <w:p>
            <w:r>
              <w:rPr>
                <w:rFonts w:hint="eastAsia"/>
              </w:rPr>
              <w:t>高效过滤网一道</w:t>
            </w:r>
          </w:p>
          <w:p>
            <w:r>
              <w:rPr>
                <w:rFonts w:hint="eastAsia"/>
              </w:rPr>
              <w:t>配有无焰泄放器</w:t>
            </w:r>
          </w:p>
          <w:p>
            <w:r>
              <w:rPr>
                <w:rFonts w:hint="eastAsia"/>
              </w:rPr>
              <w:t>配有压力压差表</w:t>
            </w:r>
          </w:p>
          <w:p>
            <w:r>
              <w:rPr>
                <w:rFonts w:hint="eastAsia"/>
              </w:rPr>
              <w:t>并于电控箱报警器连接</w:t>
            </w:r>
          </w:p>
        </w:tc>
        <w:tc>
          <w:tcPr>
            <w:tcW w:w="2262"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tcPr>
          <w:p>
            <w:r>
              <w:rPr>
                <w:rFonts w:hint="eastAsia"/>
              </w:rPr>
              <w:t>6</w:t>
            </w:r>
          </w:p>
        </w:tc>
        <w:tc>
          <w:tcPr>
            <w:tcW w:w="1950" w:type="dxa"/>
          </w:tcPr>
          <w:p>
            <w:r>
              <w:rPr>
                <w:rFonts w:hint="eastAsia"/>
              </w:rPr>
              <w:t>电控系统</w:t>
            </w:r>
          </w:p>
        </w:tc>
        <w:tc>
          <w:tcPr>
            <w:tcW w:w="4234" w:type="dxa"/>
          </w:tcPr>
          <w:p>
            <w:r>
              <w:rPr>
                <w:rFonts w:hint="eastAsia"/>
              </w:rPr>
              <w:t>外观无划痕</w:t>
            </w:r>
          </w:p>
        </w:tc>
        <w:tc>
          <w:tcPr>
            <w:tcW w:w="2262"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tcPr>
          <w:p>
            <w:r>
              <w:rPr>
                <w:rFonts w:hint="eastAsia"/>
              </w:rPr>
              <w:t>7</w:t>
            </w:r>
          </w:p>
        </w:tc>
        <w:tc>
          <w:tcPr>
            <w:tcW w:w="1950" w:type="dxa"/>
          </w:tcPr>
          <w:p>
            <w:r>
              <w:rPr>
                <w:rFonts w:hint="eastAsia"/>
              </w:rPr>
              <w:t>管道</w:t>
            </w:r>
          </w:p>
        </w:tc>
        <w:tc>
          <w:tcPr>
            <w:tcW w:w="4234" w:type="dxa"/>
          </w:tcPr>
          <w:p>
            <w:r>
              <w:rPr>
                <w:rFonts w:hint="eastAsia"/>
              </w:rPr>
              <w:t>厚度：0.8-1.0mm</w:t>
            </w:r>
          </w:p>
        </w:tc>
        <w:tc>
          <w:tcPr>
            <w:tcW w:w="2262"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tcPr>
          <w:p>
            <w:r>
              <w:rPr>
                <w:rFonts w:hint="eastAsia"/>
              </w:rPr>
              <w:t>8</w:t>
            </w:r>
          </w:p>
        </w:tc>
        <w:tc>
          <w:tcPr>
            <w:tcW w:w="1950" w:type="dxa"/>
          </w:tcPr>
          <w:p>
            <w:r>
              <w:rPr>
                <w:rFonts w:hint="eastAsia"/>
              </w:rPr>
              <w:t>阻火装置</w:t>
            </w:r>
          </w:p>
        </w:tc>
        <w:tc>
          <w:tcPr>
            <w:tcW w:w="4234" w:type="dxa"/>
          </w:tcPr>
          <w:p>
            <w:r>
              <w:rPr>
                <w:rFonts w:hint="eastAsia"/>
              </w:rPr>
              <w:t>是否有专业机构检测证书</w:t>
            </w:r>
          </w:p>
        </w:tc>
        <w:tc>
          <w:tcPr>
            <w:tcW w:w="2262"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tcPr>
          <w:p>
            <w:r>
              <w:rPr>
                <w:rFonts w:hint="eastAsia"/>
              </w:rPr>
              <w:t>9</w:t>
            </w:r>
          </w:p>
        </w:tc>
        <w:tc>
          <w:tcPr>
            <w:tcW w:w="1950" w:type="dxa"/>
          </w:tcPr>
          <w:p>
            <w:r>
              <w:rPr>
                <w:rFonts w:hint="eastAsia"/>
              </w:rPr>
              <w:t>地格栅</w:t>
            </w:r>
          </w:p>
        </w:tc>
        <w:tc>
          <w:tcPr>
            <w:tcW w:w="4234" w:type="dxa"/>
          </w:tcPr>
          <w:p>
            <w:r>
              <w:rPr>
                <w:rFonts w:hint="eastAsia"/>
              </w:rPr>
              <w:t>焊接面是否平整</w:t>
            </w:r>
          </w:p>
          <w:p>
            <w:r>
              <w:rPr>
                <w:rFonts w:hint="eastAsia"/>
              </w:rPr>
              <w:t>表面镀锌处理</w:t>
            </w:r>
          </w:p>
        </w:tc>
        <w:tc>
          <w:tcPr>
            <w:tcW w:w="2262" w:type="dxa"/>
          </w:tcPr>
          <w:p/>
        </w:tc>
      </w:tr>
    </w:tbl>
    <w:p>
      <w:pPr>
        <w:snapToGrid w:val="0"/>
        <w:spacing w:line="360" w:lineRule="auto"/>
        <w:rPr>
          <w:rFonts w:hAnsi="宋体"/>
          <w:b/>
          <w:sz w:val="28"/>
          <w:szCs w:val="28"/>
        </w:rPr>
      </w:pPr>
      <w:bookmarkStart w:id="60" w:name="_Toc26357136"/>
      <w:bookmarkStart w:id="61" w:name="_Toc27758128"/>
      <w:bookmarkStart w:id="62" w:name="_Toc26806123"/>
      <w:r>
        <w:rPr>
          <w:rFonts w:hint="eastAsia" w:hAnsi="宋体"/>
          <w:b/>
          <w:sz w:val="28"/>
          <w:szCs w:val="28"/>
        </w:rPr>
        <w:t>2、终验收</w:t>
      </w:r>
      <w:bookmarkEnd w:id="60"/>
      <w:bookmarkEnd w:id="61"/>
      <w:bookmarkEnd w:id="62"/>
    </w:p>
    <w:p>
      <w:pPr>
        <w:pStyle w:val="56"/>
        <w:tabs>
          <w:tab w:val="left" w:pos="0"/>
        </w:tabs>
        <w:spacing w:line="360" w:lineRule="auto"/>
        <w:ind w:firstLine="480"/>
        <w:jc w:val="left"/>
        <w:rPr>
          <w:rFonts w:ascii="宋体" w:hAnsi="宋体"/>
          <w:sz w:val="24"/>
        </w:rPr>
      </w:pPr>
      <w:r>
        <w:rPr>
          <w:rFonts w:hint="eastAsia" w:ascii="宋体" w:hAnsi="宋体"/>
          <w:sz w:val="24"/>
        </w:rPr>
        <w:t>2.1</w:t>
      </w:r>
      <w:r>
        <w:rPr>
          <w:rFonts w:ascii="宋体" w:hAnsi="宋体"/>
          <w:sz w:val="24"/>
        </w:rPr>
        <w:t>投标方派专家到招标方</w:t>
      </w:r>
      <w:r>
        <w:rPr>
          <w:rFonts w:hint="eastAsia" w:ascii="宋体" w:hAnsi="宋体"/>
          <w:sz w:val="24"/>
        </w:rPr>
        <w:t>现场</w:t>
      </w:r>
      <w:r>
        <w:rPr>
          <w:rFonts w:ascii="宋体" w:hAnsi="宋体"/>
          <w:sz w:val="24"/>
        </w:rPr>
        <w:t>对</w:t>
      </w:r>
      <w:r>
        <w:rPr>
          <w:rFonts w:hint="eastAsia" w:ascii="宋体" w:hAnsi="宋体"/>
          <w:sz w:val="24"/>
        </w:rPr>
        <w:t>设备</w:t>
      </w:r>
      <w:r>
        <w:rPr>
          <w:rFonts w:ascii="宋体" w:hAnsi="宋体"/>
          <w:sz w:val="24"/>
        </w:rPr>
        <w:t>进行安装调试和技术指导。</w:t>
      </w:r>
      <w:r>
        <w:rPr>
          <w:rFonts w:hint="eastAsia" w:ascii="宋体" w:hAnsi="宋体"/>
          <w:sz w:val="24"/>
        </w:rPr>
        <w:t>所有设备由投标方负责</w:t>
      </w:r>
      <w:r>
        <w:rPr>
          <w:rFonts w:ascii="宋体" w:hAnsi="宋体"/>
          <w:sz w:val="24"/>
        </w:rPr>
        <w:t>安装、调试完成后，双方在生产地点进行最终验收。</w:t>
      </w:r>
    </w:p>
    <w:p>
      <w:pPr>
        <w:pStyle w:val="56"/>
        <w:tabs>
          <w:tab w:val="left" w:pos="0"/>
        </w:tabs>
        <w:spacing w:line="360" w:lineRule="auto"/>
        <w:ind w:firstLine="480"/>
        <w:jc w:val="left"/>
        <w:rPr>
          <w:rFonts w:ascii="宋体" w:hAnsi="宋体"/>
          <w:sz w:val="24"/>
        </w:rPr>
      </w:pPr>
      <w:r>
        <w:rPr>
          <w:rFonts w:hint="eastAsia" w:ascii="宋体" w:hAnsi="宋体"/>
          <w:sz w:val="24"/>
        </w:rPr>
        <w:t>2.2</w:t>
      </w:r>
      <w:r>
        <w:rPr>
          <w:rFonts w:ascii="宋体" w:hAnsi="宋体"/>
          <w:sz w:val="24"/>
        </w:rPr>
        <w:t>最终验收期间若发现合同供货内容有质量问题或发现破损、缺陷和缺少零件，投标方应根据招标方要求免费更换零部件并解决问题，并且记录在终验收的报告中。</w:t>
      </w:r>
    </w:p>
    <w:p>
      <w:pPr>
        <w:tabs>
          <w:tab w:val="left" w:pos="0"/>
        </w:tabs>
        <w:spacing w:line="360" w:lineRule="auto"/>
        <w:ind w:firstLine="480" w:firstLineChars="200"/>
        <w:jc w:val="left"/>
        <w:rPr>
          <w:rFonts w:ascii="宋体" w:hAnsi="宋体"/>
          <w:sz w:val="24"/>
          <w:szCs w:val="24"/>
        </w:rPr>
      </w:pPr>
      <w:r>
        <w:rPr>
          <w:rFonts w:hint="eastAsia" w:ascii="宋体" w:hAnsi="宋体"/>
          <w:sz w:val="24"/>
          <w:szCs w:val="24"/>
        </w:rPr>
        <w:t>2.3</w:t>
      </w:r>
      <w:r>
        <w:rPr>
          <w:rFonts w:ascii="宋体" w:hAnsi="宋体"/>
          <w:sz w:val="24"/>
          <w:szCs w:val="24"/>
        </w:rPr>
        <w:t>按合同要求验收，若投标方提供的标的内容、技术资料与合同中规定的内容有不符或缺少时，招标方有权要求更换及补偿。</w:t>
      </w:r>
    </w:p>
    <w:p>
      <w:pPr>
        <w:tabs>
          <w:tab w:val="left" w:pos="0"/>
        </w:tabs>
        <w:spacing w:line="360" w:lineRule="auto"/>
        <w:ind w:firstLine="480" w:firstLineChars="200"/>
        <w:jc w:val="left"/>
        <w:rPr>
          <w:rFonts w:ascii="宋体" w:hAnsi="宋体"/>
          <w:sz w:val="24"/>
          <w:szCs w:val="24"/>
        </w:rPr>
      </w:pPr>
      <w:r>
        <w:rPr>
          <w:rFonts w:hint="eastAsia" w:ascii="宋体" w:hAnsi="宋体"/>
          <w:sz w:val="24"/>
          <w:szCs w:val="24"/>
        </w:rPr>
        <w:t>2.4</w:t>
      </w:r>
      <w:r>
        <w:rPr>
          <w:rFonts w:ascii="宋体" w:hAnsi="宋体"/>
          <w:sz w:val="24"/>
          <w:szCs w:val="24"/>
        </w:rPr>
        <w:t>检验</w:t>
      </w:r>
      <w:r>
        <w:rPr>
          <w:rFonts w:hint="eastAsia" w:ascii="宋体" w:hAnsi="宋体"/>
          <w:sz w:val="24"/>
          <w:szCs w:val="24"/>
        </w:rPr>
        <w:t>设备</w:t>
      </w:r>
      <w:r>
        <w:rPr>
          <w:rFonts w:ascii="宋体" w:hAnsi="宋体"/>
          <w:sz w:val="24"/>
          <w:szCs w:val="24"/>
        </w:rPr>
        <w:t>的精度</w:t>
      </w:r>
      <w:r>
        <w:rPr>
          <w:rFonts w:hint="eastAsia" w:ascii="宋体" w:hAnsi="宋体"/>
          <w:sz w:val="24"/>
          <w:szCs w:val="24"/>
        </w:rPr>
        <w:t>、设备运行的稳定程度</w:t>
      </w:r>
      <w:r>
        <w:rPr>
          <w:rFonts w:ascii="宋体" w:hAnsi="宋体"/>
          <w:sz w:val="24"/>
          <w:szCs w:val="24"/>
        </w:rPr>
        <w:t>，如发现与合同要求不符，投标方应负责解决。</w:t>
      </w:r>
    </w:p>
    <w:p>
      <w:pPr>
        <w:tabs>
          <w:tab w:val="left" w:pos="0"/>
        </w:tabs>
        <w:spacing w:line="360" w:lineRule="auto"/>
        <w:ind w:firstLine="480" w:firstLineChars="200"/>
        <w:jc w:val="left"/>
        <w:rPr>
          <w:rFonts w:ascii="宋体" w:hAnsi="宋体"/>
          <w:sz w:val="24"/>
          <w:szCs w:val="24"/>
        </w:rPr>
      </w:pPr>
      <w:r>
        <w:rPr>
          <w:rFonts w:hint="eastAsia" w:ascii="宋体" w:hAnsi="宋体"/>
          <w:sz w:val="24"/>
          <w:szCs w:val="24"/>
        </w:rPr>
        <w:t>2.5</w:t>
      </w:r>
      <w:r>
        <w:rPr>
          <w:rFonts w:ascii="宋体" w:hAnsi="宋体"/>
          <w:sz w:val="24"/>
          <w:szCs w:val="24"/>
        </w:rPr>
        <w:t>终验收合格后，双方签署终验收合格报告。</w:t>
      </w:r>
    </w:p>
    <w:p>
      <w:pPr>
        <w:spacing w:line="360" w:lineRule="auto"/>
        <w:ind w:firstLine="480" w:firstLineChars="200"/>
        <w:jc w:val="left"/>
        <w:rPr>
          <w:rFonts w:ascii="宋体" w:hAnsi="宋体"/>
          <w:sz w:val="24"/>
        </w:rPr>
      </w:pPr>
      <w:r>
        <w:rPr>
          <w:rFonts w:hint="eastAsia" w:ascii="宋体" w:hAnsi="宋体"/>
          <w:sz w:val="24"/>
        </w:rPr>
        <w:t>2.6</w:t>
      </w:r>
      <w:r>
        <w:rPr>
          <w:rFonts w:ascii="宋体" w:hAnsi="宋体"/>
          <w:sz w:val="24"/>
        </w:rPr>
        <w:t>投标方</w:t>
      </w:r>
      <w:r>
        <w:rPr>
          <w:rFonts w:hint="eastAsia" w:ascii="宋体" w:hAnsi="宋体"/>
          <w:sz w:val="24"/>
        </w:rPr>
        <w:t>一旦中标，</w:t>
      </w:r>
      <w:r>
        <w:rPr>
          <w:rFonts w:ascii="宋体" w:hAnsi="宋体"/>
          <w:sz w:val="24"/>
        </w:rPr>
        <w:t>需向招标方提供的技术文件资料</w:t>
      </w:r>
      <w:r>
        <w:rPr>
          <w:rFonts w:hint="eastAsia" w:ascii="宋体" w:hAnsi="宋体"/>
          <w:sz w:val="24"/>
        </w:rPr>
        <w:t>：</w:t>
      </w:r>
    </w:p>
    <w:p>
      <w:pPr>
        <w:pStyle w:val="56"/>
        <w:spacing w:line="360" w:lineRule="auto"/>
        <w:ind w:firstLine="480"/>
        <w:jc w:val="left"/>
        <w:rPr>
          <w:rFonts w:ascii="宋体" w:hAnsi="宋体"/>
          <w:sz w:val="24"/>
        </w:rPr>
      </w:pPr>
      <w:r>
        <w:rPr>
          <w:rFonts w:ascii="宋体" w:hAnsi="宋体"/>
          <w:sz w:val="24"/>
        </w:rPr>
        <w:t>所有技术文件资料均为纸质文件2套和电子版文件1套，其中所有电子版文件必须使用国际通用软件以确保能在招标方的计算机中打开并进行编辑和修改。</w:t>
      </w:r>
    </w:p>
    <w:p>
      <w:pPr>
        <w:pStyle w:val="56"/>
        <w:spacing w:line="360" w:lineRule="auto"/>
        <w:ind w:firstLine="480"/>
        <w:jc w:val="left"/>
        <w:rPr>
          <w:rFonts w:ascii="宋体" w:hAnsi="宋体"/>
          <w:b/>
          <w:sz w:val="24"/>
        </w:rPr>
      </w:pPr>
      <w:r>
        <w:rPr>
          <w:rFonts w:hint="eastAsia" w:ascii="宋体" w:hAnsi="宋体"/>
          <w:sz w:val="24"/>
        </w:rPr>
        <w:t>2.6.1</w:t>
      </w:r>
      <w:r>
        <w:rPr>
          <w:rFonts w:ascii="宋体" w:hAnsi="宋体"/>
          <w:sz w:val="24"/>
        </w:rPr>
        <w:t>工艺部分</w:t>
      </w:r>
    </w:p>
    <w:p>
      <w:pPr>
        <w:pStyle w:val="56"/>
        <w:spacing w:line="360" w:lineRule="auto"/>
        <w:ind w:firstLine="480"/>
        <w:jc w:val="left"/>
        <w:rPr>
          <w:rFonts w:ascii="宋体" w:hAnsi="宋体"/>
          <w:sz w:val="24"/>
        </w:rPr>
      </w:pPr>
      <w:r>
        <w:rPr>
          <w:rFonts w:ascii="宋体" w:hAnsi="宋体"/>
          <w:sz w:val="24"/>
        </w:rPr>
        <w:t>A.工艺方案及相应的作业指导书</w:t>
      </w:r>
      <w:r>
        <w:rPr>
          <w:rFonts w:hint="eastAsia" w:ascii="宋体" w:hAnsi="宋体"/>
          <w:sz w:val="24"/>
        </w:rPr>
        <w:t>；</w:t>
      </w:r>
    </w:p>
    <w:p>
      <w:pPr>
        <w:pStyle w:val="56"/>
        <w:spacing w:line="360" w:lineRule="auto"/>
        <w:ind w:firstLine="480"/>
        <w:jc w:val="left"/>
        <w:rPr>
          <w:rFonts w:ascii="宋体" w:hAnsi="宋体"/>
          <w:sz w:val="24"/>
        </w:rPr>
      </w:pPr>
      <w:r>
        <w:rPr>
          <w:rFonts w:ascii="宋体" w:hAnsi="宋体"/>
          <w:sz w:val="24"/>
        </w:rPr>
        <w:t>B.质量检验方案及相应的作业指导书</w:t>
      </w:r>
      <w:r>
        <w:rPr>
          <w:rFonts w:hint="eastAsia" w:ascii="宋体" w:hAnsi="宋体"/>
          <w:sz w:val="24"/>
        </w:rPr>
        <w:t>；</w:t>
      </w:r>
    </w:p>
    <w:p>
      <w:pPr>
        <w:pStyle w:val="56"/>
        <w:spacing w:line="360" w:lineRule="auto"/>
        <w:ind w:firstLine="480"/>
        <w:jc w:val="left"/>
        <w:rPr>
          <w:rFonts w:ascii="宋体" w:hAnsi="宋体"/>
          <w:sz w:val="24"/>
        </w:rPr>
      </w:pPr>
      <w:r>
        <w:rPr>
          <w:rFonts w:hint="eastAsia" w:ascii="宋体" w:hAnsi="宋体"/>
          <w:sz w:val="24"/>
        </w:rPr>
        <w:t>C.</w:t>
      </w:r>
      <w:r>
        <w:rPr>
          <w:rFonts w:ascii="宋体" w:hAnsi="宋体"/>
          <w:sz w:val="24"/>
        </w:rPr>
        <w:t>各</w:t>
      </w:r>
      <w:r>
        <w:rPr>
          <w:rFonts w:hint="eastAsia" w:ascii="宋体" w:hAnsi="宋体"/>
          <w:sz w:val="24"/>
        </w:rPr>
        <w:t>设备附件</w:t>
      </w:r>
      <w:r>
        <w:rPr>
          <w:rFonts w:ascii="宋体" w:hAnsi="宋体"/>
          <w:sz w:val="24"/>
        </w:rPr>
        <w:t>的数量、规格明细及可供制造或采购的图纸、标准</w:t>
      </w:r>
      <w:r>
        <w:rPr>
          <w:rFonts w:hint="eastAsia" w:ascii="宋体" w:hAnsi="宋体"/>
          <w:sz w:val="24"/>
        </w:rPr>
        <w:t>；</w:t>
      </w:r>
    </w:p>
    <w:p>
      <w:pPr>
        <w:pStyle w:val="56"/>
        <w:spacing w:line="360" w:lineRule="auto"/>
        <w:ind w:firstLine="480"/>
        <w:jc w:val="left"/>
        <w:rPr>
          <w:rFonts w:ascii="宋体" w:hAnsi="宋体"/>
          <w:sz w:val="24"/>
        </w:rPr>
      </w:pPr>
      <w:r>
        <w:rPr>
          <w:rFonts w:hint="eastAsia" w:ascii="宋体" w:hAnsi="宋体"/>
          <w:sz w:val="24"/>
        </w:rPr>
        <w:t>D.标的物的操作、使用和维修手册，以及液压、电气、润滑（气动）原理图；</w:t>
      </w:r>
    </w:p>
    <w:p>
      <w:pPr>
        <w:pStyle w:val="56"/>
        <w:spacing w:line="360" w:lineRule="auto"/>
        <w:ind w:firstLine="480"/>
        <w:jc w:val="left"/>
        <w:rPr>
          <w:rFonts w:ascii="宋体" w:hAnsi="宋体"/>
          <w:sz w:val="24"/>
        </w:rPr>
      </w:pPr>
      <w:r>
        <w:rPr>
          <w:rFonts w:hint="eastAsia" w:ascii="宋体" w:hAnsi="宋体"/>
          <w:sz w:val="24"/>
        </w:rPr>
        <w:t>E.</w:t>
      </w:r>
      <w:r>
        <w:rPr>
          <w:rFonts w:ascii="宋体" w:hAnsi="宋体"/>
          <w:sz w:val="24"/>
        </w:rPr>
        <w:t>提供设施消耗水、电、气的详细资料。保证设施正常运行、维护和保养所必需的其它参数和资料</w:t>
      </w:r>
      <w:r>
        <w:rPr>
          <w:rFonts w:hint="eastAsia" w:ascii="宋体" w:hAnsi="宋体"/>
          <w:sz w:val="24"/>
        </w:rPr>
        <w:t>；</w:t>
      </w:r>
    </w:p>
    <w:p>
      <w:pPr>
        <w:pStyle w:val="56"/>
        <w:spacing w:line="360" w:lineRule="auto"/>
        <w:ind w:firstLine="480"/>
        <w:jc w:val="left"/>
        <w:rPr>
          <w:rFonts w:ascii="宋体" w:hAnsi="宋体"/>
          <w:sz w:val="24"/>
        </w:rPr>
      </w:pPr>
      <w:r>
        <w:rPr>
          <w:rFonts w:hint="eastAsia" w:ascii="宋体" w:hAnsi="宋体"/>
          <w:sz w:val="24"/>
        </w:rPr>
        <w:t>F.水、电、气的位置图及接点、接口指示图。</w:t>
      </w:r>
    </w:p>
    <w:p>
      <w:pPr>
        <w:pStyle w:val="56"/>
        <w:spacing w:line="360" w:lineRule="auto"/>
        <w:ind w:left="420" w:leftChars="200" w:firstLine="0" w:firstLineChars="0"/>
        <w:jc w:val="left"/>
        <w:rPr>
          <w:rFonts w:ascii="宋体" w:hAnsi="宋体"/>
          <w:sz w:val="24"/>
        </w:rPr>
      </w:pPr>
      <w:r>
        <w:rPr>
          <w:rFonts w:hint="eastAsia" w:ascii="宋体" w:hAnsi="宋体"/>
          <w:sz w:val="24"/>
        </w:rPr>
        <w:t>2.6.2工装部分</w:t>
      </w:r>
    </w:p>
    <w:p>
      <w:pPr>
        <w:pStyle w:val="56"/>
        <w:spacing w:line="360" w:lineRule="auto"/>
        <w:ind w:firstLine="480"/>
        <w:jc w:val="left"/>
        <w:rPr>
          <w:rFonts w:ascii="宋体" w:hAnsi="宋体"/>
          <w:sz w:val="24"/>
        </w:rPr>
      </w:pPr>
      <w:r>
        <w:rPr>
          <w:rFonts w:ascii="宋体" w:hAnsi="宋体"/>
          <w:sz w:val="24"/>
        </w:rPr>
        <w:t>A.工装图纸（包括总成图、分总成图、部件图、零件图、夹具基础图以及适用的标准等技术文件）</w:t>
      </w:r>
      <w:r>
        <w:rPr>
          <w:rFonts w:hint="eastAsia" w:ascii="宋体" w:hAnsi="宋体"/>
          <w:sz w:val="24"/>
        </w:rPr>
        <w:t>，投标方专利部分图纸，可提供简图；</w:t>
      </w:r>
      <w:r>
        <w:rPr>
          <w:rFonts w:ascii="宋体" w:hAnsi="宋体"/>
          <w:sz w:val="24"/>
        </w:rPr>
        <w:t>工装图中的各定位孔应有三坐标数据表</w:t>
      </w:r>
      <w:r>
        <w:rPr>
          <w:rFonts w:hint="eastAsia" w:ascii="宋体" w:hAnsi="宋体"/>
          <w:sz w:val="24"/>
        </w:rPr>
        <w:t>；</w:t>
      </w:r>
    </w:p>
    <w:p>
      <w:pPr>
        <w:pStyle w:val="56"/>
        <w:spacing w:line="360" w:lineRule="auto"/>
        <w:ind w:firstLine="480"/>
        <w:jc w:val="left"/>
        <w:rPr>
          <w:rFonts w:ascii="宋体" w:hAnsi="宋体"/>
          <w:sz w:val="24"/>
        </w:rPr>
      </w:pPr>
      <w:r>
        <w:rPr>
          <w:rFonts w:ascii="宋体" w:hAnsi="宋体"/>
          <w:sz w:val="24"/>
        </w:rPr>
        <w:t>B.</w:t>
      </w:r>
      <w:r>
        <w:rPr>
          <w:rFonts w:hint="eastAsia" w:ascii="宋体" w:hAnsi="宋体"/>
          <w:sz w:val="24"/>
        </w:rPr>
        <w:t>设备附件等</w:t>
      </w:r>
      <w:r>
        <w:rPr>
          <w:rFonts w:ascii="宋体" w:hAnsi="宋体"/>
          <w:sz w:val="24"/>
        </w:rPr>
        <w:t>明细表、外购件明细表及相应的供应商联系地址和使用、维修说明书</w:t>
      </w:r>
      <w:r>
        <w:rPr>
          <w:rFonts w:hint="eastAsia" w:ascii="宋体" w:hAnsi="宋体"/>
          <w:sz w:val="24"/>
        </w:rPr>
        <w:t>；</w:t>
      </w:r>
    </w:p>
    <w:p>
      <w:pPr>
        <w:pStyle w:val="56"/>
        <w:spacing w:line="360" w:lineRule="auto"/>
        <w:ind w:firstLine="480"/>
        <w:jc w:val="left"/>
        <w:rPr>
          <w:rFonts w:ascii="宋体" w:hAnsi="宋体"/>
          <w:sz w:val="24"/>
        </w:rPr>
      </w:pPr>
      <w:r>
        <w:rPr>
          <w:rFonts w:ascii="宋体" w:hAnsi="宋体"/>
          <w:sz w:val="24"/>
        </w:rPr>
        <w:t>C.电器、压缩空气、循环水、润滑系统原理图，润滑点及相应的维护使用说明书（图）</w:t>
      </w:r>
      <w:r>
        <w:rPr>
          <w:rFonts w:hint="eastAsia" w:ascii="宋体" w:hAnsi="宋体"/>
          <w:sz w:val="24"/>
        </w:rPr>
        <w:t>；</w:t>
      </w:r>
    </w:p>
    <w:p>
      <w:pPr>
        <w:pStyle w:val="56"/>
        <w:spacing w:line="360" w:lineRule="auto"/>
        <w:ind w:firstLine="480"/>
        <w:jc w:val="left"/>
        <w:rPr>
          <w:rFonts w:ascii="宋体" w:hAnsi="宋体"/>
          <w:sz w:val="24"/>
        </w:rPr>
      </w:pPr>
      <w:r>
        <w:rPr>
          <w:rFonts w:ascii="宋体" w:hAnsi="宋体"/>
          <w:sz w:val="24"/>
        </w:rPr>
        <w:t>D.工装使用说明书</w:t>
      </w:r>
      <w:r>
        <w:rPr>
          <w:rFonts w:hint="eastAsia" w:ascii="宋体" w:hAnsi="宋体"/>
          <w:sz w:val="24"/>
        </w:rPr>
        <w:t>；</w:t>
      </w:r>
    </w:p>
    <w:p>
      <w:pPr>
        <w:pStyle w:val="56"/>
        <w:spacing w:line="360" w:lineRule="auto"/>
        <w:ind w:firstLine="480"/>
        <w:jc w:val="left"/>
        <w:rPr>
          <w:rFonts w:ascii="宋体" w:hAnsi="宋体"/>
          <w:sz w:val="24"/>
        </w:rPr>
      </w:pPr>
      <w:r>
        <w:rPr>
          <w:rFonts w:ascii="宋体" w:hAnsi="宋体"/>
          <w:sz w:val="24"/>
        </w:rPr>
        <w:t>E.</w:t>
      </w:r>
      <w:r>
        <w:rPr>
          <w:rFonts w:hint="eastAsia" w:ascii="宋体" w:hAnsi="宋体"/>
          <w:sz w:val="24"/>
        </w:rPr>
        <w:t>设备附件</w:t>
      </w:r>
      <w:r>
        <w:rPr>
          <w:rFonts w:ascii="宋体" w:hAnsi="宋体"/>
          <w:sz w:val="24"/>
        </w:rPr>
        <w:t>检测数据记录</w:t>
      </w:r>
      <w:r>
        <w:rPr>
          <w:rFonts w:hint="eastAsia" w:ascii="宋体" w:hAnsi="宋体"/>
          <w:sz w:val="24"/>
        </w:rPr>
        <w:t>，终验收前需再次进行全线工装检测，并提供相关记录；</w:t>
      </w:r>
    </w:p>
    <w:p>
      <w:pPr>
        <w:pStyle w:val="56"/>
        <w:spacing w:line="360" w:lineRule="auto"/>
        <w:ind w:firstLine="480"/>
        <w:jc w:val="left"/>
        <w:rPr>
          <w:rFonts w:ascii="宋体" w:hAnsi="宋体"/>
          <w:sz w:val="24"/>
        </w:rPr>
      </w:pPr>
      <w:r>
        <w:rPr>
          <w:rFonts w:ascii="宋体" w:hAnsi="宋体"/>
          <w:sz w:val="24"/>
        </w:rPr>
        <w:t>F.</w:t>
      </w:r>
      <w:r>
        <w:rPr>
          <w:rFonts w:hint="eastAsia" w:ascii="宋体" w:hAnsi="宋体"/>
          <w:sz w:val="24"/>
        </w:rPr>
        <w:t>设备</w:t>
      </w:r>
      <w:r>
        <w:rPr>
          <w:rFonts w:ascii="宋体" w:hAnsi="宋体"/>
          <w:sz w:val="24"/>
        </w:rPr>
        <w:t>所</w:t>
      </w:r>
      <w:r>
        <w:rPr>
          <w:rFonts w:hint="eastAsia" w:ascii="宋体" w:hAnsi="宋体"/>
          <w:sz w:val="24"/>
        </w:rPr>
        <w:t>生产产</w:t>
      </w:r>
      <w:r>
        <w:rPr>
          <w:rFonts w:ascii="宋体" w:hAnsi="宋体"/>
          <w:sz w:val="24"/>
        </w:rPr>
        <w:t>品的检测记录（包括检测数据记录并进行说明）。</w:t>
      </w:r>
    </w:p>
    <w:p>
      <w:pPr>
        <w:pStyle w:val="56"/>
        <w:spacing w:line="360" w:lineRule="auto"/>
        <w:ind w:firstLine="480"/>
        <w:jc w:val="left"/>
        <w:rPr>
          <w:rFonts w:ascii="宋体" w:hAnsi="宋体"/>
          <w:sz w:val="24"/>
        </w:rPr>
      </w:pPr>
      <w:r>
        <w:rPr>
          <w:rFonts w:hint="eastAsia" w:ascii="宋体" w:hAnsi="宋体"/>
          <w:sz w:val="24"/>
        </w:rPr>
        <w:t>2</w:t>
      </w:r>
      <w:r>
        <w:rPr>
          <w:rFonts w:ascii="宋体" w:hAnsi="宋体"/>
          <w:sz w:val="24"/>
        </w:rPr>
        <w:t>.7</w:t>
      </w:r>
      <w:r>
        <w:rPr>
          <w:rFonts w:hint="eastAsia" w:ascii="宋体" w:hAnsi="宋体"/>
          <w:sz w:val="24"/>
        </w:rPr>
        <w:t>终验收的项目包括不限于以下：</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2165"/>
        <w:gridCol w:w="6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r>
              <w:rPr>
                <w:rFonts w:hint="eastAsia"/>
              </w:rPr>
              <w:t>1</w:t>
            </w:r>
          </w:p>
        </w:tc>
        <w:tc>
          <w:tcPr>
            <w:tcW w:w="2165" w:type="dxa"/>
          </w:tcPr>
          <w:p>
            <w:pPr>
              <w:rPr>
                <w:rFonts w:ascii="宋体" w:hAnsi="宋体"/>
                <w:sz w:val="24"/>
              </w:rPr>
            </w:pPr>
            <w:r>
              <w:rPr>
                <w:rFonts w:hint="eastAsia" w:ascii="宋体" w:hAnsi="宋体"/>
                <w:sz w:val="24"/>
              </w:rPr>
              <w:t>集气罩</w:t>
            </w:r>
          </w:p>
        </w:tc>
        <w:tc>
          <w:tcPr>
            <w:tcW w:w="6086" w:type="dxa"/>
          </w:tcPr>
          <w:p>
            <w:pPr>
              <w:rPr>
                <w:rFonts w:ascii="宋体" w:hAnsi="宋体"/>
                <w:sz w:val="24"/>
              </w:rPr>
            </w:pPr>
            <w:r>
              <w:rPr>
                <w:rFonts w:hint="eastAsia" w:ascii="宋体" w:hAnsi="宋体"/>
                <w:sz w:val="24"/>
              </w:rPr>
              <w:t>风量可以满足喷漆要求</w:t>
            </w:r>
          </w:p>
          <w:p>
            <w:pPr>
              <w:rPr>
                <w:rFonts w:ascii="宋体" w:hAnsi="宋体"/>
                <w:sz w:val="24"/>
              </w:rPr>
            </w:pPr>
            <w:r>
              <w:rPr>
                <w:rFonts w:hint="eastAsia" w:ascii="宋体" w:hAnsi="宋体"/>
                <w:sz w:val="24"/>
              </w:rPr>
              <w:t>集气罩风速达到2米/s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r>
              <w:t>2</w:t>
            </w:r>
          </w:p>
        </w:tc>
        <w:tc>
          <w:tcPr>
            <w:tcW w:w="2165" w:type="dxa"/>
          </w:tcPr>
          <w:p>
            <w:pPr>
              <w:rPr>
                <w:rFonts w:ascii="宋体" w:hAnsi="宋体"/>
                <w:sz w:val="24"/>
              </w:rPr>
            </w:pPr>
            <w:r>
              <w:rPr>
                <w:rFonts w:hint="eastAsia" w:ascii="宋体" w:hAnsi="宋体"/>
                <w:sz w:val="24"/>
              </w:rPr>
              <w:t>电动风阀</w:t>
            </w:r>
          </w:p>
        </w:tc>
        <w:tc>
          <w:tcPr>
            <w:tcW w:w="6086" w:type="dxa"/>
          </w:tcPr>
          <w:p>
            <w:pPr>
              <w:widowControl/>
              <w:wordWrap w:val="0"/>
              <w:spacing w:line="408" w:lineRule="atLeast"/>
              <w:jc w:val="left"/>
              <w:outlineLvl w:val="0"/>
              <w:rPr>
                <w:rFonts w:ascii="宋体" w:hAnsi="宋体"/>
                <w:sz w:val="24"/>
              </w:rPr>
            </w:pPr>
            <w:r>
              <w:rPr>
                <w:rFonts w:hint="eastAsia" w:ascii="宋体" w:hAnsi="宋体"/>
                <w:sz w:val="24"/>
              </w:rPr>
              <w:t>可以正常开启并能调节风量大小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r>
              <w:t>3</w:t>
            </w:r>
          </w:p>
        </w:tc>
        <w:tc>
          <w:tcPr>
            <w:tcW w:w="2165" w:type="dxa"/>
          </w:tcPr>
          <w:p>
            <w:pPr>
              <w:rPr>
                <w:rFonts w:ascii="宋体" w:hAnsi="宋体"/>
                <w:sz w:val="24"/>
              </w:rPr>
            </w:pPr>
            <w:r>
              <w:rPr>
                <w:rFonts w:hint="eastAsia" w:ascii="宋体" w:hAnsi="宋体"/>
                <w:sz w:val="24"/>
              </w:rPr>
              <w:t>漆雾过滤箱</w:t>
            </w:r>
          </w:p>
        </w:tc>
        <w:tc>
          <w:tcPr>
            <w:tcW w:w="6086" w:type="dxa"/>
          </w:tcPr>
          <w:p>
            <w:pPr>
              <w:rPr>
                <w:rFonts w:ascii="宋体" w:hAnsi="宋体"/>
                <w:sz w:val="24"/>
              </w:rPr>
            </w:pPr>
            <w:r>
              <w:rPr>
                <w:rFonts w:hint="eastAsia" w:ascii="宋体" w:hAnsi="宋体"/>
                <w:sz w:val="24"/>
              </w:rPr>
              <w:t>方便更换过滤材料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r>
              <w:t>4</w:t>
            </w:r>
          </w:p>
        </w:tc>
        <w:tc>
          <w:tcPr>
            <w:tcW w:w="2165" w:type="dxa"/>
          </w:tcPr>
          <w:p>
            <w:pPr>
              <w:rPr>
                <w:rFonts w:ascii="宋体" w:hAnsi="宋体"/>
                <w:sz w:val="24"/>
              </w:rPr>
            </w:pPr>
            <w:r>
              <w:rPr>
                <w:rFonts w:hint="eastAsia" w:ascii="宋体" w:hAnsi="宋体"/>
                <w:sz w:val="24"/>
              </w:rPr>
              <w:t>电控系统</w:t>
            </w:r>
          </w:p>
        </w:tc>
        <w:tc>
          <w:tcPr>
            <w:tcW w:w="6086" w:type="dxa"/>
          </w:tcPr>
          <w:p>
            <w:pPr>
              <w:rPr>
                <w:rFonts w:ascii="宋体" w:hAnsi="宋体"/>
                <w:sz w:val="24"/>
              </w:rPr>
            </w:pPr>
            <w:r>
              <w:rPr>
                <w:rFonts w:hint="eastAsia" w:ascii="宋体" w:hAnsi="宋体"/>
                <w:sz w:val="24"/>
              </w:rPr>
              <w:t>带有主风机启动，由手动控制和自动控制两种模式;PLC屏幕方便启动和进行参数设置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r>
              <w:t>5</w:t>
            </w:r>
          </w:p>
        </w:tc>
        <w:tc>
          <w:tcPr>
            <w:tcW w:w="2165" w:type="dxa"/>
          </w:tcPr>
          <w:p>
            <w:pPr>
              <w:rPr>
                <w:rFonts w:ascii="宋体" w:hAnsi="宋体"/>
                <w:sz w:val="24"/>
              </w:rPr>
            </w:pPr>
            <w:r>
              <w:rPr>
                <w:rFonts w:hint="eastAsia" w:ascii="宋体" w:hAnsi="宋体"/>
                <w:sz w:val="24"/>
              </w:rPr>
              <w:t>管道</w:t>
            </w:r>
          </w:p>
        </w:tc>
        <w:tc>
          <w:tcPr>
            <w:tcW w:w="6086" w:type="dxa"/>
          </w:tcPr>
          <w:p>
            <w:pPr>
              <w:rPr>
                <w:rFonts w:ascii="宋体" w:hAnsi="宋体"/>
                <w:sz w:val="24"/>
              </w:rPr>
            </w:pPr>
            <w:r>
              <w:rPr>
                <w:rFonts w:hint="eastAsia" w:ascii="宋体" w:hAnsi="宋体"/>
                <w:sz w:val="24"/>
              </w:rPr>
              <w:t>安装牢固并配有静电跨接线，法兰连接处用螺丝固定，密封完整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r>
              <w:t>6</w:t>
            </w:r>
          </w:p>
        </w:tc>
        <w:tc>
          <w:tcPr>
            <w:tcW w:w="2165" w:type="dxa"/>
          </w:tcPr>
          <w:p>
            <w:pPr>
              <w:rPr>
                <w:rFonts w:ascii="宋体" w:hAnsi="宋体"/>
                <w:sz w:val="24"/>
              </w:rPr>
            </w:pPr>
            <w:r>
              <w:rPr>
                <w:rFonts w:hint="eastAsia" w:ascii="宋体" w:hAnsi="宋体"/>
                <w:sz w:val="24"/>
              </w:rPr>
              <w:t>现场卫生</w:t>
            </w:r>
          </w:p>
        </w:tc>
        <w:tc>
          <w:tcPr>
            <w:tcW w:w="6086" w:type="dxa"/>
          </w:tcPr>
          <w:p>
            <w:pPr>
              <w:rPr>
                <w:rFonts w:ascii="宋体" w:hAnsi="宋体"/>
                <w:sz w:val="24"/>
              </w:rPr>
            </w:pPr>
            <w:r>
              <w:rPr>
                <w:rFonts w:hint="eastAsia" w:ascii="宋体" w:hAnsi="宋体"/>
                <w:sz w:val="24"/>
              </w:rPr>
              <w:t>打扫清理干净，垃圾都按照要求清扫干净整洁</w:t>
            </w:r>
          </w:p>
        </w:tc>
      </w:tr>
    </w:tbl>
    <w:p>
      <w:pPr>
        <w:pStyle w:val="2"/>
        <w:ind w:left="0"/>
        <w:jc w:val="both"/>
        <w:rPr>
          <w:sz w:val="32"/>
          <w:szCs w:val="32"/>
        </w:rPr>
      </w:pPr>
      <w:bookmarkStart w:id="63" w:name="_Toc26357137"/>
      <w:bookmarkStart w:id="64" w:name="_Toc27758129"/>
      <w:bookmarkStart w:id="65" w:name="_Toc180241691"/>
      <w:bookmarkStart w:id="66" w:name="_Toc25336"/>
      <w:r>
        <w:rPr>
          <w:rFonts w:hint="eastAsia"/>
          <w:sz w:val="32"/>
          <w:szCs w:val="32"/>
        </w:rPr>
        <w:t>八、服务</w:t>
      </w:r>
      <w:bookmarkEnd w:id="63"/>
      <w:bookmarkEnd w:id="64"/>
      <w:bookmarkEnd w:id="65"/>
      <w:bookmarkEnd w:id="66"/>
    </w:p>
    <w:p>
      <w:pPr>
        <w:pStyle w:val="56"/>
        <w:numPr>
          <w:ilvl w:val="0"/>
          <w:numId w:val="11"/>
        </w:numPr>
        <w:spacing w:line="360" w:lineRule="auto"/>
        <w:ind w:left="0" w:firstLine="480"/>
        <w:jc w:val="left"/>
        <w:rPr>
          <w:rFonts w:ascii="宋体" w:hAnsi="宋体"/>
          <w:sz w:val="24"/>
        </w:rPr>
      </w:pPr>
      <w:r>
        <w:rPr>
          <w:rFonts w:ascii="宋体" w:hAnsi="宋体"/>
          <w:sz w:val="24"/>
        </w:rPr>
        <w:t>技术培训</w:t>
      </w:r>
    </w:p>
    <w:p>
      <w:pPr>
        <w:pStyle w:val="56"/>
        <w:numPr>
          <w:ilvl w:val="0"/>
          <w:numId w:val="12"/>
        </w:numPr>
        <w:tabs>
          <w:tab w:val="left" w:pos="1005"/>
        </w:tabs>
        <w:spacing w:line="360" w:lineRule="auto"/>
        <w:ind w:left="0" w:firstLine="480"/>
        <w:jc w:val="left"/>
        <w:rPr>
          <w:rFonts w:ascii="宋体" w:hAnsi="宋体"/>
          <w:sz w:val="24"/>
        </w:rPr>
      </w:pPr>
      <w:r>
        <w:rPr>
          <w:rFonts w:ascii="宋体" w:hAnsi="宋体"/>
          <w:sz w:val="24"/>
        </w:rPr>
        <w:t>在预验收和终验收期间，投标方应派有经验的专家对招标方相关人员进行理论和实际操作的培训，并提供成套培训资料</w:t>
      </w:r>
      <w:r>
        <w:rPr>
          <w:rFonts w:hint="eastAsia" w:ascii="宋体" w:hAnsi="宋体"/>
          <w:sz w:val="24"/>
        </w:rPr>
        <w:t>，</w:t>
      </w:r>
      <w:r>
        <w:rPr>
          <w:rFonts w:ascii="宋体" w:hAnsi="宋体"/>
          <w:sz w:val="24"/>
        </w:rPr>
        <w:t>所有培训应是免费的。</w:t>
      </w:r>
    </w:p>
    <w:p>
      <w:pPr>
        <w:pStyle w:val="56"/>
        <w:numPr>
          <w:ilvl w:val="0"/>
          <w:numId w:val="12"/>
        </w:numPr>
        <w:tabs>
          <w:tab w:val="left" w:pos="1005"/>
        </w:tabs>
        <w:spacing w:line="360" w:lineRule="auto"/>
        <w:ind w:left="0" w:firstLine="480"/>
        <w:jc w:val="left"/>
        <w:rPr>
          <w:rFonts w:ascii="宋体" w:hAnsi="宋体"/>
          <w:sz w:val="24"/>
        </w:rPr>
      </w:pPr>
      <w:r>
        <w:rPr>
          <w:rFonts w:ascii="宋体" w:hAnsi="宋体"/>
          <w:sz w:val="24"/>
        </w:rPr>
        <w:t>培训结束后，投标方应保证招标方相关人员能正确、熟练地掌握标的物的操作和维护，并在</w:t>
      </w:r>
      <w:r>
        <w:rPr>
          <w:rFonts w:hint="eastAsia" w:ascii="宋体" w:hAnsi="宋体"/>
          <w:sz w:val="24"/>
        </w:rPr>
        <w:t>各条线体</w:t>
      </w:r>
      <w:r>
        <w:rPr>
          <w:rFonts w:ascii="宋体" w:hAnsi="宋体"/>
          <w:sz w:val="24"/>
        </w:rPr>
        <w:t>正常运行时，能排除一般性故障。</w:t>
      </w:r>
    </w:p>
    <w:p>
      <w:pPr>
        <w:pStyle w:val="56"/>
        <w:numPr>
          <w:ilvl w:val="0"/>
          <w:numId w:val="12"/>
        </w:numPr>
        <w:tabs>
          <w:tab w:val="left" w:pos="1005"/>
        </w:tabs>
        <w:spacing w:line="360" w:lineRule="auto"/>
        <w:ind w:left="0" w:firstLine="480"/>
        <w:jc w:val="left"/>
        <w:rPr>
          <w:rFonts w:ascii="宋体" w:hAnsi="宋体"/>
          <w:sz w:val="24"/>
        </w:rPr>
      </w:pPr>
      <w:r>
        <w:rPr>
          <w:rFonts w:ascii="宋体" w:hAnsi="宋体"/>
          <w:sz w:val="24"/>
        </w:rPr>
        <w:t>培训期间的交流语言为中文，当采用其他语言时投标方应提供翻译。</w:t>
      </w:r>
    </w:p>
    <w:p>
      <w:pPr>
        <w:pStyle w:val="56"/>
        <w:numPr>
          <w:ilvl w:val="0"/>
          <w:numId w:val="11"/>
        </w:numPr>
        <w:spacing w:line="360" w:lineRule="auto"/>
        <w:ind w:left="0" w:firstLine="480"/>
        <w:jc w:val="left"/>
        <w:rPr>
          <w:rFonts w:ascii="宋体" w:hAnsi="宋体"/>
          <w:sz w:val="24"/>
        </w:rPr>
      </w:pPr>
      <w:r>
        <w:rPr>
          <w:rFonts w:ascii="宋体" w:hAnsi="宋体"/>
          <w:sz w:val="24"/>
        </w:rPr>
        <w:t>质量保证期及售后服务</w:t>
      </w:r>
    </w:p>
    <w:p>
      <w:pPr>
        <w:pStyle w:val="56"/>
        <w:numPr>
          <w:ilvl w:val="0"/>
          <w:numId w:val="13"/>
        </w:numPr>
        <w:tabs>
          <w:tab w:val="left" w:pos="1020"/>
        </w:tabs>
        <w:spacing w:line="360" w:lineRule="auto"/>
        <w:ind w:left="0" w:firstLine="480"/>
        <w:jc w:val="left"/>
        <w:rPr>
          <w:rFonts w:ascii="宋体" w:hAnsi="宋体"/>
          <w:sz w:val="24"/>
        </w:rPr>
      </w:pPr>
      <w:r>
        <w:rPr>
          <w:rFonts w:ascii="宋体" w:hAnsi="宋体"/>
          <w:sz w:val="24"/>
        </w:rPr>
        <w:t>质量保证期为标的最终验收合格后1</w:t>
      </w:r>
      <w:r>
        <w:rPr>
          <w:rFonts w:hint="eastAsia" w:ascii="宋体" w:hAnsi="宋体"/>
          <w:sz w:val="24"/>
        </w:rPr>
        <w:t>2</w:t>
      </w:r>
      <w:r>
        <w:rPr>
          <w:rFonts w:ascii="宋体" w:hAnsi="宋体"/>
          <w:sz w:val="24"/>
        </w:rPr>
        <w:t>个月。</w:t>
      </w:r>
    </w:p>
    <w:p>
      <w:pPr>
        <w:pStyle w:val="56"/>
        <w:numPr>
          <w:ilvl w:val="0"/>
          <w:numId w:val="13"/>
        </w:numPr>
        <w:tabs>
          <w:tab w:val="left" w:pos="1020"/>
        </w:tabs>
        <w:spacing w:line="360" w:lineRule="auto"/>
        <w:ind w:left="0" w:firstLine="480"/>
        <w:jc w:val="left"/>
        <w:rPr>
          <w:rFonts w:ascii="宋体" w:hAnsi="宋体"/>
          <w:sz w:val="24"/>
        </w:rPr>
      </w:pPr>
      <w:r>
        <w:rPr>
          <w:rFonts w:hint="eastAsia" w:ascii="宋体" w:hAnsi="宋体"/>
          <w:sz w:val="24"/>
        </w:rPr>
        <w:t>在设备终验收后</w:t>
      </w:r>
      <w:r>
        <w:rPr>
          <w:rFonts w:ascii="宋体" w:hAnsi="宋体"/>
          <w:sz w:val="24"/>
        </w:rPr>
        <w:t>，投标方应派专业人员</w:t>
      </w:r>
      <w:r>
        <w:rPr>
          <w:rFonts w:hint="eastAsia" w:ascii="宋体" w:hAnsi="宋体"/>
          <w:sz w:val="24"/>
        </w:rPr>
        <w:t>到招标方现场</w:t>
      </w:r>
      <w:r>
        <w:rPr>
          <w:rFonts w:ascii="宋体" w:hAnsi="宋体"/>
          <w:sz w:val="24"/>
        </w:rPr>
        <w:t>陪产</w:t>
      </w:r>
      <w:r>
        <w:rPr>
          <w:rFonts w:hint="eastAsia" w:ascii="宋体" w:hAnsi="宋体"/>
          <w:sz w:val="24"/>
        </w:rPr>
        <w:t>12</w:t>
      </w:r>
      <w:r>
        <w:rPr>
          <w:rFonts w:ascii="宋体" w:hAnsi="宋体"/>
          <w:sz w:val="24"/>
        </w:rPr>
        <w:t>个月，</w:t>
      </w:r>
      <w:r>
        <w:rPr>
          <w:rFonts w:hint="eastAsia" w:ascii="宋体" w:hAnsi="宋体"/>
          <w:sz w:val="24"/>
        </w:rPr>
        <w:t>提供技术服务，</w:t>
      </w:r>
      <w:r>
        <w:rPr>
          <w:rFonts w:ascii="宋体" w:hAnsi="宋体"/>
          <w:sz w:val="24"/>
        </w:rPr>
        <w:t>以确保</w:t>
      </w:r>
      <w:r>
        <w:rPr>
          <w:rFonts w:hint="eastAsia" w:ascii="宋体" w:hAnsi="宋体"/>
          <w:sz w:val="24"/>
        </w:rPr>
        <w:t>各设备稳定运行以及</w:t>
      </w:r>
      <w:r>
        <w:rPr>
          <w:rFonts w:ascii="宋体" w:hAnsi="宋体"/>
          <w:sz w:val="24"/>
        </w:rPr>
        <w:t>生产节拍、产品质量和精度</w:t>
      </w:r>
      <w:r>
        <w:rPr>
          <w:rFonts w:hint="eastAsia" w:ascii="宋体" w:hAnsi="宋体"/>
          <w:sz w:val="24"/>
        </w:rPr>
        <w:t>，如生产线在陪产期间有重大故障发生，陪产看护期顺延，以故障排除之日起重新计算12个月陪产期。</w:t>
      </w:r>
    </w:p>
    <w:p>
      <w:pPr>
        <w:pStyle w:val="56"/>
        <w:numPr>
          <w:ilvl w:val="0"/>
          <w:numId w:val="13"/>
        </w:numPr>
        <w:tabs>
          <w:tab w:val="left" w:pos="1020"/>
        </w:tabs>
        <w:spacing w:line="360" w:lineRule="auto"/>
        <w:ind w:left="0" w:firstLine="480"/>
        <w:jc w:val="left"/>
        <w:rPr>
          <w:rFonts w:ascii="宋体" w:hAnsi="宋体"/>
          <w:sz w:val="24"/>
        </w:rPr>
      </w:pPr>
      <w:r>
        <w:rPr>
          <w:rFonts w:hint="eastAsia" w:ascii="宋体" w:hAnsi="宋体"/>
          <w:sz w:val="24"/>
        </w:rPr>
        <w:t>质保期内维修使用的备品备件由投标方提供。</w:t>
      </w:r>
    </w:p>
    <w:p>
      <w:pPr>
        <w:pStyle w:val="56"/>
        <w:numPr>
          <w:ilvl w:val="0"/>
          <w:numId w:val="13"/>
        </w:numPr>
        <w:tabs>
          <w:tab w:val="left" w:pos="1020"/>
        </w:tabs>
        <w:spacing w:line="360" w:lineRule="auto"/>
        <w:ind w:left="0" w:firstLine="480"/>
        <w:jc w:val="left"/>
        <w:rPr>
          <w:rFonts w:ascii="宋体" w:hAnsi="宋体"/>
          <w:sz w:val="24"/>
        </w:rPr>
      </w:pPr>
      <w:r>
        <w:rPr>
          <w:rFonts w:hint="eastAsia" w:ascii="宋体" w:hAnsi="宋体"/>
          <w:sz w:val="24"/>
        </w:rPr>
        <w:t>质保期过后，投标方提供备品备件的明细、品牌和参数，招标方根据实际需求采购。</w:t>
      </w:r>
    </w:p>
    <w:p>
      <w:pPr>
        <w:pStyle w:val="2"/>
        <w:ind w:left="0"/>
        <w:jc w:val="both"/>
        <w:rPr>
          <w:sz w:val="32"/>
          <w:szCs w:val="32"/>
        </w:rPr>
      </w:pPr>
      <w:bookmarkStart w:id="67" w:name="_Toc17670"/>
      <w:bookmarkStart w:id="68" w:name="_Toc180241692"/>
      <w:bookmarkStart w:id="69" w:name="_Toc27758130"/>
      <w:bookmarkStart w:id="70" w:name="_Toc26357138"/>
      <w:r>
        <w:rPr>
          <w:rFonts w:hint="eastAsia"/>
          <w:sz w:val="32"/>
          <w:szCs w:val="32"/>
        </w:rPr>
        <w:t>九、交货期</w:t>
      </w:r>
      <w:bookmarkEnd w:id="67"/>
      <w:bookmarkEnd w:id="68"/>
      <w:bookmarkEnd w:id="69"/>
      <w:bookmarkEnd w:id="70"/>
    </w:p>
    <w:p>
      <w:pPr>
        <w:ind w:firstLine="480" w:firstLineChars="200"/>
        <w:rPr>
          <w:rFonts w:ascii="宋体" w:hAnsi="宋体"/>
          <w:sz w:val="24"/>
        </w:rPr>
      </w:pPr>
      <w:r>
        <w:rPr>
          <w:rFonts w:ascii="宋体" w:hAnsi="宋体"/>
          <w:sz w:val="24"/>
        </w:rPr>
        <w:t>1.合同生效后180个日历日之内交货至供货地点。</w:t>
      </w:r>
    </w:p>
    <w:p>
      <w:pPr>
        <w:ind w:firstLine="480" w:firstLineChars="200"/>
        <w:rPr>
          <w:rFonts w:ascii="宋体" w:hAnsi="宋体"/>
          <w:sz w:val="24"/>
        </w:rPr>
      </w:pPr>
      <w:r>
        <w:rPr>
          <w:rFonts w:ascii="宋体" w:hAnsi="宋体"/>
          <w:sz w:val="24"/>
        </w:rPr>
        <w:t>2.接续60个日历日之内安装调试完毕。</w:t>
      </w:r>
    </w:p>
    <w:p>
      <w:pPr>
        <w:ind w:firstLine="480" w:firstLineChars="200"/>
        <w:rPr>
          <w:rFonts w:ascii="宋体" w:hAnsi="宋体"/>
          <w:sz w:val="24"/>
        </w:rPr>
      </w:pPr>
      <w:r>
        <w:rPr>
          <w:rFonts w:ascii="宋体" w:hAnsi="宋体"/>
          <w:sz w:val="24"/>
        </w:rPr>
        <w:t>3.接续120个日历日之内完成终验收。</w:t>
      </w:r>
    </w:p>
    <w:p>
      <w:pPr>
        <w:ind w:firstLine="480" w:firstLineChars="200"/>
      </w:pPr>
      <w:r>
        <w:rPr>
          <w:rFonts w:hint="eastAsia" w:ascii="宋体" w:hAnsi="宋体"/>
          <w:sz w:val="24"/>
        </w:rPr>
        <w:t>安装调试时间或终验收时间超过规定时间的，投标人应当随标书提供详细的工期计划。</w:t>
      </w:r>
    </w:p>
    <w:p>
      <w:pPr>
        <w:pStyle w:val="45"/>
        <w:rPr>
          <w:rFonts w:hint="eastAsia" w:ascii="宋体" w:hAnsi="宋体" w:eastAsia="宋体" w:cs="宋体"/>
          <w:sz w:val="24"/>
          <w:szCs w:val="24"/>
        </w:rPr>
      </w:pPr>
    </w:p>
    <w:p>
      <w:pPr>
        <w:pStyle w:val="45"/>
        <w:ind w:left="0"/>
        <w:rPr>
          <w:rFonts w:hint="eastAsia" w:ascii="宋体" w:hAnsi="宋体" w:eastAsia="宋体" w:cs="宋体"/>
          <w:sz w:val="24"/>
          <w:szCs w:val="24"/>
        </w:rPr>
      </w:pPr>
    </w:p>
    <w:p>
      <w:pPr>
        <w:pStyle w:val="16"/>
      </w:pPr>
    </w:p>
    <w:p>
      <w:pPr>
        <w:spacing w:line="360" w:lineRule="auto"/>
        <w:jc w:val="center"/>
        <w:outlineLvl w:val="0"/>
        <w:rPr>
          <w:rFonts w:ascii="宋体" w:hAnsi="Calibri" w:eastAsia="宋体" w:cs="Times New Roman"/>
          <w:b/>
          <w:sz w:val="36"/>
          <w:szCs w:val="36"/>
        </w:rPr>
      </w:pPr>
      <w:bookmarkStart w:id="71"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71"/>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16"/>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headerReference r:id="rId14" w:type="default"/>
          <w:footerReference r:id="rId15"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72"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3" w:name="_Toc11823"/>
      <w:bookmarkStart w:id="74" w:name="_Toc11930"/>
      <w:bookmarkStart w:id="75" w:name="_Toc17619"/>
      <w:bookmarkStart w:id="76" w:name="_Toc16330018"/>
      <w:r>
        <w:rPr>
          <w:rFonts w:hint="eastAsia" w:ascii="黑体" w:hAnsi="黑体" w:eastAsia="黑体" w:cstheme="minorEastAsia"/>
          <w:b w:val="0"/>
          <w:sz w:val="28"/>
          <w:szCs w:val="28"/>
        </w:rPr>
        <w:t>1 合同设备</w:t>
      </w:r>
      <w:bookmarkEnd w:id="73"/>
      <w:bookmarkEnd w:id="74"/>
      <w:bookmarkEnd w:id="75"/>
      <w:bookmarkEnd w:id="7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77" w:name="_Toc22800"/>
      <w:bookmarkStart w:id="78" w:name="_Toc32510"/>
      <w:bookmarkStart w:id="79" w:name="_Toc29026"/>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0" w:name="_Toc16330019"/>
      <w:r>
        <w:rPr>
          <w:rFonts w:hint="eastAsia" w:ascii="黑体" w:hAnsi="黑体" w:eastAsia="黑体" w:cstheme="minorEastAsia"/>
          <w:b w:val="0"/>
          <w:sz w:val="28"/>
          <w:szCs w:val="28"/>
        </w:rPr>
        <w:t>2 包装</w:t>
      </w:r>
      <w:bookmarkEnd w:id="77"/>
      <w:bookmarkEnd w:id="78"/>
      <w:bookmarkEnd w:id="79"/>
      <w:bookmarkEnd w:id="8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1" w:name="_Toc27144"/>
      <w:bookmarkStart w:id="82" w:name="_Toc16330020"/>
      <w:bookmarkStart w:id="83" w:name="_Toc2833"/>
      <w:bookmarkStart w:id="84" w:name="_Toc27453"/>
      <w:r>
        <w:rPr>
          <w:rFonts w:hint="eastAsia" w:ascii="黑体" w:hAnsi="黑体" w:eastAsia="黑体" w:cstheme="minorEastAsia"/>
          <w:b w:val="0"/>
          <w:sz w:val="28"/>
          <w:szCs w:val="28"/>
        </w:rPr>
        <w:t>3 运输标记</w:t>
      </w:r>
      <w:bookmarkEnd w:id="81"/>
      <w:bookmarkEnd w:id="82"/>
      <w:bookmarkEnd w:id="83"/>
      <w:bookmarkEnd w:id="8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5" w:name="_Toc16133"/>
      <w:bookmarkStart w:id="86" w:name="_Toc10630"/>
      <w:bookmarkStart w:id="87" w:name="_Toc7431"/>
      <w:bookmarkStart w:id="88" w:name="_Toc16330021"/>
      <w:r>
        <w:rPr>
          <w:rFonts w:hint="eastAsia" w:ascii="黑体" w:hAnsi="黑体" w:eastAsia="黑体" w:cstheme="minorEastAsia"/>
          <w:b w:val="0"/>
          <w:sz w:val="28"/>
          <w:szCs w:val="28"/>
        </w:rPr>
        <w:t>4 检验</w:t>
      </w:r>
      <w:bookmarkEnd w:id="85"/>
      <w:bookmarkEnd w:id="86"/>
      <w:bookmarkEnd w:id="87"/>
      <w:bookmarkEnd w:id="8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9" w:name="_Toc24467"/>
      <w:bookmarkStart w:id="90" w:name="_Toc19850"/>
      <w:bookmarkStart w:id="91" w:name="_Toc16330022"/>
      <w:bookmarkStart w:id="92" w:name="_Toc11217"/>
      <w:r>
        <w:rPr>
          <w:rFonts w:hint="eastAsia" w:ascii="黑体" w:hAnsi="黑体" w:eastAsia="黑体" w:cstheme="minorEastAsia"/>
          <w:b w:val="0"/>
          <w:sz w:val="28"/>
          <w:szCs w:val="28"/>
        </w:rPr>
        <w:t>5 权利担保</w:t>
      </w:r>
      <w:bookmarkEnd w:id="89"/>
      <w:bookmarkEnd w:id="90"/>
      <w:bookmarkEnd w:id="91"/>
      <w:bookmarkEnd w:id="9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3" w:name="_Toc16330023"/>
      <w:bookmarkStart w:id="94" w:name="_Toc14809"/>
      <w:bookmarkStart w:id="95" w:name="_Toc27500"/>
      <w:bookmarkStart w:id="96" w:name="_Toc11759"/>
      <w:r>
        <w:rPr>
          <w:rFonts w:hint="eastAsia" w:ascii="黑体" w:hAnsi="黑体" w:eastAsia="黑体" w:cstheme="minorEastAsia"/>
          <w:b w:val="0"/>
          <w:sz w:val="28"/>
          <w:szCs w:val="28"/>
        </w:rPr>
        <w:t>6 交货</w:t>
      </w:r>
      <w:bookmarkEnd w:id="93"/>
      <w:bookmarkEnd w:id="94"/>
      <w:bookmarkEnd w:id="95"/>
      <w:bookmarkEnd w:id="9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7" w:name="_Toc25510"/>
      <w:bookmarkStart w:id="98" w:name="_Toc2984"/>
      <w:bookmarkStart w:id="99" w:name="_Toc8024"/>
      <w:bookmarkStart w:id="100" w:name="_Toc16330024"/>
      <w:r>
        <w:rPr>
          <w:rFonts w:hint="eastAsia" w:ascii="黑体" w:hAnsi="黑体" w:eastAsia="黑体" w:cstheme="minorEastAsia"/>
          <w:b w:val="0"/>
          <w:sz w:val="28"/>
          <w:szCs w:val="28"/>
        </w:rPr>
        <w:t>7 安装、调试</w:t>
      </w:r>
      <w:bookmarkEnd w:id="97"/>
      <w:bookmarkEnd w:id="98"/>
      <w:bookmarkEnd w:id="99"/>
      <w:bookmarkEnd w:id="100"/>
    </w:p>
    <w:p>
      <w:pPr>
        <w:pStyle w:val="11"/>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1" w:name="_Toc14098"/>
      <w:bookmarkStart w:id="102" w:name="_Toc6350"/>
      <w:bookmarkStart w:id="103" w:name="_Toc16330025"/>
      <w:bookmarkStart w:id="104" w:name="_Toc14260"/>
      <w:r>
        <w:rPr>
          <w:rFonts w:hint="eastAsia" w:ascii="黑体" w:hAnsi="黑体" w:eastAsia="黑体" w:cstheme="minorEastAsia"/>
          <w:b w:val="0"/>
          <w:sz w:val="28"/>
          <w:szCs w:val="28"/>
        </w:rPr>
        <w:t>8 价款与支付</w:t>
      </w:r>
      <w:bookmarkEnd w:id="101"/>
      <w:bookmarkEnd w:id="102"/>
      <w:bookmarkEnd w:id="103"/>
      <w:bookmarkEnd w:id="10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105" w:name="_Toc14531628"/>
      <w:bookmarkStart w:id="106"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105"/>
      <w:bookmarkEnd w:id="106"/>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7" w:name="_Toc24085"/>
      <w:bookmarkStart w:id="108" w:name="_Toc6726"/>
      <w:bookmarkStart w:id="109" w:name="_Toc16330026"/>
      <w:bookmarkStart w:id="110" w:name="_Toc25708"/>
      <w:r>
        <w:rPr>
          <w:rFonts w:hint="eastAsia" w:ascii="黑体" w:hAnsi="黑体" w:eastAsia="黑体" w:cstheme="minorEastAsia"/>
          <w:b w:val="0"/>
          <w:sz w:val="28"/>
          <w:szCs w:val="28"/>
        </w:rPr>
        <w:t>9 质量保证及售后服务</w:t>
      </w:r>
      <w:bookmarkEnd w:id="107"/>
      <w:bookmarkEnd w:id="108"/>
      <w:bookmarkEnd w:id="109"/>
      <w:bookmarkEnd w:id="11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1" w:name="_Toc15570"/>
      <w:bookmarkStart w:id="112" w:name="_Toc10359"/>
      <w:bookmarkStart w:id="113" w:name="_Toc12927"/>
      <w:bookmarkStart w:id="114" w:name="_Toc16330027"/>
      <w:r>
        <w:rPr>
          <w:rFonts w:hint="eastAsia" w:ascii="黑体" w:hAnsi="黑体" w:eastAsia="黑体" w:cstheme="minorEastAsia"/>
          <w:b w:val="0"/>
          <w:sz w:val="28"/>
          <w:szCs w:val="28"/>
        </w:rPr>
        <w:t>10法定责任</w:t>
      </w:r>
      <w:bookmarkEnd w:id="111"/>
      <w:bookmarkEnd w:id="112"/>
      <w:bookmarkEnd w:id="113"/>
      <w:bookmarkEnd w:id="11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5" w:name="_Toc30381"/>
      <w:bookmarkStart w:id="116" w:name="_Toc27314"/>
      <w:bookmarkStart w:id="117" w:name="_Toc16330028"/>
      <w:bookmarkStart w:id="118" w:name="_Toc9708"/>
      <w:r>
        <w:rPr>
          <w:rFonts w:hint="eastAsia" w:ascii="黑体" w:hAnsi="黑体" w:eastAsia="黑体" w:cstheme="minorEastAsia"/>
          <w:b w:val="0"/>
          <w:sz w:val="28"/>
          <w:szCs w:val="28"/>
        </w:rPr>
        <w:t>11 违约责任</w:t>
      </w:r>
      <w:bookmarkEnd w:id="115"/>
      <w:bookmarkEnd w:id="116"/>
      <w:bookmarkEnd w:id="117"/>
      <w:bookmarkEnd w:id="118"/>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9" w:name="_Toc16330029"/>
      <w:bookmarkStart w:id="120" w:name="_Toc1827"/>
      <w:bookmarkStart w:id="121" w:name="_Toc31554"/>
      <w:bookmarkStart w:id="122" w:name="_Toc9172"/>
      <w:r>
        <w:rPr>
          <w:rFonts w:hint="eastAsia" w:ascii="黑体" w:hAnsi="黑体" w:eastAsia="黑体" w:cstheme="minorEastAsia"/>
          <w:b w:val="0"/>
          <w:sz w:val="28"/>
          <w:szCs w:val="28"/>
        </w:rPr>
        <w:t>12 合同的终止与解除</w:t>
      </w:r>
      <w:bookmarkEnd w:id="119"/>
      <w:bookmarkEnd w:id="120"/>
      <w:bookmarkEnd w:id="121"/>
      <w:bookmarkEnd w:id="12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3" w:name="_Toc13671"/>
      <w:bookmarkStart w:id="124" w:name="_Toc8620"/>
      <w:bookmarkStart w:id="125" w:name="_Toc16330030"/>
      <w:bookmarkStart w:id="126" w:name="_Toc31945"/>
      <w:r>
        <w:rPr>
          <w:rFonts w:hint="eastAsia" w:ascii="黑体" w:hAnsi="黑体" w:eastAsia="黑体" w:cstheme="minorEastAsia"/>
          <w:b w:val="0"/>
          <w:sz w:val="28"/>
          <w:szCs w:val="28"/>
        </w:rPr>
        <w:t>13 不可抗力</w:t>
      </w:r>
      <w:bookmarkEnd w:id="123"/>
      <w:bookmarkEnd w:id="124"/>
      <w:bookmarkEnd w:id="125"/>
      <w:bookmarkEnd w:id="12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7" w:name="_Toc31243"/>
      <w:bookmarkStart w:id="128" w:name="_Toc637"/>
      <w:bookmarkStart w:id="129" w:name="_Toc30389"/>
      <w:bookmarkStart w:id="130" w:name="_Toc16330031"/>
      <w:r>
        <w:rPr>
          <w:rFonts w:hint="eastAsia" w:ascii="黑体" w:hAnsi="黑体" w:eastAsia="黑体" w:cstheme="minorEastAsia"/>
          <w:b w:val="0"/>
          <w:sz w:val="28"/>
          <w:szCs w:val="28"/>
        </w:rPr>
        <w:t>14 通讯</w:t>
      </w:r>
      <w:bookmarkEnd w:id="127"/>
      <w:bookmarkEnd w:id="128"/>
      <w:bookmarkEnd w:id="129"/>
      <w:bookmarkEnd w:id="13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4"/>
        <w:tabs>
          <w:tab w:val="right" w:leader="dot" w:pos="9061"/>
        </w:tabs>
        <w:spacing w:before="240" w:beforeLines="100"/>
        <w:jc w:val="both"/>
        <w:rPr>
          <w:rFonts w:ascii="黑体" w:hAnsi="黑体" w:eastAsia="黑体" w:cstheme="minorEastAsia"/>
          <w:b w:val="0"/>
          <w:sz w:val="28"/>
          <w:szCs w:val="28"/>
        </w:rPr>
      </w:pPr>
      <w:bookmarkStart w:id="131" w:name="_Toc9915"/>
      <w:bookmarkStart w:id="132" w:name="_Toc16330032"/>
      <w:bookmarkStart w:id="133" w:name="_Toc11290"/>
      <w:bookmarkStart w:id="134" w:name="_Toc12984"/>
      <w:r>
        <w:rPr>
          <w:rFonts w:hint="eastAsia" w:ascii="黑体" w:hAnsi="黑体" w:eastAsia="黑体" w:cstheme="minorEastAsia"/>
          <w:b w:val="0"/>
          <w:sz w:val="28"/>
          <w:szCs w:val="28"/>
        </w:rPr>
        <w:t>15 适用法律及争议解决</w:t>
      </w:r>
      <w:bookmarkEnd w:id="131"/>
      <w:bookmarkEnd w:id="132"/>
      <w:bookmarkEnd w:id="133"/>
      <w:bookmarkEnd w:id="13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35" w:name="_Toc23906"/>
      <w:bookmarkStart w:id="136" w:name="_Toc16330033"/>
      <w:bookmarkStart w:id="137" w:name="_Toc18207"/>
      <w:bookmarkStart w:id="138" w:name="_Toc23765"/>
      <w:r>
        <w:rPr>
          <w:rFonts w:hint="eastAsia" w:ascii="黑体" w:hAnsi="黑体" w:eastAsia="黑体" w:cstheme="minorEastAsia"/>
          <w:b w:val="0"/>
          <w:sz w:val="28"/>
          <w:szCs w:val="28"/>
        </w:rPr>
        <w:t>16 附件</w:t>
      </w:r>
      <w:bookmarkEnd w:id="135"/>
      <w:bookmarkEnd w:id="136"/>
      <w:bookmarkEnd w:id="137"/>
      <w:bookmarkEnd w:id="13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39" w:name="_Toc16330034"/>
      <w:bookmarkStart w:id="140" w:name="_Toc27202"/>
      <w:bookmarkStart w:id="141" w:name="_Toc31331"/>
      <w:bookmarkStart w:id="142" w:name="_Toc17656"/>
      <w:r>
        <w:rPr>
          <w:rFonts w:hint="eastAsia" w:ascii="黑体" w:hAnsi="黑体" w:eastAsia="黑体" w:cstheme="minorEastAsia"/>
          <w:b w:val="0"/>
          <w:sz w:val="28"/>
          <w:szCs w:val="28"/>
        </w:rPr>
        <w:t>17 其他规定</w:t>
      </w:r>
      <w:bookmarkEnd w:id="139"/>
      <w:bookmarkEnd w:id="140"/>
      <w:bookmarkEnd w:id="141"/>
      <w:bookmarkEnd w:id="14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43" w:name="_Toc17952"/>
      <w:bookmarkStart w:id="144" w:name="_Toc19077"/>
      <w:bookmarkStart w:id="145" w:name="_Toc29136"/>
      <w:bookmarkStart w:id="146" w:name="_Toc16330035"/>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43"/>
      <w:bookmarkEnd w:id="144"/>
      <w:bookmarkEnd w:id="145"/>
      <w:bookmarkEnd w:id="14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4"/>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5"/>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Theme="minorEastAsia" w:hAnsiTheme="minorEastAsia" w:eastAsiaTheme="minorEastAsia" w:cstheme="minorEastAsia"/>
          <w:sz w:val="20"/>
          <w:szCs w:val="20"/>
        </w:rPr>
      </w:pPr>
      <w:bookmarkStart w:id="147" w:name="_Toc24623"/>
      <w:bookmarkStart w:id="148" w:name="_Toc25120"/>
      <w:bookmarkStart w:id="149" w:name="_Toc16330037"/>
      <w:bookmarkStart w:id="150" w:name="_Toc5379"/>
      <w:bookmarkStart w:id="151" w:name="_Toc3778"/>
      <w:r>
        <w:rPr>
          <w:rFonts w:hint="eastAsia" w:asciiTheme="minorEastAsia" w:hAnsiTheme="minorEastAsia" w:eastAsiaTheme="minorEastAsia" w:cstheme="minorEastAsia"/>
          <w:sz w:val="20"/>
          <w:szCs w:val="20"/>
        </w:rPr>
        <w:br w:type="page"/>
      </w:r>
    </w:p>
    <w:p>
      <w:pPr>
        <w:pStyle w:val="4"/>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47"/>
      <w:bookmarkEnd w:id="148"/>
      <w:bookmarkEnd w:id="149"/>
      <w:bookmarkEnd w:id="150"/>
      <w:bookmarkEnd w:id="151"/>
      <w:r>
        <w:rPr>
          <w:rFonts w:hint="eastAsia" w:ascii="黑体" w:hAnsi="黑体" w:eastAsia="黑体" w:cstheme="minorEastAsia"/>
          <w:b w:val="0"/>
          <w:sz w:val="28"/>
          <w:szCs w:val="28"/>
        </w:rPr>
        <w:t>技术协议书</w:t>
      </w:r>
    </w:p>
    <w:p>
      <w:pPr>
        <w:ind w:right="360"/>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pPr>
        <w:jc w:val="right"/>
        <w:rPr>
          <w:rFonts w:asciiTheme="minorEastAsia" w:hAnsiTheme="minorEastAsia" w:eastAsiaTheme="minorEastAsia" w:cstheme="minorEastAsia"/>
          <w:sz w:val="20"/>
          <w:szCs w:val="20"/>
        </w:rPr>
      </w:pPr>
    </w:p>
    <w:p>
      <w:pPr>
        <w:wordWrap w:val="0"/>
        <w:ind w:right="480"/>
        <w:rPr>
          <w:rFonts w:asciiTheme="minorEastAsia" w:hAnsiTheme="minorEastAsia" w:eastAsiaTheme="minorEastAsia" w:cstheme="minorEastAsia"/>
          <w:sz w:val="20"/>
          <w:szCs w:val="20"/>
        </w:rPr>
      </w:pPr>
    </w:p>
    <w:p>
      <w:pPr>
        <w:jc w:val="right"/>
        <w:rPr>
          <w:rFonts w:ascii="楷体_GB2312" w:hAnsi="宋体" w:eastAsia="楷体_GB2312"/>
          <w:sz w:val="24"/>
        </w:rPr>
      </w:pPr>
      <w:bookmarkStart w:id="152" w:name="_Toc14341849"/>
    </w:p>
    <w:p>
      <w:pPr>
        <w:ind w:right="480"/>
        <w:jc w:val="center"/>
        <w:rPr>
          <w:sz w:val="24"/>
          <w:szCs w:val="24"/>
        </w:rPr>
      </w:pPr>
      <w:r>
        <w:rPr>
          <w:rFonts w:hint="eastAsia" w:ascii="楷体_GB2312" w:hAnsi="宋体" w:eastAsia="楷体_GB2312"/>
          <w:sz w:val="24"/>
        </w:rPr>
        <w:t xml:space="preserve">                                    </w:t>
      </w:r>
    </w:p>
    <w:bookmarkEnd w:id="152"/>
    <w:p>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12"/>
        <w:spacing w:before="8"/>
        <w:ind w:left="0" w:firstLine="0"/>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2"/>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2"/>
        <w:ind w:left="0" w:firstLine="0"/>
        <w:rPr>
          <w:rFonts w:ascii="楷体" w:hAnsi="楷体" w:eastAsia="楷体" w:cs="楷体"/>
          <w:b/>
          <w:sz w:val="24"/>
          <w:szCs w:val="28"/>
        </w:rPr>
      </w:pPr>
    </w:p>
    <w:p>
      <w:pPr>
        <w:pStyle w:val="12"/>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12"/>
        <w:ind w:left="0" w:firstLine="0"/>
        <w:rPr>
          <w:rFonts w:ascii="楷体" w:hAnsi="楷体" w:eastAsia="楷体" w:cs="楷体"/>
          <w:b/>
          <w:sz w:val="24"/>
          <w:szCs w:val="28"/>
        </w:rPr>
      </w:pPr>
    </w:p>
    <w:p>
      <w:pPr>
        <w:pStyle w:val="12"/>
        <w:spacing w:before="4"/>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hint="eastAsia" w:ascii="Calibri" w:hAnsi="Calibri" w:eastAsia="宋体" w:cs="Times New Roman"/>
          <w:b/>
          <w:bCs/>
          <w:kern w:val="44"/>
          <w:sz w:val="36"/>
          <w:szCs w:val="44"/>
        </w:rPr>
        <w:sectPr>
          <w:footerReference r:id="rId18" w:type="first"/>
          <w:headerReference r:id="rId16" w:type="default"/>
          <w:footerReference r:id="rId17" w:type="default"/>
          <w:pgSz w:w="11906" w:h="16838"/>
          <w:pgMar w:top="1588" w:right="1418" w:bottom="1134" w:left="1418" w:header="851" w:footer="992" w:gutter="0"/>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72"/>
    </w:p>
    <w:p>
      <w:pPr>
        <w:keepNext/>
        <w:keepLines/>
        <w:outlineLvl w:val="9"/>
        <w:rPr>
          <w:rFonts w:hint="eastAsia" w:ascii="Times New Roman" w:hAnsi="Times New Roman" w:eastAsia="宋体" w:cs="Times New Roman"/>
          <w:b/>
          <w:bCs/>
          <w:color w:val="000000"/>
          <w:sz w:val="24"/>
          <w:szCs w:val="24"/>
        </w:rPr>
      </w:pPr>
    </w:p>
    <w:p>
      <w:pPr>
        <w:pStyle w:val="16"/>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16"/>
        <w:rPr>
          <w:rFonts w:hint="eastAsia" w:ascii="Times New Roman" w:hAnsi="Times New Roman" w:eastAsia="宋体" w:cs="Times New Roman"/>
          <w:b/>
          <w:bCs/>
          <w:color w:val="000000"/>
          <w:sz w:val="24"/>
          <w:szCs w:val="24"/>
        </w:rPr>
        <w:sectPr>
          <w:footerReference r:id="rId21" w:type="first"/>
          <w:headerReference r:id="rId19" w:type="defaul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53" w:name="_Toc212369550"/>
      <w:bookmarkStart w:id="154" w:name="_Toc353881012"/>
      <w:bookmarkStart w:id="155" w:name="_Toc639004"/>
      <w:bookmarkStart w:id="156"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3"/>
      <w:bookmarkEnd w:id="154"/>
      <w:bookmarkEnd w:id="155"/>
      <w:bookmarkEnd w:id="156"/>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w:t>
      </w:r>
      <w:r>
        <w:rPr>
          <w:rFonts w:hint="eastAsia" w:ascii="宋体" w:hAnsi="宋体" w:eastAsia="宋体" w:cs="Times New Roman"/>
          <w:color w:val="000000"/>
          <w:sz w:val="24"/>
          <w:szCs w:val="24"/>
          <w:lang w:val="en-US" w:eastAsia="zh-CN"/>
        </w:rPr>
        <w:t>动力</w:t>
      </w:r>
      <w:r>
        <w:rPr>
          <w:rFonts w:hint="eastAsia" w:ascii="宋体" w:hAnsi="宋体" w:eastAsia="宋体" w:cs="Times New Roman"/>
          <w:color w:val="000000"/>
          <w:sz w:val="24"/>
          <w:szCs w:val="24"/>
          <w:lang w:eastAsia="zh-CN"/>
        </w:rPr>
        <w:t>有限公司</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电泳下线废气排放达标提升项目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pStyle w:val="16"/>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电泳下线废气排放达标提升项目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CGZX2024110117</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6"/>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0"/>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0"/>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0"/>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0"/>
              <w:spacing w:before="111"/>
              <w:ind w:left="509"/>
              <w:rPr>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0"/>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14"/>
              <w:ind w:left="720"/>
            </w:pPr>
            <w:r>
              <w:t xml:space="preserve">品牌区分 </w:t>
            </w:r>
          </w:p>
        </w:tc>
        <w:tc>
          <w:tcPr>
            <w:tcW w:w="7500" w:type="dxa"/>
            <w:gridSpan w:val="6"/>
          </w:tcPr>
          <w:p>
            <w:pPr>
              <w:pStyle w:val="130"/>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0"/>
              <w:spacing w:before="15"/>
              <w:ind w:left="279"/>
            </w:pPr>
            <w:r>
              <w:rPr>
                <w:spacing w:val="-2"/>
              </w:rPr>
              <w:t>质量</w:t>
            </w:r>
            <w:r>
              <w:t xml:space="preserve"> </w:t>
            </w:r>
          </w:p>
          <w:p>
            <w:pPr>
              <w:pStyle w:val="130"/>
              <w:spacing w:before="30" w:line="277" w:lineRule="exact"/>
              <w:ind w:left="279"/>
            </w:pPr>
            <w:r>
              <w:rPr>
                <w:rFonts w:hint="eastAsia"/>
              </w:rPr>
              <w:t>体系</w:t>
            </w:r>
          </w:p>
        </w:tc>
        <w:tc>
          <w:tcPr>
            <w:tcW w:w="2820" w:type="dxa"/>
            <w:gridSpan w:val="2"/>
          </w:tcPr>
          <w:p>
            <w:pPr>
              <w:pStyle w:val="130"/>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0"/>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rPr>
          <w:rFonts w:ascii="Times New Roman" w:hAnsi="Times New Roman" w:eastAsia="宋体" w:cs="Times New Roman"/>
          <w:b/>
          <w:bCs/>
          <w:color w:val="000000"/>
          <w:sz w:val="24"/>
          <w:szCs w:val="24"/>
        </w:rPr>
      </w:pPr>
    </w:p>
    <w:p>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6"/>
        <w:rPr>
          <w:rFonts w:ascii="Times New Roman" w:hAnsi="Times New Roman" w:eastAsia="宋体" w:cs="Times New Roman"/>
          <w:b/>
          <w:bCs/>
          <w:color w:val="000000"/>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b/>
          <w:bCs/>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电泳下线废气排放达标提升项目</w:t>
      </w: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电泳下线废气排放达标提升项目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电泳下线废气排放达标提升项目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footerReference r:id="rId2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电泳下线废气排放达标提升项目</w:t>
      </w: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电泳下线废气排放达标提升项目</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电泳下线废气排放达标提升项目</w:t>
            </w:r>
          </w:p>
        </w:tc>
        <w:tc>
          <w:tcPr>
            <w:tcW w:w="848" w:type="dxa"/>
            <w:vAlign w:val="center"/>
          </w:tcPr>
          <w:p>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6"/>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6"/>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jc w:val="left"/>
        <w:rPr>
          <w:rFonts w:hint="eastAsia"/>
          <w:lang w:eastAsia="zh-CN"/>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宋体"/>
          <w:spacing w:val="8"/>
          <w:sz w:val="24"/>
          <w:szCs w:val="24"/>
          <w14:textOutline w14:w="5791" w14:cap="flat" w14:cmpd="sng" w14:algn="ctr">
            <w14:solidFill>
              <w14:srgbClr w14:val="000000"/>
            </w14:solidFill>
            <w14:prstDash w14:val="solid"/>
            <w14:miter w14:val="0"/>
          </w14:textOutline>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pPr w:leftFromText="180" w:rightFromText="180" w:vertAnchor="text" w:horzAnchor="page" w:tblpX="1471" w:tblpY="258"/>
        <w:tblOverlap w:val="never"/>
        <w:tblW w:w="1399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8"/>
        <w:gridCol w:w="2865"/>
        <w:gridCol w:w="1658"/>
        <w:gridCol w:w="977"/>
        <w:gridCol w:w="942"/>
        <w:gridCol w:w="1889"/>
        <w:gridCol w:w="1602"/>
        <w:gridCol w:w="1864"/>
        <w:gridCol w:w="16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8" w:type="dxa"/>
            <w:vAlign w:val="center"/>
          </w:tcPr>
          <w:p>
            <w:pPr>
              <w:jc w:val="center"/>
              <w:rPr>
                <w:rFonts w:ascii="宋体" w:hAnsi="宋体" w:eastAsia="宋体" w:cs="宋体"/>
                <w:kern w:val="0"/>
                <w:sz w:val="20"/>
                <w:szCs w:val="21"/>
              </w:rPr>
            </w:pPr>
            <w:r>
              <w:rPr>
                <w:rFonts w:ascii="宋体" w:hAnsi="宋体" w:eastAsia="宋体" w:cs="宋体"/>
                <w:kern w:val="0"/>
                <w:sz w:val="20"/>
                <w:szCs w:val="21"/>
                <w14:textOutline w14:w="3835" w14:cap="flat" w14:cmpd="sng" w14:algn="ctr">
                  <w14:solidFill>
                    <w14:srgbClr w14:val="000000"/>
                  </w14:solidFill>
                  <w14:prstDash w14:val="solid"/>
                  <w14:miter w14:val="0"/>
                </w14:textOutline>
              </w:rPr>
              <w:t>1</w:t>
            </w:r>
          </w:p>
        </w:tc>
        <w:tc>
          <w:tcPr>
            <w:tcW w:w="2865" w:type="dxa"/>
            <w:vAlign w:val="center"/>
          </w:tcPr>
          <w:p>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2</w:t>
            </w:r>
          </w:p>
        </w:tc>
        <w:tc>
          <w:tcPr>
            <w:tcW w:w="1658" w:type="dxa"/>
            <w:vAlign w:val="center"/>
          </w:tcPr>
          <w:p>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3</w:t>
            </w:r>
          </w:p>
        </w:tc>
        <w:tc>
          <w:tcPr>
            <w:tcW w:w="977" w:type="dxa"/>
            <w:vAlign w:val="center"/>
          </w:tcPr>
          <w:p>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4</w:t>
            </w:r>
          </w:p>
        </w:tc>
        <w:tc>
          <w:tcPr>
            <w:tcW w:w="942" w:type="dxa"/>
            <w:vAlign w:val="center"/>
          </w:tcPr>
          <w:p>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5</w:t>
            </w:r>
          </w:p>
        </w:tc>
        <w:tc>
          <w:tcPr>
            <w:tcW w:w="1889" w:type="dxa"/>
            <w:vAlign w:val="center"/>
          </w:tcPr>
          <w:p>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6</w:t>
            </w:r>
          </w:p>
        </w:tc>
        <w:tc>
          <w:tcPr>
            <w:tcW w:w="1602" w:type="dxa"/>
            <w:tcBorders>
              <w:right w:val="single" w:color="000000" w:sz="4" w:space="0"/>
            </w:tcBorders>
            <w:vAlign w:val="center"/>
          </w:tcPr>
          <w:p>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7</w:t>
            </w:r>
          </w:p>
        </w:tc>
        <w:tc>
          <w:tcPr>
            <w:tcW w:w="1864" w:type="dxa"/>
            <w:tcBorders>
              <w:left w:val="single" w:color="000000" w:sz="4" w:space="0"/>
            </w:tcBorders>
            <w:vAlign w:val="center"/>
          </w:tcPr>
          <w:p>
            <w:pPr>
              <w:jc w:val="center"/>
              <w:rPr>
                <w:rFonts w:hint="eastAsia" w:ascii="宋体" w:hAnsi="宋体" w:eastAsia="宋体" w:cs="宋体"/>
                <w:kern w:val="0"/>
                <w:sz w:val="20"/>
                <w:szCs w:val="21"/>
                <w:lang w:eastAsia="zh-CN"/>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8</w:t>
            </w:r>
          </w:p>
        </w:tc>
        <w:tc>
          <w:tcPr>
            <w:tcW w:w="1642" w:type="dxa"/>
            <w:vAlign w:val="center"/>
          </w:tcPr>
          <w:p>
            <w:pPr>
              <w:jc w:val="center"/>
              <w:rPr>
                <w:rFonts w:hint="default"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58" w:type="dxa"/>
            <w:vAlign w:val="center"/>
          </w:tcPr>
          <w:p>
            <w:pPr>
              <w:jc w:val="center"/>
              <w:rPr>
                <w:rFonts w:ascii="宋体" w:hAnsi="宋体" w:eastAsia="宋体" w:cs="宋体"/>
                <w:kern w:val="0"/>
                <w:sz w:val="20"/>
                <w:szCs w:val="21"/>
              </w:rPr>
            </w:pP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序</w:t>
            </w: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号</w:t>
            </w:r>
          </w:p>
        </w:tc>
        <w:tc>
          <w:tcPr>
            <w:tcW w:w="2865" w:type="dxa"/>
            <w:vAlign w:val="center"/>
          </w:tcPr>
          <w:p>
            <w:pPr>
              <w:jc w:val="center"/>
              <w:rPr>
                <w:rFonts w:ascii="宋体" w:hAnsi="宋体" w:eastAsia="宋体" w:cs="宋体"/>
                <w:kern w:val="0"/>
                <w:sz w:val="20"/>
                <w:szCs w:val="21"/>
              </w:rPr>
            </w:pP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货物名</w:t>
            </w: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称</w:t>
            </w:r>
          </w:p>
        </w:tc>
        <w:tc>
          <w:tcPr>
            <w:tcW w:w="1658" w:type="dxa"/>
            <w:vAlign w:val="center"/>
          </w:tcPr>
          <w:p>
            <w:pPr>
              <w:jc w:val="center"/>
              <w:rPr>
                <w:rFonts w:ascii="宋体" w:hAnsi="宋体" w:eastAsia="宋体" w:cs="宋体"/>
                <w:kern w:val="0"/>
                <w:sz w:val="20"/>
                <w:szCs w:val="21"/>
              </w:rPr>
            </w:pP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规格</w:t>
            </w:r>
          </w:p>
        </w:tc>
        <w:tc>
          <w:tcPr>
            <w:tcW w:w="977" w:type="dxa"/>
            <w:vAlign w:val="center"/>
          </w:tcPr>
          <w:p>
            <w:pPr>
              <w:jc w:val="center"/>
              <w:rPr>
                <w:rFonts w:ascii="宋体" w:hAnsi="宋体" w:eastAsia="宋体" w:cs="宋体"/>
                <w:spacing w:val="-2"/>
                <w:kern w:val="0"/>
                <w:sz w:val="20"/>
                <w:szCs w:val="21"/>
              </w:rPr>
            </w:pPr>
            <w:r>
              <w:rPr>
                <w:rFonts w:hint="eastAsia" w:ascii="宋体" w:hAnsi="宋体" w:eastAsia="宋体" w:cs="宋体"/>
                <w:spacing w:val="-2"/>
                <w:kern w:val="0"/>
                <w:sz w:val="20"/>
                <w:szCs w:val="21"/>
                <w14:textOutline w14:w="3835" w14:cap="flat" w14:cmpd="sng" w14:algn="ctr">
                  <w14:solidFill>
                    <w14:srgbClr w14:val="000000"/>
                  </w14:solidFill>
                  <w14:prstDash w14:val="solid"/>
                  <w14:miter w14:val="0"/>
                </w14:textOutline>
              </w:rPr>
              <w:t>单位</w:t>
            </w:r>
          </w:p>
        </w:tc>
        <w:tc>
          <w:tcPr>
            <w:tcW w:w="942" w:type="dxa"/>
            <w:vAlign w:val="center"/>
          </w:tcPr>
          <w:p>
            <w:pPr>
              <w:jc w:val="center"/>
              <w:rPr>
                <w:rFonts w:ascii="宋体" w:hAnsi="宋体" w:eastAsia="宋体" w:cs="宋体"/>
                <w:kern w:val="0"/>
                <w:sz w:val="20"/>
                <w:szCs w:val="21"/>
              </w:rPr>
            </w:pP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数量</w:t>
            </w:r>
          </w:p>
        </w:tc>
        <w:tc>
          <w:tcPr>
            <w:tcW w:w="1889" w:type="dxa"/>
            <w:vAlign w:val="center"/>
          </w:tcPr>
          <w:p>
            <w:pPr>
              <w:jc w:val="center"/>
              <w:rPr>
                <w:rFonts w:ascii="宋体" w:hAnsi="宋体" w:eastAsia="宋体" w:cs="宋体"/>
                <w:kern w:val="0"/>
                <w:sz w:val="20"/>
                <w:szCs w:val="21"/>
              </w:rPr>
            </w:pPr>
            <w:r>
              <w:rPr>
                <w:rFonts w:ascii="宋体" w:hAnsi="宋体" w:eastAsia="宋体" w:cs="宋体"/>
                <w:spacing w:val="-3"/>
                <w:kern w:val="0"/>
                <w:sz w:val="20"/>
                <w:szCs w:val="21"/>
                <w14:textOutline w14:w="3835" w14:cap="flat" w14:cmpd="sng" w14:algn="ctr">
                  <w14:solidFill>
                    <w14:srgbClr w14:val="000000"/>
                  </w14:solidFill>
                  <w14:prstDash w14:val="solid"/>
                  <w14:miter w14:val="0"/>
                </w14:textOutline>
              </w:rPr>
              <w:t>原</w:t>
            </w:r>
            <w:r>
              <w:rPr>
                <w:rFonts w:ascii="宋体" w:hAnsi="宋体" w:eastAsia="宋体" w:cs="宋体"/>
                <w:spacing w:val="-2"/>
                <w:kern w:val="0"/>
                <w:sz w:val="20"/>
                <w:szCs w:val="21"/>
                <w14:textOutline w14:w="3835" w14:cap="flat" w14:cmpd="sng" w14:algn="ctr">
                  <w14:solidFill>
                    <w14:srgbClr w14:val="000000"/>
                  </w14:solidFill>
                  <w14:prstDash w14:val="solid"/>
                  <w14:miter w14:val="0"/>
                </w14:textOutline>
              </w:rPr>
              <w:t>产地和</w:t>
            </w: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制造商名</w:t>
            </w:r>
            <w:r>
              <w:rPr>
                <w:rFonts w:ascii="宋体" w:hAnsi="宋体" w:eastAsia="宋体" w:cs="宋体"/>
                <w:kern w:val="0"/>
                <w:sz w:val="20"/>
                <w:szCs w:val="21"/>
                <w14:textOutline w14:w="3835" w14:cap="flat" w14:cmpd="sng" w14:algn="ctr">
                  <w14:solidFill>
                    <w14:srgbClr w14:val="000000"/>
                  </w14:solidFill>
                  <w14:prstDash w14:val="solid"/>
                  <w14:miter w14:val="0"/>
                </w14:textOutline>
              </w:rPr>
              <w:t>称</w:t>
            </w:r>
          </w:p>
        </w:tc>
        <w:tc>
          <w:tcPr>
            <w:tcW w:w="1602" w:type="dxa"/>
            <w:tcBorders>
              <w:right w:val="single" w:color="000000" w:sz="4" w:space="0"/>
            </w:tcBorders>
            <w:vAlign w:val="center"/>
          </w:tcPr>
          <w:p>
            <w:pPr>
              <w:jc w:val="center"/>
              <w:rPr>
                <w:rFonts w:ascii="宋体" w:hAnsi="宋体" w:eastAsia="宋体" w:cs="宋体"/>
                <w:kern w:val="0"/>
                <w:sz w:val="20"/>
                <w:szCs w:val="21"/>
              </w:rPr>
            </w:pP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单</w:t>
            </w:r>
            <w:r>
              <w:rPr>
                <w:rFonts w:ascii="宋体" w:hAnsi="宋体" w:eastAsia="宋体" w:cs="宋体"/>
                <w:kern w:val="0"/>
                <w:sz w:val="20"/>
                <w:szCs w:val="21"/>
                <w14:textOutline w14:w="3835" w14:cap="flat" w14:cmpd="sng" w14:algn="ctr">
                  <w14:solidFill>
                    <w14:srgbClr w14:val="000000"/>
                  </w14:solidFill>
                  <w14:prstDash w14:val="solid"/>
                  <w14:miter w14:val="0"/>
                </w14:textOutline>
              </w:rPr>
              <w:t>价</w:t>
            </w:r>
            <w:r>
              <w:rPr>
                <w:rFonts w:hint="eastAsia" w:ascii="宋体" w:hAnsi="宋体" w:eastAsia="宋体" w:cs="宋体"/>
                <w:spacing w:val="-3"/>
                <w:kern w:val="0"/>
                <w:sz w:val="20"/>
                <w:szCs w:val="21"/>
                <w14:textOutline w14:w="3835" w14:cap="flat" w14:cmpd="sng" w14:algn="ctr">
                  <w14:solidFill>
                    <w14:srgbClr w14:val="000000"/>
                  </w14:solidFill>
                  <w14:prstDash w14:val="solid"/>
                  <w14:miter w14:val="0"/>
                </w14:textOutline>
              </w:rPr>
              <w:t>（不含税）</w:t>
            </w:r>
          </w:p>
          <w:p>
            <w:pPr>
              <w:jc w:val="center"/>
              <w:rPr>
                <w:rFonts w:ascii="宋体" w:hAnsi="宋体" w:eastAsia="宋体" w:cs="宋体"/>
                <w:kern w:val="0"/>
                <w:sz w:val="20"/>
                <w:szCs w:val="21"/>
              </w:rPr>
            </w:pPr>
            <w:r>
              <w:rPr>
                <w:rFonts w:ascii="宋体" w:hAnsi="宋体" w:eastAsia="宋体" w:cs="宋体"/>
                <w:spacing w:val="-16"/>
                <w:kern w:val="0"/>
                <w:sz w:val="20"/>
                <w:szCs w:val="21"/>
                <w14:textOutline w14:w="3835" w14:cap="flat" w14:cmpd="sng" w14:algn="ctr">
                  <w14:solidFill>
                    <w14:srgbClr w14:val="000000"/>
                  </w14:solidFill>
                  <w14:prstDash w14:val="solid"/>
                  <w14:miter w14:val="0"/>
                </w14:textOutline>
              </w:rPr>
              <w:t>(</w:t>
            </w:r>
            <w:r>
              <w:rPr>
                <w:rFonts w:ascii="宋体" w:hAnsi="宋体" w:eastAsia="宋体" w:cs="宋体"/>
                <w:spacing w:val="-14"/>
                <w:kern w:val="0"/>
                <w:sz w:val="20"/>
                <w:szCs w:val="21"/>
                <w14:textOutline w14:w="3835" w14:cap="flat" w14:cmpd="sng" w14:algn="ctr">
                  <w14:solidFill>
                    <w14:srgbClr w14:val="000000"/>
                  </w14:solidFill>
                  <w14:prstDash w14:val="solid"/>
                  <w14:miter w14:val="0"/>
                </w14:textOutline>
              </w:rPr>
              <w:t>元)</w:t>
            </w:r>
          </w:p>
        </w:tc>
        <w:tc>
          <w:tcPr>
            <w:tcW w:w="1864" w:type="dxa"/>
            <w:tcBorders>
              <w:left w:val="single" w:color="000000" w:sz="4" w:space="0"/>
            </w:tcBorders>
            <w:vAlign w:val="center"/>
          </w:tcPr>
          <w:p>
            <w:pPr>
              <w:jc w:val="center"/>
              <w:rPr>
                <w:rFonts w:ascii="宋体" w:hAnsi="宋体" w:eastAsia="宋体" w:cs="宋体"/>
                <w:spacing w:val="-3"/>
                <w:kern w:val="0"/>
                <w:sz w:val="20"/>
                <w:szCs w:val="21"/>
              </w:rPr>
            </w:pPr>
            <w:r>
              <w:rPr>
                <w:rFonts w:ascii="宋体" w:hAnsi="宋体" w:eastAsia="宋体" w:cs="宋体"/>
                <w:spacing w:val="-1"/>
                <w:kern w:val="0"/>
                <w:sz w:val="20"/>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kern w:val="0"/>
                <w:sz w:val="20"/>
                <w:szCs w:val="21"/>
                <w14:textOutline w14:w="3835" w14:cap="flat" w14:cmpd="sng" w14:algn="ctr">
                  <w14:solidFill>
                    <w14:srgbClr w14:val="000000"/>
                  </w14:solidFill>
                  <w14:prstDash w14:val="solid"/>
                  <w14:miter w14:val="0"/>
                </w14:textOutline>
              </w:rPr>
              <w:t>6</w:t>
            </w:r>
            <w:r>
              <w:rPr>
                <w:rFonts w:ascii="宋体" w:hAnsi="宋体" w:eastAsia="宋体" w:cs="宋体"/>
                <w:kern w:val="0"/>
                <w:sz w:val="20"/>
                <w:szCs w:val="21"/>
                <w14:textOutline w14:w="3835" w14:cap="flat" w14:cmpd="sng" w14:algn="ctr">
                  <w14:solidFill>
                    <w14:srgbClr w14:val="000000"/>
                  </w14:solidFill>
                  <w14:prstDash w14:val="solid"/>
                  <w14:miter w14:val="0"/>
                </w14:textOutline>
              </w:rPr>
              <w:t>×</w:t>
            </w:r>
            <w:r>
              <w:rPr>
                <w:rFonts w:hint="eastAsia" w:ascii="宋体" w:hAnsi="宋体" w:eastAsia="宋体" w:cs="宋体"/>
                <w:kern w:val="0"/>
                <w:sz w:val="20"/>
                <w:szCs w:val="21"/>
                <w14:textOutline w14:w="3835" w14:cap="flat" w14:cmpd="sng" w14:algn="ctr">
                  <w14:solidFill>
                    <w14:srgbClr w14:val="000000"/>
                  </w14:solidFill>
                  <w14:prstDash w14:val="solid"/>
                  <w14:miter w14:val="0"/>
                </w14:textOutline>
              </w:rPr>
              <w:t>8</w:t>
            </w:r>
            <w:r>
              <w:rPr>
                <w:rFonts w:ascii="宋体" w:hAnsi="宋体" w:eastAsia="宋体" w:cs="宋体"/>
                <w:kern w:val="0"/>
                <w:sz w:val="20"/>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kern w:val="0"/>
                <w:sz w:val="20"/>
                <w:szCs w:val="21"/>
                <w14:textOutline w14:w="3835" w14:cap="flat" w14:cmpd="sng" w14:algn="ctr">
                  <w14:solidFill>
                    <w14:srgbClr w14:val="000000"/>
                  </w14:solidFill>
                  <w14:prstDash w14:val="solid"/>
                  <w14:miter w14:val="0"/>
                </w14:textOutline>
              </w:rPr>
              <w:t>（不含税）</w:t>
            </w:r>
          </w:p>
          <w:p>
            <w:pPr>
              <w:jc w:val="center"/>
              <w:rPr>
                <w:rFonts w:ascii="宋体" w:hAnsi="宋体" w:eastAsia="宋体" w:cs="宋体"/>
                <w:kern w:val="0"/>
                <w:sz w:val="20"/>
                <w:szCs w:val="21"/>
              </w:rPr>
            </w:pPr>
            <w:r>
              <w:rPr>
                <w:rFonts w:ascii="宋体" w:hAnsi="宋体" w:eastAsia="宋体" w:cs="宋体"/>
                <w:spacing w:val="27"/>
                <w:kern w:val="0"/>
                <w:sz w:val="20"/>
                <w:szCs w:val="21"/>
                <w14:textOutline w14:w="3835" w14:cap="flat" w14:cmpd="sng" w14:algn="ctr">
                  <w14:solidFill>
                    <w14:srgbClr w14:val="000000"/>
                  </w14:solidFill>
                  <w14:prstDash w14:val="solid"/>
                  <w14:miter w14:val="0"/>
                </w14:textOutline>
              </w:rPr>
              <w:t>(</w:t>
            </w:r>
            <w:r>
              <w:rPr>
                <w:rFonts w:ascii="宋体" w:hAnsi="宋体" w:eastAsia="宋体" w:cs="宋体"/>
                <w:spacing w:val="26"/>
                <w:kern w:val="0"/>
                <w:sz w:val="20"/>
                <w:szCs w:val="21"/>
                <w14:textOutline w14:w="3835" w14:cap="flat" w14:cmpd="sng" w14:algn="ctr">
                  <w14:solidFill>
                    <w14:srgbClr w14:val="000000"/>
                  </w14:solidFill>
                  <w14:prstDash w14:val="solid"/>
                  <w14:miter w14:val="0"/>
                </w14:textOutline>
              </w:rPr>
              <w:t>元)</w:t>
            </w:r>
          </w:p>
        </w:tc>
        <w:tc>
          <w:tcPr>
            <w:tcW w:w="1642" w:type="dxa"/>
            <w:vAlign w:val="center"/>
          </w:tcPr>
          <w:p>
            <w:pPr>
              <w:jc w:val="cente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kern w:val="0"/>
                <w:sz w:val="20"/>
                <w:szCs w:val="21"/>
                <w:lang w:val="en-US" w:eastAsia="zh-CN"/>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558" w:type="dxa"/>
            <w:vAlign w:val="center"/>
          </w:tcPr>
          <w:p>
            <w:pPr>
              <w:widowControl/>
              <w:jc w:val="center"/>
              <w:textAlignment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1</w:t>
            </w:r>
          </w:p>
        </w:tc>
        <w:tc>
          <w:tcPr>
            <w:tcW w:w="2865" w:type="dxa"/>
            <w:vAlign w:val="center"/>
          </w:tcPr>
          <w:p>
            <w:pPr>
              <w:widowControl/>
              <w:jc w:val="center"/>
              <w:textAlignment w:val="center"/>
              <w:rPr>
                <w:rFonts w:hint="eastAsia" w:ascii="仿宋_GB2312" w:hAnsi="仿宋_GB2312" w:eastAsia="仿宋_GB2312" w:cs="仿宋_GB2312"/>
                <w:sz w:val="21"/>
                <w:szCs w:val="21"/>
                <w:lang w:bidi="ar"/>
              </w:rPr>
            </w:pPr>
            <w:r>
              <w:rPr>
                <w:rFonts w:hint="eastAsia" w:ascii="仿宋" w:hAnsi="仿宋" w:eastAsia="仿宋" w:cs="仿宋"/>
                <w:color w:val="000000"/>
                <w:kern w:val="0"/>
                <w:sz w:val="24"/>
                <w:szCs w:val="24"/>
              </w:rPr>
              <w:t>集气罩</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pPr>
              <w:widowControl/>
              <w:jc w:val="center"/>
              <w:textAlignment w:val="center"/>
              <w:rPr>
                <w:rFonts w:ascii="宋体" w:hAnsi="宋体" w:eastAsia="宋体" w:cs="宋体"/>
                <w:sz w:val="24"/>
                <w:szCs w:val="24"/>
              </w:rPr>
            </w:pPr>
            <w:r>
              <w:rPr>
                <w:rFonts w:hint="eastAsia" w:ascii="仿宋" w:hAnsi="仿宋" w:eastAsia="仿宋" w:cs="仿宋"/>
                <w:color w:val="000000"/>
                <w:sz w:val="24"/>
                <w:szCs w:val="24"/>
              </w:rPr>
              <w:t>套</w:t>
            </w:r>
          </w:p>
        </w:tc>
        <w:tc>
          <w:tcPr>
            <w:tcW w:w="942" w:type="dxa"/>
            <w:vAlign w:val="center"/>
          </w:tcPr>
          <w:p>
            <w:pPr>
              <w:keepNext w:val="0"/>
              <w:keepLines w:val="0"/>
              <w:widowControl/>
              <w:suppressLineNumbers w:val="0"/>
              <w:jc w:val="center"/>
              <w:textAlignment w:val="center"/>
              <w:rPr>
                <w:rFonts w:ascii="宋体" w:hAnsi="宋体" w:eastAsia="宋体" w:cs="宋体"/>
                <w:sz w:val="24"/>
                <w:szCs w:val="24"/>
              </w:rPr>
            </w:pPr>
          </w:p>
        </w:tc>
        <w:tc>
          <w:tcPr>
            <w:tcW w:w="1889" w:type="dxa"/>
            <w:vAlign w:val="center"/>
          </w:tcPr>
          <w:p>
            <w:pPr>
              <w:keepNext w:val="0"/>
              <w:keepLines w:val="0"/>
              <w:widowControl/>
              <w:suppressLineNumbers w:val="0"/>
              <w:jc w:val="center"/>
              <w:textAlignment w:val="center"/>
              <w:rPr>
                <w:rFonts w:ascii="仿宋" w:hAnsi="仿宋" w:eastAsia="仿宋" w:cs="仿宋"/>
                <w:color w:val="000000"/>
                <w:sz w:val="24"/>
                <w:szCs w:val="24"/>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vAlign w:val="center"/>
          </w:tcPr>
          <w:p>
            <w:pPr>
              <w:widowControl/>
              <w:jc w:val="center"/>
              <w:textAlignment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2</w:t>
            </w:r>
          </w:p>
        </w:tc>
        <w:tc>
          <w:tcPr>
            <w:tcW w:w="2865" w:type="dxa"/>
            <w:vAlign w:val="center"/>
          </w:tcPr>
          <w:p>
            <w:pPr>
              <w:widowControl/>
              <w:jc w:val="center"/>
              <w:textAlignment w:val="center"/>
              <w:rPr>
                <w:rFonts w:hint="eastAsia" w:ascii="仿宋_GB2312" w:hAnsi="仿宋_GB2312" w:eastAsia="仿宋_GB2312" w:cs="仿宋_GB2312"/>
                <w:sz w:val="21"/>
                <w:szCs w:val="21"/>
                <w:lang w:bidi="ar"/>
              </w:rPr>
            </w:pPr>
            <w:r>
              <w:rPr>
                <w:rFonts w:hint="eastAsia" w:ascii="仿宋" w:hAnsi="仿宋" w:eastAsia="仿宋" w:cs="仿宋"/>
                <w:color w:val="000000"/>
                <w:kern w:val="0"/>
                <w:sz w:val="24"/>
                <w:szCs w:val="24"/>
              </w:rPr>
              <w:t>风量调节阀</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pPr>
              <w:widowControl/>
              <w:jc w:val="center"/>
              <w:textAlignment w:val="center"/>
              <w:rPr>
                <w:rFonts w:ascii="宋体" w:hAnsi="宋体" w:eastAsia="宋体" w:cs="宋体"/>
                <w:sz w:val="24"/>
                <w:szCs w:val="24"/>
              </w:rPr>
            </w:pPr>
            <w:r>
              <w:rPr>
                <w:rFonts w:hint="eastAsia" w:ascii="仿宋" w:hAnsi="仿宋" w:eastAsia="仿宋" w:cs="仿宋"/>
                <w:color w:val="000000"/>
                <w:sz w:val="24"/>
                <w:szCs w:val="24"/>
              </w:rPr>
              <w:t>套</w:t>
            </w:r>
          </w:p>
        </w:tc>
        <w:tc>
          <w:tcPr>
            <w:tcW w:w="942" w:type="dxa"/>
            <w:vAlign w:val="center"/>
          </w:tcPr>
          <w:p>
            <w:pPr>
              <w:keepNext w:val="0"/>
              <w:keepLines w:val="0"/>
              <w:widowControl/>
              <w:suppressLineNumbers w:val="0"/>
              <w:jc w:val="center"/>
              <w:textAlignment w:val="center"/>
              <w:rPr>
                <w:rFonts w:ascii="宋体" w:hAnsi="宋体" w:eastAsia="宋体" w:cs="宋体"/>
                <w:sz w:val="24"/>
                <w:szCs w:val="24"/>
              </w:rPr>
            </w:pP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558" w:type="dxa"/>
            <w:vAlign w:val="center"/>
          </w:tcPr>
          <w:p>
            <w:pPr>
              <w:widowControl/>
              <w:jc w:val="center"/>
              <w:textAlignment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val="en-US" w:eastAsia="zh-CN"/>
              </w:rPr>
              <w:t>3</w:t>
            </w:r>
          </w:p>
        </w:tc>
        <w:tc>
          <w:tcPr>
            <w:tcW w:w="2865" w:type="dxa"/>
            <w:vAlign w:val="center"/>
          </w:tcPr>
          <w:p>
            <w:pPr>
              <w:widowControl/>
              <w:jc w:val="center"/>
              <w:textAlignment w:val="center"/>
              <w:rPr>
                <w:rFonts w:hint="eastAsia" w:ascii="仿宋_GB2312" w:hAnsi="仿宋_GB2312" w:eastAsia="仿宋_GB2312" w:cs="仿宋_GB2312"/>
                <w:sz w:val="21"/>
                <w:szCs w:val="21"/>
                <w:lang w:bidi="ar"/>
              </w:rPr>
            </w:pPr>
            <w:r>
              <w:rPr>
                <w:rFonts w:hint="eastAsia" w:ascii="仿宋" w:hAnsi="仿宋" w:eastAsia="仿宋" w:cs="仿宋"/>
                <w:color w:val="000000"/>
                <w:sz w:val="24"/>
                <w:szCs w:val="24"/>
              </w:rPr>
              <w:t>风机</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pPr>
              <w:widowControl/>
              <w:jc w:val="center"/>
              <w:textAlignment w:val="center"/>
              <w:rPr>
                <w:rFonts w:ascii="宋体" w:hAnsi="宋体" w:eastAsia="宋体" w:cs="宋体"/>
                <w:sz w:val="24"/>
                <w:szCs w:val="24"/>
              </w:rPr>
            </w:pPr>
            <w:r>
              <w:rPr>
                <w:rFonts w:hint="eastAsia" w:ascii="仿宋" w:hAnsi="仿宋" w:eastAsia="仿宋" w:cs="仿宋"/>
                <w:color w:val="000000"/>
                <w:sz w:val="24"/>
                <w:szCs w:val="24"/>
              </w:rPr>
              <w:t>台</w:t>
            </w:r>
          </w:p>
        </w:tc>
        <w:tc>
          <w:tcPr>
            <w:tcW w:w="942" w:type="dxa"/>
            <w:vAlign w:val="center"/>
          </w:tcPr>
          <w:p>
            <w:pPr>
              <w:keepNext w:val="0"/>
              <w:keepLines w:val="0"/>
              <w:widowControl/>
              <w:suppressLineNumbers w:val="0"/>
              <w:jc w:val="center"/>
              <w:textAlignment w:val="center"/>
              <w:rPr>
                <w:rFonts w:ascii="宋体" w:hAnsi="宋体" w:eastAsia="宋体" w:cs="宋体"/>
                <w:sz w:val="24"/>
                <w:szCs w:val="24"/>
              </w:rPr>
            </w:pP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4</w:t>
            </w:r>
          </w:p>
        </w:tc>
        <w:tc>
          <w:tcPr>
            <w:tcW w:w="2865" w:type="dxa"/>
            <w:vAlign w:val="center"/>
          </w:tcPr>
          <w:p>
            <w:pPr>
              <w:widowControl/>
              <w:jc w:val="center"/>
              <w:textAlignment w:val="center"/>
              <w:rPr>
                <w:rFonts w:hint="eastAsia" w:ascii="仿宋_GB2312" w:hAnsi="仿宋_GB2312" w:eastAsia="仿宋_GB2312" w:cs="仿宋_GB2312"/>
                <w:sz w:val="21"/>
                <w:szCs w:val="21"/>
                <w:lang w:val="en-US" w:eastAsia="zh-CN" w:bidi="ar"/>
              </w:rPr>
            </w:pPr>
            <w:r>
              <w:rPr>
                <w:rFonts w:hint="eastAsia" w:ascii="仿宋" w:hAnsi="仿宋" w:eastAsia="仿宋" w:cs="仿宋"/>
                <w:color w:val="000000"/>
                <w:sz w:val="24"/>
                <w:szCs w:val="24"/>
              </w:rPr>
              <w:t>轴流风机</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pPr>
              <w:widowControl/>
              <w:jc w:val="center"/>
              <w:textAlignment w:val="center"/>
              <w:rPr>
                <w:rFonts w:ascii="宋体" w:hAnsi="宋体" w:eastAsia="宋体" w:cs="宋体"/>
                <w:kern w:val="2"/>
                <w:sz w:val="24"/>
                <w:szCs w:val="24"/>
                <w:lang w:val="en-US" w:eastAsia="zh-CN" w:bidi="ar-SA"/>
              </w:rPr>
            </w:pPr>
            <w:r>
              <w:rPr>
                <w:rFonts w:hint="eastAsia" w:ascii="仿宋" w:hAnsi="仿宋" w:eastAsia="仿宋" w:cs="仿宋"/>
                <w:color w:val="000000"/>
                <w:sz w:val="24"/>
                <w:szCs w:val="24"/>
              </w:rPr>
              <w:t>台</w:t>
            </w:r>
          </w:p>
        </w:tc>
        <w:tc>
          <w:tcPr>
            <w:tcW w:w="942" w:type="dxa"/>
            <w:vAlign w:val="center"/>
          </w:tcPr>
          <w:p>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1889" w:type="dxa"/>
            <w:vAlign w:val="center"/>
          </w:tcPr>
          <w:p>
            <w:pPr>
              <w:keepNext w:val="0"/>
              <w:keepLines w:val="0"/>
              <w:widowControl/>
              <w:suppressLineNumbers w:val="0"/>
              <w:jc w:val="center"/>
              <w:textAlignment w:val="center"/>
              <w:rPr>
                <w:rFonts w:ascii="宋体" w:hAnsi="宋体" w:eastAsia="宋体" w:cs="宋体"/>
                <w:color w:val="000000"/>
                <w:kern w:val="2"/>
                <w:sz w:val="24"/>
                <w:szCs w:val="24"/>
                <w:lang w:val="en-US" w:eastAsia="zh-CN" w:bidi="ar-SA"/>
              </w:rPr>
            </w:pPr>
          </w:p>
        </w:tc>
        <w:tc>
          <w:tcPr>
            <w:tcW w:w="1602" w:type="dxa"/>
            <w:tcBorders>
              <w:right w:val="single" w:color="000000" w:sz="4" w:space="0"/>
            </w:tcBorders>
            <w:vAlign w:val="center"/>
          </w:tcPr>
          <w:p>
            <w:pPr>
              <w:widowControl/>
              <w:jc w:val="center"/>
              <w:textAlignment w:val="center"/>
              <w:rPr>
                <w:rFonts w:ascii="宋体" w:hAnsi="宋体" w:eastAsia="宋体" w:cstheme="minorBidi"/>
                <w:kern w:val="2"/>
                <w:sz w:val="24"/>
                <w:szCs w:val="24"/>
                <w:lang w:val="en-US" w:eastAsia="zh-CN" w:bidi="ar-SA"/>
              </w:rPr>
            </w:pPr>
          </w:p>
        </w:tc>
        <w:tc>
          <w:tcPr>
            <w:tcW w:w="1864" w:type="dxa"/>
            <w:tcBorders>
              <w:left w:val="single" w:color="000000" w:sz="4" w:space="0"/>
            </w:tcBorders>
            <w:vAlign w:val="center"/>
          </w:tcPr>
          <w:p>
            <w:pPr>
              <w:widowControl/>
              <w:jc w:val="left"/>
              <w:textAlignment w:val="center"/>
              <w:rPr>
                <w:rFonts w:ascii="宋体" w:hAnsi="宋体" w:eastAsia="宋体" w:cstheme="minorBidi"/>
                <w:kern w:val="2"/>
                <w:sz w:val="24"/>
                <w:szCs w:val="24"/>
                <w:lang w:val="en-US" w:eastAsia="zh-CN" w:bidi="ar"/>
              </w:rPr>
            </w:pPr>
          </w:p>
        </w:tc>
        <w:tc>
          <w:tcPr>
            <w:tcW w:w="1642" w:type="dxa"/>
            <w:vAlign w:val="center"/>
          </w:tcPr>
          <w:p>
            <w:pPr>
              <w:jc w:val="center"/>
              <w:textAlignment w:val="center"/>
              <w:rPr>
                <w:rFonts w:ascii="宋体" w:hAnsi="宋体" w:eastAsia="宋体" w:cstheme="minorBidi"/>
                <w:kern w:val="2"/>
                <w:sz w:val="24"/>
                <w:szCs w:val="24"/>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5</w:t>
            </w:r>
          </w:p>
        </w:tc>
        <w:tc>
          <w:tcPr>
            <w:tcW w:w="2865" w:type="dxa"/>
            <w:vAlign w:val="center"/>
          </w:tcPr>
          <w:p>
            <w:pPr>
              <w:widowControl/>
              <w:jc w:val="center"/>
              <w:textAlignment w:val="center"/>
              <w:rPr>
                <w:rFonts w:hint="eastAsia" w:ascii="仿宋_GB2312" w:hAnsi="仿宋_GB2312" w:eastAsia="仿宋_GB2312" w:cs="仿宋_GB2312"/>
                <w:kern w:val="2"/>
                <w:sz w:val="21"/>
                <w:szCs w:val="21"/>
                <w:lang w:val="en-US" w:eastAsia="zh-CN" w:bidi="ar"/>
              </w:rPr>
            </w:pPr>
            <w:r>
              <w:rPr>
                <w:rFonts w:hint="eastAsia" w:ascii="仿宋" w:hAnsi="仿宋" w:eastAsia="仿宋" w:cs="仿宋"/>
                <w:color w:val="000000"/>
                <w:kern w:val="0"/>
                <w:sz w:val="24"/>
                <w:szCs w:val="24"/>
              </w:rPr>
              <w:t>控制系统</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pPr>
              <w:widowControl/>
              <w:jc w:val="center"/>
              <w:textAlignment w:val="center"/>
              <w:rPr>
                <w:rFonts w:ascii="宋体" w:hAnsi="宋体" w:eastAsia="宋体" w:cs="宋体"/>
                <w:kern w:val="2"/>
                <w:sz w:val="24"/>
                <w:szCs w:val="24"/>
                <w:lang w:val="en-US" w:eastAsia="zh-CN" w:bidi="ar-SA"/>
              </w:rPr>
            </w:pPr>
            <w:r>
              <w:rPr>
                <w:rFonts w:hint="eastAsia" w:ascii="仿宋" w:hAnsi="仿宋" w:eastAsia="仿宋" w:cs="仿宋"/>
                <w:color w:val="000000"/>
                <w:kern w:val="0"/>
                <w:sz w:val="24"/>
                <w:szCs w:val="24"/>
              </w:rPr>
              <w:t>台</w:t>
            </w:r>
          </w:p>
        </w:tc>
        <w:tc>
          <w:tcPr>
            <w:tcW w:w="942" w:type="dxa"/>
            <w:vAlign w:val="center"/>
          </w:tcPr>
          <w:p>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6</w:t>
            </w:r>
          </w:p>
        </w:tc>
        <w:tc>
          <w:tcPr>
            <w:tcW w:w="2865" w:type="dxa"/>
            <w:vAlign w:val="center"/>
          </w:tcPr>
          <w:p>
            <w:pPr>
              <w:widowControl/>
              <w:jc w:val="center"/>
              <w:textAlignment w:val="center"/>
              <w:rPr>
                <w:rFonts w:hint="eastAsia" w:ascii="仿宋_GB2312" w:hAnsi="仿宋_GB2312" w:eastAsia="仿宋_GB2312" w:cs="仿宋_GB2312"/>
                <w:kern w:val="2"/>
                <w:sz w:val="21"/>
                <w:szCs w:val="21"/>
                <w:lang w:val="en-US" w:eastAsia="zh-CN" w:bidi="ar"/>
              </w:rPr>
            </w:pPr>
            <w:r>
              <w:rPr>
                <w:rFonts w:hint="eastAsia" w:ascii="仿宋" w:hAnsi="仿宋" w:eastAsia="仿宋" w:cs="仿宋"/>
                <w:color w:val="000000"/>
                <w:kern w:val="0"/>
                <w:sz w:val="24"/>
                <w:szCs w:val="24"/>
              </w:rPr>
              <w:t>连接管道</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pPr>
              <w:widowControl/>
              <w:jc w:val="center"/>
              <w:textAlignment w:val="center"/>
              <w:rPr>
                <w:rFonts w:ascii="宋体" w:hAnsi="宋体" w:eastAsia="宋体" w:cs="宋体"/>
                <w:kern w:val="2"/>
                <w:sz w:val="24"/>
                <w:szCs w:val="24"/>
                <w:lang w:val="en-US" w:eastAsia="zh-CN" w:bidi="ar-SA"/>
              </w:rPr>
            </w:pPr>
            <w:r>
              <w:rPr>
                <w:rFonts w:hint="eastAsia" w:ascii="仿宋" w:hAnsi="仿宋" w:eastAsia="仿宋" w:cs="仿宋"/>
                <w:color w:val="000000"/>
                <w:kern w:val="0"/>
                <w:sz w:val="24"/>
                <w:szCs w:val="24"/>
              </w:rPr>
              <w:t>m</w:t>
            </w:r>
          </w:p>
        </w:tc>
        <w:tc>
          <w:tcPr>
            <w:tcW w:w="942" w:type="dxa"/>
            <w:vAlign w:val="center"/>
          </w:tcPr>
          <w:p>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7</w:t>
            </w:r>
          </w:p>
        </w:tc>
        <w:tc>
          <w:tcPr>
            <w:tcW w:w="2865" w:type="dxa"/>
            <w:vAlign w:val="center"/>
          </w:tcPr>
          <w:p>
            <w:pPr>
              <w:widowControl/>
              <w:jc w:val="center"/>
              <w:textAlignment w:val="center"/>
              <w:rPr>
                <w:rFonts w:hint="eastAsia" w:ascii="仿宋_GB2312" w:hAnsi="仿宋_GB2312" w:eastAsia="仿宋_GB2312" w:cs="仿宋_GB2312"/>
                <w:kern w:val="2"/>
                <w:sz w:val="21"/>
                <w:szCs w:val="21"/>
                <w:lang w:val="en-US" w:eastAsia="zh-CN" w:bidi="ar"/>
              </w:rPr>
            </w:pPr>
            <w:r>
              <w:rPr>
                <w:rFonts w:hint="eastAsia" w:ascii="仿宋" w:hAnsi="仿宋" w:eastAsia="仿宋" w:cs="仿宋"/>
                <w:color w:val="000000"/>
                <w:kern w:val="0"/>
                <w:sz w:val="24"/>
                <w:szCs w:val="24"/>
              </w:rPr>
              <w:t>漆雾过滤箱</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pPr>
              <w:widowControl/>
              <w:jc w:val="center"/>
              <w:textAlignment w:val="center"/>
              <w:rPr>
                <w:rFonts w:ascii="宋体" w:hAnsi="宋体" w:eastAsia="宋体" w:cs="宋体"/>
                <w:kern w:val="2"/>
                <w:sz w:val="24"/>
                <w:szCs w:val="24"/>
                <w:lang w:val="en-US" w:eastAsia="zh-CN" w:bidi="ar-SA"/>
              </w:rPr>
            </w:pPr>
            <w:r>
              <w:rPr>
                <w:rFonts w:hint="eastAsia" w:ascii="仿宋" w:hAnsi="仿宋" w:eastAsia="仿宋" w:cs="仿宋"/>
                <w:color w:val="000000"/>
                <w:kern w:val="0"/>
                <w:sz w:val="24"/>
                <w:szCs w:val="24"/>
              </w:rPr>
              <w:t>台</w:t>
            </w:r>
          </w:p>
        </w:tc>
        <w:tc>
          <w:tcPr>
            <w:tcW w:w="942" w:type="dxa"/>
            <w:vAlign w:val="center"/>
          </w:tcPr>
          <w:p>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558" w:type="dxa"/>
            <w:vAlign w:val="center"/>
          </w:tcPr>
          <w:p>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8</w:t>
            </w:r>
          </w:p>
        </w:tc>
        <w:tc>
          <w:tcPr>
            <w:tcW w:w="2865" w:type="dxa"/>
            <w:vAlign w:val="center"/>
          </w:tcPr>
          <w:p>
            <w:pPr>
              <w:widowControl/>
              <w:jc w:val="center"/>
              <w:textAlignment w:val="center"/>
              <w:rPr>
                <w:rFonts w:hint="eastAsia" w:ascii="仿宋_GB2312" w:hAnsi="仿宋_GB2312" w:eastAsia="仿宋_GB2312" w:cs="仿宋_GB2312"/>
                <w:kern w:val="2"/>
                <w:sz w:val="21"/>
                <w:szCs w:val="21"/>
                <w:lang w:val="en-US" w:eastAsia="zh-CN" w:bidi="ar"/>
              </w:rPr>
            </w:pPr>
            <w:r>
              <w:rPr>
                <w:rFonts w:hint="eastAsia" w:ascii="仿宋" w:hAnsi="仿宋" w:eastAsia="仿宋" w:cs="仿宋"/>
                <w:color w:val="000000"/>
                <w:kern w:val="0"/>
                <w:sz w:val="24"/>
                <w:szCs w:val="24"/>
              </w:rPr>
              <w:t>地坑</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pPr>
              <w:widowControl/>
              <w:jc w:val="center"/>
              <w:textAlignment w:val="center"/>
              <w:rPr>
                <w:rFonts w:ascii="宋体" w:hAnsi="宋体" w:eastAsia="宋体" w:cs="宋体"/>
                <w:kern w:val="2"/>
                <w:sz w:val="24"/>
                <w:szCs w:val="24"/>
                <w:lang w:val="en-US" w:eastAsia="zh-CN" w:bidi="ar-SA"/>
              </w:rPr>
            </w:pPr>
            <w:r>
              <w:rPr>
                <w:rFonts w:hint="eastAsia" w:ascii="仿宋" w:hAnsi="仿宋" w:eastAsia="仿宋" w:cs="仿宋"/>
                <w:color w:val="000000"/>
                <w:kern w:val="0"/>
                <w:sz w:val="24"/>
                <w:szCs w:val="24"/>
              </w:rPr>
              <w:t>个</w:t>
            </w:r>
          </w:p>
        </w:tc>
        <w:tc>
          <w:tcPr>
            <w:tcW w:w="942" w:type="dxa"/>
            <w:vAlign w:val="center"/>
          </w:tcPr>
          <w:p>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558" w:type="dxa"/>
            <w:vAlign w:val="center"/>
          </w:tcPr>
          <w:p>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9</w:t>
            </w:r>
          </w:p>
        </w:tc>
        <w:tc>
          <w:tcPr>
            <w:tcW w:w="2865" w:type="dxa"/>
            <w:vAlign w:val="center"/>
          </w:tcPr>
          <w:p>
            <w:pPr>
              <w:widowControl/>
              <w:jc w:val="center"/>
              <w:textAlignment w:val="center"/>
              <w:rPr>
                <w:rFonts w:hint="eastAsia" w:ascii="仿宋_GB2312" w:hAnsi="仿宋_GB2312" w:eastAsia="仿宋_GB2312" w:cs="仿宋_GB2312"/>
                <w:sz w:val="21"/>
                <w:szCs w:val="21"/>
                <w:lang w:val="en-US" w:eastAsia="zh-CN" w:bidi="ar"/>
              </w:rPr>
            </w:pPr>
            <w:r>
              <w:rPr>
                <w:rFonts w:hint="eastAsia" w:ascii="仿宋" w:hAnsi="仿宋" w:eastAsia="仿宋" w:cs="仿宋"/>
                <w:color w:val="000000"/>
                <w:kern w:val="0"/>
                <w:sz w:val="24"/>
                <w:szCs w:val="24"/>
              </w:rPr>
              <w:t>防滑板</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pPr>
              <w:widowControl/>
              <w:jc w:val="center"/>
              <w:textAlignment w:val="center"/>
              <w:rPr>
                <w:rFonts w:ascii="宋体" w:hAnsi="宋体" w:eastAsia="宋体" w:cs="宋体"/>
                <w:kern w:val="2"/>
                <w:sz w:val="24"/>
                <w:szCs w:val="24"/>
                <w:lang w:val="en-US" w:eastAsia="zh-CN" w:bidi="ar-SA"/>
              </w:rPr>
            </w:pPr>
            <w:r>
              <w:rPr>
                <w:rFonts w:hint="eastAsia" w:ascii="仿宋" w:hAnsi="仿宋" w:eastAsia="仿宋" w:cs="仿宋"/>
                <w:color w:val="000000"/>
                <w:kern w:val="0"/>
                <w:sz w:val="24"/>
                <w:szCs w:val="24"/>
              </w:rPr>
              <w:t>㎡</w:t>
            </w:r>
          </w:p>
        </w:tc>
        <w:tc>
          <w:tcPr>
            <w:tcW w:w="942" w:type="dxa"/>
            <w:vAlign w:val="center"/>
          </w:tcPr>
          <w:p>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vAlign w:val="center"/>
          </w:tcPr>
          <w:p>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10</w:t>
            </w:r>
          </w:p>
        </w:tc>
        <w:tc>
          <w:tcPr>
            <w:tcW w:w="2865" w:type="dxa"/>
            <w:vAlign w:val="center"/>
          </w:tcPr>
          <w:p>
            <w:pPr>
              <w:widowControl/>
              <w:jc w:val="center"/>
              <w:textAlignment w:val="center"/>
              <w:rPr>
                <w:rFonts w:hint="eastAsia" w:ascii="仿宋_GB2312" w:hAnsi="仿宋_GB2312" w:eastAsia="仿宋_GB2312" w:cs="仿宋_GB2312"/>
                <w:color w:val="000000"/>
                <w:kern w:val="0"/>
                <w:sz w:val="21"/>
                <w:szCs w:val="21"/>
                <w:lang w:val="en-US" w:eastAsia="zh-CN" w:bidi="ar"/>
              </w:rPr>
            </w:pP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pPr>
              <w:keepNext w:val="0"/>
              <w:keepLines w:val="0"/>
              <w:widowControl/>
              <w:suppressLineNumbers w:val="0"/>
              <w:jc w:val="center"/>
              <w:textAlignment w:val="center"/>
              <w:rPr>
                <w:rFonts w:ascii="宋体" w:hAnsi="宋体" w:eastAsia="宋体" w:cs="宋体"/>
                <w:sz w:val="24"/>
                <w:szCs w:val="24"/>
              </w:rPr>
            </w:pPr>
          </w:p>
        </w:tc>
        <w:tc>
          <w:tcPr>
            <w:tcW w:w="942" w:type="dxa"/>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vAlign w:val="center"/>
          </w:tcPr>
          <w:p>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11</w:t>
            </w:r>
          </w:p>
        </w:tc>
        <w:tc>
          <w:tcPr>
            <w:tcW w:w="2865" w:type="dxa"/>
            <w:vAlign w:val="center"/>
          </w:tcPr>
          <w:p>
            <w:pPr>
              <w:widowControl/>
              <w:jc w:val="center"/>
              <w:textAlignment w:val="center"/>
              <w:rPr>
                <w:rFonts w:hint="default" w:ascii="仿宋_GB2312" w:hAnsi="仿宋_GB2312" w:eastAsia="仿宋_GB2312" w:cs="仿宋_GB2312"/>
                <w:color w:val="000000"/>
                <w:kern w:val="0"/>
                <w:sz w:val="21"/>
                <w:szCs w:val="21"/>
                <w:lang w:val="en-US" w:eastAsia="zh-CN" w:bidi="ar"/>
              </w:rPr>
            </w:pP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pPr>
              <w:keepNext w:val="0"/>
              <w:keepLines w:val="0"/>
              <w:widowControl/>
              <w:suppressLineNumbers w:val="0"/>
              <w:jc w:val="center"/>
              <w:textAlignment w:val="center"/>
              <w:rPr>
                <w:rFonts w:ascii="宋体" w:hAnsi="宋体" w:eastAsia="宋体" w:cs="宋体"/>
                <w:sz w:val="24"/>
                <w:szCs w:val="24"/>
              </w:rPr>
            </w:pPr>
          </w:p>
        </w:tc>
        <w:tc>
          <w:tcPr>
            <w:tcW w:w="942" w:type="dxa"/>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vAlign w:val="center"/>
          </w:tcPr>
          <w:p>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color w:val="000000"/>
                <w:kern w:val="0"/>
                <w:sz w:val="21"/>
                <w:szCs w:val="21"/>
                <w:lang w:val="en-US" w:eastAsia="zh-CN" w:bidi="ar"/>
              </w:rPr>
              <w:t>12</w:t>
            </w:r>
          </w:p>
        </w:tc>
        <w:tc>
          <w:tcPr>
            <w:tcW w:w="2865" w:type="dxa"/>
            <w:vAlign w:val="center"/>
          </w:tcPr>
          <w:p>
            <w:pPr>
              <w:widowControl/>
              <w:jc w:val="center"/>
              <w:textAlignment w:val="center"/>
              <w:rPr>
                <w:rFonts w:hint="eastAsia" w:ascii="仿宋_GB2312" w:hAnsi="仿宋_GB2312" w:eastAsia="仿宋_GB2312" w:cs="仿宋_GB2312"/>
                <w:color w:val="000000"/>
                <w:kern w:val="0"/>
                <w:sz w:val="21"/>
                <w:szCs w:val="21"/>
                <w:lang w:val="en-US" w:eastAsia="zh-CN" w:bidi="ar"/>
              </w:rPr>
            </w:pP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pPr>
              <w:keepNext w:val="0"/>
              <w:keepLines w:val="0"/>
              <w:widowControl/>
              <w:suppressLineNumbers w:val="0"/>
              <w:jc w:val="center"/>
              <w:textAlignment w:val="center"/>
              <w:rPr>
                <w:rFonts w:ascii="宋体" w:hAnsi="宋体" w:eastAsia="宋体" w:cs="宋体"/>
                <w:sz w:val="24"/>
                <w:szCs w:val="24"/>
              </w:rPr>
            </w:pPr>
          </w:p>
        </w:tc>
        <w:tc>
          <w:tcPr>
            <w:tcW w:w="942" w:type="dxa"/>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558" w:type="dxa"/>
            <w:shd w:val="clear" w:color="auto" w:fill="auto"/>
            <w:vAlign w:val="center"/>
          </w:tcPr>
          <w:p>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position w:val="1"/>
                <w:sz w:val="21"/>
                <w:szCs w:val="21"/>
              </w:rPr>
              <w:t>…</w:t>
            </w:r>
          </w:p>
        </w:tc>
        <w:tc>
          <w:tcPr>
            <w:tcW w:w="2865" w:type="dxa"/>
            <w:shd w:val="clear" w:color="auto" w:fill="auto"/>
            <w:vAlign w:val="center"/>
          </w:tcPr>
          <w:p>
            <w:pPr>
              <w:widowControl/>
              <w:jc w:val="center"/>
              <w:textAlignment w:val="center"/>
              <w:rPr>
                <w:rFonts w:hint="eastAsia" w:ascii="仿宋_GB2312" w:hAnsi="仿宋_GB2312" w:eastAsia="仿宋_GB2312" w:cs="仿宋_GB2312"/>
                <w:color w:val="000000"/>
                <w:kern w:val="0"/>
                <w:sz w:val="21"/>
                <w:szCs w:val="21"/>
                <w:lang w:val="en-US" w:eastAsia="zh-CN" w:bidi="ar"/>
              </w:rPr>
            </w:pPr>
            <w:r>
              <w:rPr>
                <w:rFonts w:hint="eastAsia" w:ascii="仿宋_GB2312" w:hAnsi="仿宋_GB2312" w:eastAsia="仿宋_GB2312" w:cs="仿宋_GB2312"/>
                <w:sz w:val="21"/>
                <w:szCs w:val="21"/>
              </w:rPr>
              <w:t>以上投标设备不足之处请往下添加序号自行补充</w:t>
            </w:r>
          </w:p>
        </w:tc>
        <w:tc>
          <w:tcPr>
            <w:tcW w:w="1658" w:type="dxa"/>
            <w:vAlign w:val="center"/>
          </w:tcPr>
          <w:p>
            <w:pPr>
              <w:keepNext w:val="0"/>
              <w:keepLines w:val="0"/>
              <w:widowControl/>
              <w:suppressLineNumbers w:val="0"/>
              <w:jc w:val="center"/>
              <w:textAlignment w:val="center"/>
              <w:rPr>
                <w:rFonts w:ascii="宋体" w:hAnsi="宋体" w:cs="宋体"/>
                <w:color w:val="000000"/>
                <w:kern w:val="0"/>
                <w:sz w:val="22"/>
                <w:lang w:bidi="ar"/>
              </w:rPr>
            </w:pPr>
          </w:p>
        </w:tc>
        <w:tc>
          <w:tcPr>
            <w:tcW w:w="977" w:type="dxa"/>
            <w:vAlign w:val="center"/>
          </w:tcPr>
          <w:p>
            <w:pPr>
              <w:keepNext w:val="0"/>
              <w:keepLines w:val="0"/>
              <w:widowControl/>
              <w:suppressLineNumbers w:val="0"/>
              <w:jc w:val="center"/>
              <w:textAlignment w:val="center"/>
              <w:rPr>
                <w:rFonts w:ascii="宋体" w:hAnsi="宋体" w:eastAsia="宋体" w:cs="宋体"/>
                <w:sz w:val="24"/>
                <w:szCs w:val="24"/>
              </w:rPr>
            </w:pPr>
          </w:p>
        </w:tc>
        <w:tc>
          <w:tcPr>
            <w:tcW w:w="942" w:type="dxa"/>
            <w:vAlign w:val="center"/>
          </w:tcPr>
          <w:p>
            <w:pPr>
              <w:keepNext w:val="0"/>
              <w:keepLines w:val="0"/>
              <w:widowControl/>
              <w:suppressLineNumbers w:val="0"/>
              <w:jc w:val="center"/>
              <w:textAlignment w:val="center"/>
              <w:rPr>
                <w:rFonts w:hint="eastAsia" w:ascii="宋体" w:hAnsi="宋体" w:eastAsia="宋体" w:cs="宋体"/>
                <w:sz w:val="24"/>
                <w:szCs w:val="24"/>
                <w:lang w:val="en-US" w:eastAsia="zh-CN"/>
              </w:rPr>
            </w:pPr>
          </w:p>
        </w:tc>
        <w:tc>
          <w:tcPr>
            <w:tcW w:w="1889" w:type="dxa"/>
            <w:vAlign w:val="center"/>
          </w:tcPr>
          <w:p>
            <w:pPr>
              <w:keepNext w:val="0"/>
              <w:keepLines w:val="0"/>
              <w:widowControl/>
              <w:suppressLineNumbers w:val="0"/>
              <w:jc w:val="center"/>
              <w:textAlignment w:val="center"/>
              <w:rPr>
                <w:rFonts w:ascii="宋体" w:hAnsi="宋体" w:cs="宋体"/>
                <w:color w:val="000000"/>
                <w:sz w:val="22"/>
              </w:rPr>
            </w:pPr>
          </w:p>
        </w:tc>
        <w:tc>
          <w:tcPr>
            <w:tcW w:w="1602" w:type="dxa"/>
            <w:tcBorders>
              <w:right w:val="single" w:color="000000" w:sz="4" w:space="0"/>
            </w:tcBorders>
            <w:vAlign w:val="center"/>
          </w:tcPr>
          <w:p>
            <w:pPr>
              <w:jc w:val="left"/>
              <w:rPr>
                <w:rFonts w:ascii="Arial" w:hAnsi="Times New Roman" w:eastAsia="宋体" w:cs="Times New Roman"/>
                <w:kern w:val="0"/>
                <w:sz w:val="20"/>
                <w:szCs w:val="20"/>
              </w:rPr>
            </w:pP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558" w:type="dxa"/>
            <w:tcBorders>
              <w:right w:val="single" w:color="000000" w:sz="4" w:space="0"/>
            </w:tcBorders>
            <w:vAlign w:val="center"/>
          </w:tcPr>
          <w:p>
            <w:pPr>
              <w:jc w:val="left"/>
              <w:rPr>
                <w:rFonts w:ascii="宋体" w:hAnsi="宋体" w:eastAsia="宋体" w:cs="宋体"/>
                <w:spacing w:val="-6"/>
                <w:kern w:val="0"/>
                <w:sz w:val="20"/>
                <w:szCs w:val="21"/>
              </w:rPr>
            </w:pPr>
          </w:p>
        </w:tc>
        <w:tc>
          <w:tcPr>
            <w:tcW w:w="9933" w:type="dxa"/>
            <w:gridSpan w:val="6"/>
            <w:tcBorders>
              <w:right w:val="single" w:color="000000" w:sz="4" w:space="0"/>
            </w:tcBorders>
            <w:vAlign w:val="center"/>
          </w:tcPr>
          <w:p>
            <w:pPr>
              <w:jc w:val="center"/>
              <w:rPr>
                <w:rFonts w:ascii="Arial" w:hAnsi="Times New Roman" w:eastAsia="宋体" w:cs="Times New Roman"/>
                <w:kern w:val="0"/>
                <w:sz w:val="20"/>
                <w:szCs w:val="20"/>
              </w:rPr>
            </w:pPr>
            <w:r>
              <w:rPr>
                <w:rFonts w:ascii="宋体" w:hAnsi="宋体" w:eastAsia="宋体" w:cs="宋体"/>
                <w:spacing w:val="-6"/>
                <w:kern w:val="0"/>
                <w:sz w:val="20"/>
                <w:szCs w:val="21"/>
              </w:rPr>
              <w:t>总</w:t>
            </w:r>
            <w:r>
              <w:rPr>
                <w:rFonts w:ascii="宋体" w:hAnsi="宋体" w:eastAsia="宋体" w:cs="宋体"/>
                <w:spacing w:val="-4"/>
                <w:kern w:val="0"/>
                <w:sz w:val="20"/>
                <w:szCs w:val="21"/>
              </w:rPr>
              <w:t xml:space="preserve">价合计列入价格汇总表 </w:t>
            </w:r>
            <w:r>
              <w:rPr>
                <w:rFonts w:hint="eastAsia" w:ascii="宋体" w:hAnsi="宋体" w:eastAsia="宋体" w:cs="宋体"/>
                <w:spacing w:val="-4"/>
                <w:kern w:val="0"/>
                <w:sz w:val="20"/>
                <w:szCs w:val="21"/>
              </w:rPr>
              <w:t>9-5</w:t>
            </w:r>
          </w:p>
        </w:tc>
        <w:tc>
          <w:tcPr>
            <w:tcW w:w="1864" w:type="dxa"/>
            <w:tcBorders>
              <w:left w:val="single" w:color="000000" w:sz="4" w:space="0"/>
            </w:tcBorders>
            <w:vAlign w:val="center"/>
          </w:tcPr>
          <w:p>
            <w:pPr>
              <w:jc w:val="left"/>
              <w:rPr>
                <w:rFonts w:ascii="Arial" w:hAnsi="Times New Roman" w:eastAsia="宋体" w:cs="Times New Roman"/>
                <w:kern w:val="0"/>
                <w:sz w:val="20"/>
                <w:szCs w:val="20"/>
              </w:rPr>
            </w:pPr>
          </w:p>
        </w:tc>
        <w:tc>
          <w:tcPr>
            <w:tcW w:w="1642" w:type="dxa"/>
            <w:vAlign w:val="center"/>
          </w:tcPr>
          <w:p>
            <w:pPr>
              <w:jc w:val="left"/>
              <w:rPr>
                <w:rFonts w:ascii="Arial" w:hAnsi="Times New Roman" w:eastAsia="宋体" w:cs="Times New Roman"/>
                <w:kern w:val="0"/>
                <w:sz w:val="20"/>
                <w:szCs w:val="20"/>
              </w:rPr>
            </w:pPr>
          </w:p>
        </w:tc>
      </w:tr>
    </w:tbl>
    <w:p>
      <w:pPr>
        <w:spacing w:before="52" w:line="221" w:lineRule="auto"/>
        <w:ind w:left="9"/>
        <w:jc w:val="right"/>
        <w:rPr>
          <w:rFonts w:ascii="宋体" w:hAnsi="宋体" w:eastAsia="宋体" w:cs="Times New Roman"/>
          <w:b/>
          <w:bCs/>
          <w:sz w:val="24"/>
          <w:szCs w:val="24"/>
        </w:rPr>
      </w:pPr>
    </w:p>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31"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32"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6"/>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3"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8"/>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4" w:type="default"/>
          <w:pgSz w:w="16841" w:h="11907"/>
          <w:pgMar w:top="400" w:right="1500" w:bottom="1184" w:left="1480" w:header="0" w:footer="1022" w:gutter="0"/>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6"/>
      </w:pPr>
    </w:p>
    <w:p>
      <w:pPr>
        <w:pStyle w:val="16"/>
      </w:pPr>
    </w:p>
    <w:p>
      <w:pPr>
        <w:spacing w:before="140" w:line="220" w:lineRule="auto"/>
        <w:ind w:left="2" w:firstLine="464" w:firstLineChars="200"/>
        <w:rPr>
          <w:rFonts w:ascii="宋体" w:hAnsi="宋体" w:eastAsia="宋体" w:cs="宋体"/>
          <w:spacing w:val="-2"/>
          <w:szCs w:val="21"/>
        </w:rPr>
        <w:sectPr>
          <w:footerReference r:id="rId35"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电泳下线废气排放达标提升项目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电泳下线废气排放达标提升项目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6"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b/>
          <w:bCs/>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电泳下线废气排放达标提升项目</w:t>
      </w: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6"/>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电泳下线废气排放达标提升项目</w:t>
            </w: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6"/>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pPr>
    </w:p>
    <w:p>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w:t>
      </w:r>
      <w:r>
        <w:rPr>
          <w:rFonts w:hint="eastAsia" w:ascii="Times New Roman" w:hAnsi="Times New Roman" w:eastAsia="宋体" w:cs="Times New Roman"/>
          <w:b/>
          <w:bCs/>
          <w:color w:val="000000"/>
          <w:sz w:val="24"/>
          <w:szCs w:val="24"/>
        </w:rPr>
        <w:t>评分标准</w:t>
      </w:r>
    </w:p>
    <w:p>
      <w:pPr>
        <w:keepNext w:val="0"/>
        <w:keepLines w:val="0"/>
        <w:suppressLineNumbers w:val="0"/>
        <w:spacing w:before="0" w:beforeAutospacing="0" w:after="0" w:afterAutospacing="0" w:line="420" w:lineRule="exact"/>
        <w:ind w:left="0" w:right="0"/>
        <w:rPr>
          <w:rFonts w:hint="eastAsia" w:ascii="宋体" w:hAnsi="宋体" w:eastAsia="宋体" w:cs="宋体"/>
          <w:sz w:val="18"/>
          <w:szCs w:val="18"/>
        </w:rPr>
      </w:pPr>
    </w:p>
    <w:tbl>
      <w:tblPr>
        <w:tblStyle w:val="36"/>
        <w:tblW w:w="98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5"/>
        <w:gridCol w:w="1418"/>
        <w:gridCol w:w="3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adjustRightInd w:val="0"/>
              <w:snapToGrid w:val="0"/>
              <w:spacing w:line="240" w:lineRule="atLeast"/>
              <w:jc w:val="left"/>
              <w:rPr>
                <w:rFonts w:hint="eastAsia" w:ascii="仿宋_GB2312" w:hAnsi="仿宋_GB2312" w:cs="仿宋_GB2312"/>
                <w:b/>
              </w:rPr>
            </w:pPr>
            <w:r>
              <w:rPr>
                <w:rFonts w:hint="eastAsia" w:ascii="仿宋_GB2312" w:hAnsi="仿宋_GB2312" w:cs="仿宋_GB2312"/>
                <w:b/>
              </w:rPr>
              <w:t>一</w:t>
            </w:r>
          </w:p>
        </w:tc>
        <w:tc>
          <w:tcPr>
            <w:tcW w:w="8497" w:type="dxa"/>
            <w:gridSpan w:val="3"/>
          </w:tcPr>
          <w:p>
            <w:pPr>
              <w:adjustRightInd w:val="0"/>
              <w:snapToGrid w:val="0"/>
              <w:spacing w:line="240" w:lineRule="atLeast"/>
              <w:jc w:val="left"/>
              <w:rPr>
                <w:rFonts w:hint="eastAsia" w:ascii="仿宋_GB2312" w:hAnsi="仿宋_GB2312" w:cs="仿宋_GB2312"/>
                <w:b/>
              </w:rPr>
            </w:pPr>
            <w:r>
              <w:rPr>
                <w:rFonts w:hint="eastAsia" w:ascii="仿宋_GB2312" w:hAnsi="仿宋_GB2312" w:cs="仿宋_GB2312"/>
                <w:b/>
              </w:rPr>
              <w:t>技术标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adjustRightInd w:val="0"/>
              <w:snapToGrid w:val="0"/>
              <w:spacing w:line="240" w:lineRule="atLeast"/>
              <w:jc w:val="left"/>
              <w:rPr>
                <w:rFonts w:hint="eastAsia" w:ascii="仿宋_GB2312" w:hAnsi="仿宋_GB2312" w:cs="仿宋_GB2312"/>
                <w:bCs/>
              </w:rPr>
            </w:pPr>
            <w:r>
              <w:rPr>
                <w:rFonts w:hint="eastAsia" w:ascii="仿宋_GB2312" w:hAnsi="仿宋_GB2312" w:cs="仿宋_GB2312"/>
                <w:bCs/>
              </w:rPr>
              <w:t>序号</w:t>
            </w:r>
          </w:p>
        </w:tc>
        <w:tc>
          <w:tcPr>
            <w:tcW w:w="3685" w:type="dxa"/>
          </w:tcPr>
          <w:p>
            <w:pPr>
              <w:adjustRightInd w:val="0"/>
              <w:snapToGrid w:val="0"/>
              <w:spacing w:line="240" w:lineRule="atLeast"/>
              <w:jc w:val="left"/>
              <w:rPr>
                <w:rFonts w:hint="eastAsia" w:ascii="仿宋_GB2312" w:hAnsi="仿宋_GB2312" w:cs="仿宋_GB2312"/>
                <w:bCs/>
              </w:rPr>
            </w:pPr>
            <w:r>
              <w:rPr>
                <w:rFonts w:hint="eastAsia" w:ascii="仿宋_GB2312" w:hAnsi="仿宋_GB2312" w:cs="仿宋_GB2312"/>
                <w:bCs/>
              </w:rPr>
              <w:t>内容</w:t>
            </w:r>
          </w:p>
        </w:tc>
        <w:tc>
          <w:tcPr>
            <w:tcW w:w="1418" w:type="dxa"/>
          </w:tcPr>
          <w:p>
            <w:pPr>
              <w:adjustRightInd w:val="0"/>
              <w:snapToGrid w:val="0"/>
              <w:spacing w:line="240" w:lineRule="atLeast"/>
              <w:jc w:val="left"/>
              <w:rPr>
                <w:rFonts w:hint="eastAsia" w:ascii="仿宋_GB2312" w:hAnsi="仿宋_GB2312" w:cs="仿宋_GB2312"/>
                <w:bCs/>
              </w:rPr>
            </w:pPr>
            <w:r>
              <w:rPr>
                <w:rFonts w:hint="eastAsia" w:ascii="仿宋_GB2312" w:hAnsi="仿宋_GB2312" w:cs="仿宋_GB2312"/>
                <w:bCs/>
              </w:rPr>
              <w:t>标准分</w:t>
            </w:r>
          </w:p>
        </w:tc>
        <w:tc>
          <w:tcPr>
            <w:tcW w:w="3394" w:type="dxa"/>
          </w:tcPr>
          <w:p>
            <w:pPr>
              <w:adjustRightInd w:val="0"/>
              <w:snapToGrid w:val="0"/>
              <w:spacing w:line="240" w:lineRule="atLeast"/>
              <w:jc w:val="left"/>
              <w:rPr>
                <w:rFonts w:hint="eastAsia" w:ascii="仿宋_GB2312" w:hAnsi="仿宋_GB2312" w:cs="仿宋_GB2312"/>
                <w:bCs/>
              </w:rPr>
            </w:pPr>
            <w:r>
              <w:rPr>
                <w:rFonts w:hint="eastAsia" w:ascii="仿宋_GB2312" w:hAnsi="仿宋_GB2312" w:cs="仿宋_GB2312"/>
                <w:bCs/>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adjustRightInd w:val="0"/>
              <w:snapToGrid w:val="0"/>
              <w:spacing w:line="240" w:lineRule="atLeast"/>
              <w:jc w:val="left"/>
              <w:rPr>
                <w:rFonts w:hint="eastAsia" w:ascii="仿宋_GB2312" w:hAnsi="仿宋_GB2312" w:cs="仿宋_GB2312"/>
                <w:bCs/>
              </w:rPr>
            </w:pPr>
            <w:r>
              <w:rPr>
                <w:rFonts w:hint="eastAsia" w:ascii="仿宋_GB2312" w:hAnsi="仿宋_GB2312" w:cs="仿宋_GB2312"/>
                <w:bCs/>
              </w:rPr>
              <w:t>1</w:t>
            </w:r>
          </w:p>
        </w:tc>
        <w:tc>
          <w:tcPr>
            <w:tcW w:w="3685" w:type="dxa"/>
          </w:tcPr>
          <w:p>
            <w:pPr>
              <w:adjustRightInd w:val="0"/>
              <w:snapToGrid w:val="0"/>
              <w:spacing w:line="240" w:lineRule="atLeast"/>
              <w:jc w:val="left"/>
              <w:rPr>
                <w:rFonts w:hint="eastAsia" w:ascii="仿宋_GB2312" w:hAnsi="仿宋_GB2312" w:cs="仿宋_GB2312"/>
                <w:bCs/>
              </w:rPr>
            </w:pPr>
            <w:r>
              <w:rPr>
                <w:rFonts w:hint="eastAsia" w:ascii="仿宋_GB2312" w:hAnsi="仿宋_GB2312" w:cs="仿宋_GB2312"/>
                <w:bCs/>
              </w:rPr>
              <w:t>设备制造商装备制造能力、生产设备、加工工艺、完善程度</w:t>
            </w:r>
          </w:p>
        </w:tc>
        <w:tc>
          <w:tcPr>
            <w:tcW w:w="1418" w:type="dxa"/>
          </w:tcPr>
          <w:p>
            <w:pPr>
              <w:adjustRightInd w:val="0"/>
              <w:snapToGrid w:val="0"/>
              <w:spacing w:line="240" w:lineRule="atLeast"/>
              <w:jc w:val="left"/>
              <w:rPr>
                <w:rFonts w:hint="eastAsia" w:ascii="仿宋_GB2312" w:hAnsi="仿宋_GB2312" w:cs="仿宋_GB2312"/>
                <w:bCs/>
              </w:rPr>
            </w:pPr>
            <w:r>
              <w:rPr>
                <w:rFonts w:ascii="仿宋_GB2312" w:hAnsi="仿宋_GB2312" w:cs="仿宋_GB2312"/>
                <w:bCs/>
              </w:rPr>
              <w:t>10</w:t>
            </w:r>
          </w:p>
        </w:tc>
        <w:tc>
          <w:tcPr>
            <w:tcW w:w="3394" w:type="dxa"/>
          </w:tcPr>
          <w:p>
            <w:pPr>
              <w:adjustRightInd w:val="0"/>
              <w:snapToGrid w:val="0"/>
              <w:spacing w:line="240" w:lineRule="atLeast"/>
              <w:jc w:val="left"/>
              <w:rPr>
                <w:rFonts w:hint="eastAsia" w:ascii="仿宋_GB2312" w:hAnsi="仿宋_GB2312" w:cs="仿宋_GB2312"/>
                <w:bCs/>
              </w:rPr>
            </w:pPr>
            <w:r>
              <w:t>投标人的装备制造能力、生产设备、加工工艺先进、完善程度，视情况得0-10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adjustRightInd w:val="0"/>
              <w:snapToGrid w:val="0"/>
              <w:spacing w:line="240" w:lineRule="atLeast"/>
              <w:jc w:val="left"/>
              <w:rPr>
                <w:rFonts w:hint="eastAsia" w:ascii="仿宋_GB2312" w:hAnsi="仿宋_GB2312" w:cs="仿宋_GB2312"/>
                <w:bCs/>
              </w:rPr>
            </w:pPr>
            <w:r>
              <w:rPr>
                <w:rFonts w:hint="eastAsia" w:ascii="仿宋_GB2312" w:hAnsi="仿宋_GB2312" w:cs="仿宋_GB2312"/>
                <w:bCs/>
              </w:rPr>
              <w:t>2</w:t>
            </w:r>
          </w:p>
        </w:tc>
        <w:tc>
          <w:tcPr>
            <w:tcW w:w="3685" w:type="dxa"/>
          </w:tcPr>
          <w:p>
            <w:pPr>
              <w:adjustRightInd w:val="0"/>
              <w:snapToGrid w:val="0"/>
              <w:spacing w:line="240" w:lineRule="atLeast"/>
              <w:jc w:val="left"/>
              <w:rPr>
                <w:rFonts w:hint="eastAsia" w:ascii="仿宋_GB2312" w:hAnsi="仿宋_GB2312" w:cs="仿宋_GB2312"/>
                <w:bCs/>
              </w:rPr>
            </w:pPr>
            <w:r>
              <w:t>产品方案技术先进、各系统完善、性能可靠，设备主要核心部件，具备自身技术优势</w:t>
            </w:r>
          </w:p>
        </w:tc>
        <w:tc>
          <w:tcPr>
            <w:tcW w:w="1418" w:type="dxa"/>
          </w:tcPr>
          <w:p>
            <w:pPr>
              <w:adjustRightInd w:val="0"/>
              <w:snapToGrid w:val="0"/>
              <w:spacing w:line="240" w:lineRule="atLeast"/>
              <w:jc w:val="left"/>
              <w:rPr>
                <w:rFonts w:hint="eastAsia" w:ascii="仿宋_GB2312" w:hAnsi="仿宋_GB2312" w:cs="仿宋_GB2312"/>
                <w:bCs/>
              </w:rPr>
            </w:pPr>
            <w:r>
              <w:rPr>
                <w:rFonts w:hint="eastAsia" w:ascii="仿宋_GB2312" w:hAnsi="仿宋_GB2312" w:cs="仿宋_GB2312"/>
                <w:bCs/>
              </w:rPr>
              <w:t>5</w:t>
            </w:r>
            <w:r>
              <w:rPr>
                <w:rFonts w:ascii="仿宋_GB2312" w:hAnsi="仿宋_GB2312" w:cs="仿宋_GB2312"/>
                <w:bCs/>
              </w:rPr>
              <w:t>0</w:t>
            </w:r>
          </w:p>
        </w:tc>
        <w:tc>
          <w:tcPr>
            <w:tcW w:w="3394" w:type="dxa"/>
          </w:tcPr>
          <w:p>
            <w:pPr>
              <w:adjustRightInd w:val="0"/>
              <w:snapToGrid w:val="0"/>
              <w:spacing w:line="240" w:lineRule="atLeast"/>
              <w:jc w:val="left"/>
              <w:rPr>
                <w:rFonts w:hint="eastAsia" w:ascii="仿宋_GB2312" w:hAnsi="仿宋_GB2312" w:cs="仿宋_GB2312"/>
                <w:bCs/>
              </w:rPr>
            </w:pPr>
            <w:r>
              <w:t>产品方案技术先进、各系统完善、性能可靠，设备主要核心部件，具备自身技术优势，节能环保，视情况得0-50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adjustRightInd w:val="0"/>
              <w:snapToGrid w:val="0"/>
              <w:spacing w:line="240" w:lineRule="atLeast"/>
              <w:jc w:val="left"/>
              <w:rPr>
                <w:rFonts w:hint="eastAsia" w:ascii="仿宋_GB2312" w:hAnsi="仿宋_GB2312" w:cs="仿宋_GB2312"/>
                <w:bCs/>
              </w:rPr>
            </w:pPr>
            <w:r>
              <w:rPr>
                <w:rFonts w:hint="eastAsia" w:ascii="仿宋_GB2312" w:hAnsi="仿宋_GB2312" w:cs="仿宋_GB2312"/>
                <w:bCs/>
              </w:rPr>
              <w:t>3</w:t>
            </w:r>
          </w:p>
        </w:tc>
        <w:tc>
          <w:tcPr>
            <w:tcW w:w="3685" w:type="dxa"/>
          </w:tcPr>
          <w:p>
            <w:pPr>
              <w:adjustRightInd w:val="0"/>
              <w:snapToGrid w:val="0"/>
              <w:spacing w:line="240" w:lineRule="atLeast"/>
              <w:jc w:val="left"/>
              <w:rPr>
                <w:rFonts w:hint="eastAsia" w:ascii="仿宋_GB2312" w:hAnsi="仿宋_GB2312" w:cs="仿宋_GB2312"/>
                <w:bCs/>
              </w:rPr>
            </w:pPr>
            <w:r>
              <w:t>产品维保</w:t>
            </w:r>
          </w:p>
        </w:tc>
        <w:tc>
          <w:tcPr>
            <w:tcW w:w="1418" w:type="dxa"/>
          </w:tcPr>
          <w:p>
            <w:pPr>
              <w:adjustRightInd w:val="0"/>
              <w:snapToGrid w:val="0"/>
              <w:spacing w:line="240" w:lineRule="atLeast"/>
              <w:jc w:val="left"/>
              <w:rPr>
                <w:rFonts w:hint="eastAsia" w:ascii="仿宋_GB2312" w:hAnsi="仿宋_GB2312" w:cs="仿宋_GB2312"/>
                <w:bCs/>
              </w:rPr>
            </w:pPr>
            <w:r>
              <w:rPr>
                <w:rFonts w:hint="eastAsia" w:ascii="仿宋_GB2312" w:hAnsi="仿宋_GB2312" w:cs="仿宋_GB2312"/>
                <w:bCs/>
              </w:rPr>
              <w:t>5</w:t>
            </w:r>
          </w:p>
        </w:tc>
        <w:tc>
          <w:tcPr>
            <w:tcW w:w="3394" w:type="dxa"/>
          </w:tcPr>
          <w:p>
            <w:pPr>
              <w:adjustRightInd w:val="0"/>
              <w:snapToGrid w:val="0"/>
              <w:spacing w:line="240" w:lineRule="atLeast"/>
              <w:jc w:val="left"/>
              <w:rPr>
                <w:rFonts w:hint="eastAsia" w:ascii="仿宋_GB2312" w:hAnsi="仿宋_GB2312" w:cs="仿宋_GB2312"/>
                <w:bCs/>
              </w:rPr>
            </w:pPr>
            <w:r>
              <w:t>易于维修、操作方便，产品附件配置齐全，质量可靠，设备在使用期内的维护费用，视情况得0-5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adjustRightInd w:val="0"/>
              <w:snapToGrid w:val="0"/>
              <w:spacing w:line="240" w:lineRule="atLeast"/>
              <w:jc w:val="left"/>
              <w:rPr>
                <w:rFonts w:hint="eastAsia" w:ascii="仿宋_GB2312" w:hAnsi="仿宋_GB2312" w:cs="仿宋_GB2312"/>
                <w:bCs/>
              </w:rPr>
            </w:pPr>
            <w:r>
              <w:rPr>
                <w:rFonts w:hint="eastAsia" w:ascii="仿宋_GB2312" w:hAnsi="仿宋_GB2312" w:cs="仿宋_GB2312"/>
                <w:bCs/>
              </w:rPr>
              <w:t>4</w:t>
            </w:r>
          </w:p>
        </w:tc>
        <w:tc>
          <w:tcPr>
            <w:tcW w:w="3685" w:type="dxa"/>
          </w:tcPr>
          <w:p>
            <w:pPr>
              <w:adjustRightInd w:val="0"/>
              <w:snapToGrid w:val="0"/>
              <w:spacing w:line="240" w:lineRule="atLeast"/>
              <w:jc w:val="left"/>
              <w:rPr>
                <w:rFonts w:hint="eastAsia" w:ascii="仿宋_GB2312" w:hAnsi="仿宋_GB2312" w:cs="仿宋_GB2312"/>
                <w:bCs/>
              </w:rPr>
            </w:pPr>
            <w:r>
              <w:t>技术培训方案：对采购方人员的技术培训方案安排科学、合理、可行</w:t>
            </w:r>
          </w:p>
        </w:tc>
        <w:tc>
          <w:tcPr>
            <w:tcW w:w="1418" w:type="dxa"/>
          </w:tcPr>
          <w:p>
            <w:pPr>
              <w:adjustRightInd w:val="0"/>
              <w:snapToGrid w:val="0"/>
              <w:spacing w:line="240" w:lineRule="atLeast"/>
              <w:jc w:val="left"/>
              <w:rPr>
                <w:rFonts w:hint="eastAsia" w:ascii="仿宋_GB2312" w:hAnsi="仿宋_GB2312" w:cs="仿宋_GB2312"/>
                <w:bCs/>
              </w:rPr>
            </w:pPr>
            <w:r>
              <w:rPr>
                <w:rFonts w:hint="eastAsia" w:ascii="仿宋_GB2312" w:hAnsi="仿宋_GB2312" w:cs="仿宋_GB2312"/>
                <w:bCs/>
              </w:rPr>
              <w:t>5</w:t>
            </w:r>
          </w:p>
        </w:tc>
        <w:tc>
          <w:tcPr>
            <w:tcW w:w="3394" w:type="dxa"/>
          </w:tcPr>
          <w:p>
            <w:pPr>
              <w:adjustRightInd w:val="0"/>
              <w:snapToGrid w:val="0"/>
              <w:spacing w:line="240" w:lineRule="atLeast"/>
              <w:jc w:val="left"/>
              <w:rPr>
                <w:rFonts w:hint="eastAsia" w:ascii="仿宋_GB2312" w:hAnsi="仿宋_GB2312" w:cs="仿宋_GB2312"/>
                <w:bCs/>
              </w:rPr>
            </w:pPr>
            <w:r>
              <w:t>安装、调试方案合理、完善、切实可行，安全、工期、质量保证措施合理可行能确保安全，视情况得0-5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adjustRightInd w:val="0"/>
              <w:snapToGrid w:val="0"/>
              <w:spacing w:line="240" w:lineRule="atLeast"/>
              <w:jc w:val="left"/>
              <w:rPr>
                <w:rFonts w:hint="eastAsia" w:ascii="仿宋_GB2312" w:hAnsi="仿宋_GB2312" w:cs="仿宋_GB2312"/>
                <w:bCs/>
              </w:rPr>
            </w:pPr>
            <w:r>
              <w:rPr>
                <w:rFonts w:hint="eastAsia" w:ascii="仿宋_GB2312" w:hAnsi="仿宋_GB2312" w:cs="仿宋_GB2312"/>
                <w:bCs/>
              </w:rPr>
              <w:t>5</w:t>
            </w:r>
          </w:p>
        </w:tc>
        <w:tc>
          <w:tcPr>
            <w:tcW w:w="3685" w:type="dxa"/>
          </w:tcPr>
          <w:p>
            <w:pPr>
              <w:adjustRightInd w:val="0"/>
              <w:snapToGrid w:val="0"/>
              <w:spacing w:line="240" w:lineRule="atLeast"/>
              <w:jc w:val="left"/>
              <w:rPr>
                <w:rFonts w:hint="eastAsia" w:ascii="仿宋_GB2312" w:hAnsi="仿宋_GB2312" w:cs="仿宋_GB2312"/>
                <w:bCs/>
              </w:rPr>
            </w:pPr>
            <w:r>
              <w:t>安调水平</w:t>
            </w:r>
          </w:p>
        </w:tc>
        <w:tc>
          <w:tcPr>
            <w:tcW w:w="1418" w:type="dxa"/>
          </w:tcPr>
          <w:p>
            <w:pPr>
              <w:adjustRightInd w:val="0"/>
              <w:snapToGrid w:val="0"/>
              <w:spacing w:line="240" w:lineRule="atLeast"/>
              <w:jc w:val="left"/>
              <w:rPr>
                <w:rFonts w:hint="eastAsia" w:ascii="仿宋_GB2312" w:hAnsi="仿宋_GB2312" w:cs="仿宋_GB2312"/>
                <w:bCs/>
              </w:rPr>
            </w:pPr>
            <w:r>
              <w:rPr>
                <w:rFonts w:hint="eastAsia" w:ascii="仿宋_GB2312" w:hAnsi="仿宋_GB2312" w:cs="仿宋_GB2312"/>
                <w:bCs/>
              </w:rPr>
              <w:t>5</w:t>
            </w:r>
          </w:p>
        </w:tc>
        <w:tc>
          <w:tcPr>
            <w:tcW w:w="3394" w:type="dxa"/>
          </w:tcPr>
          <w:p>
            <w:pPr>
              <w:adjustRightInd w:val="0"/>
              <w:snapToGrid w:val="0"/>
              <w:spacing w:line="240" w:lineRule="atLeast"/>
              <w:jc w:val="left"/>
              <w:rPr>
                <w:rFonts w:hint="eastAsia" w:ascii="仿宋_GB2312" w:hAnsi="仿宋_GB2312" w:cs="仿宋_GB2312"/>
                <w:bCs/>
              </w:rPr>
            </w:pPr>
            <w:r>
              <w:t>安装、调试人员的配备、技术经验、技术水平，视情况得0-5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adjustRightInd w:val="0"/>
              <w:snapToGrid w:val="0"/>
              <w:spacing w:line="240" w:lineRule="atLeast"/>
              <w:jc w:val="left"/>
              <w:rPr>
                <w:rFonts w:hint="eastAsia" w:ascii="仿宋_GB2312" w:hAnsi="仿宋_GB2312" w:cs="仿宋_GB2312"/>
                <w:bCs/>
              </w:rPr>
            </w:pPr>
            <w:r>
              <w:rPr>
                <w:rFonts w:hint="eastAsia" w:ascii="仿宋_GB2312" w:hAnsi="仿宋_GB2312" w:cs="仿宋_GB2312"/>
                <w:bCs/>
              </w:rPr>
              <w:t>6</w:t>
            </w:r>
          </w:p>
        </w:tc>
        <w:tc>
          <w:tcPr>
            <w:tcW w:w="3685" w:type="dxa"/>
          </w:tcPr>
          <w:p>
            <w:pPr>
              <w:adjustRightInd w:val="0"/>
              <w:snapToGrid w:val="0"/>
              <w:spacing w:line="240" w:lineRule="atLeast"/>
              <w:jc w:val="left"/>
              <w:rPr>
                <w:rFonts w:hint="eastAsia" w:ascii="仿宋_GB2312" w:hAnsi="仿宋_GB2312" w:cs="仿宋_GB2312"/>
                <w:bCs/>
              </w:rPr>
            </w:pPr>
            <w:r>
              <w:t>项目组织及人员</w:t>
            </w:r>
          </w:p>
        </w:tc>
        <w:tc>
          <w:tcPr>
            <w:tcW w:w="1418" w:type="dxa"/>
          </w:tcPr>
          <w:p>
            <w:pPr>
              <w:adjustRightInd w:val="0"/>
              <w:snapToGrid w:val="0"/>
              <w:spacing w:line="240" w:lineRule="atLeast"/>
              <w:jc w:val="left"/>
              <w:rPr>
                <w:rFonts w:hint="eastAsia" w:ascii="仿宋_GB2312" w:hAnsi="仿宋_GB2312" w:cs="仿宋_GB2312"/>
                <w:bCs/>
              </w:rPr>
            </w:pPr>
            <w:r>
              <w:rPr>
                <w:rFonts w:hint="eastAsia" w:ascii="仿宋_GB2312" w:hAnsi="仿宋_GB2312" w:cs="仿宋_GB2312"/>
                <w:bCs/>
              </w:rPr>
              <w:t>5</w:t>
            </w:r>
          </w:p>
        </w:tc>
        <w:tc>
          <w:tcPr>
            <w:tcW w:w="3394" w:type="dxa"/>
          </w:tcPr>
          <w:p>
            <w:pPr>
              <w:adjustRightInd w:val="0"/>
              <w:snapToGrid w:val="0"/>
              <w:spacing w:line="240" w:lineRule="atLeast"/>
              <w:jc w:val="left"/>
              <w:rPr>
                <w:rFonts w:hint="eastAsia" w:ascii="仿宋_GB2312" w:hAnsi="仿宋_GB2312" w:cs="仿宋_GB2312"/>
                <w:bCs/>
              </w:rPr>
            </w:pPr>
            <w:r>
              <w:t>成立专项小组且职责明确，全流程项目人员经验丰富。自主赋分。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adjustRightInd w:val="0"/>
              <w:snapToGrid w:val="0"/>
              <w:spacing w:line="240" w:lineRule="atLeast"/>
              <w:jc w:val="left"/>
              <w:rPr>
                <w:rFonts w:hint="eastAsia" w:ascii="仿宋_GB2312" w:hAnsi="仿宋_GB2312" w:cs="仿宋_GB2312"/>
                <w:bCs/>
              </w:rPr>
            </w:pPr>
            <w:r>
              <w:rPr>
                <w:rFonts w:hint="eastAsia" w:ascii="仿宋_GB2312" w:hAnsi="仿宋_GB2312" w:cs="仿宋_GB2312"/>
                <w:bCs/>
              </w:rPr>
              <w:t>7</w:t>
            </w:r>
          </w:p>
        </w:tc>
        <w:tc>
          <w:tcPr>
            <w:tcW w:w="3685" w:type="dxa"/>
          </w:tcPr>
          <w:p>
            <w:pPr>
              <w:adjustRightInd w:val="0"/>
              <w:snapToGrid w:val="0"/>
              <w:spacing w:line="240" w:lineRule="atLeast"/>
              <w:jc w:val="left"/>
              <w:rPr>
                <w:rFonts w:hint="eastAsia" w:ascii="仿宋_GB2312" w:hAnsi="仿宋_GB2312" w:cs="仿宋_GB2312"/>
                <w:bCs/>
              </w:rPr>
            </w:pPr>
            <w:r>
              <w:t>计划控制</w:t>
            </w:r>
          </w:p>
        </w:tc>
        <w:tc>
          <w:tcPr>
            <w:tcW w:w="1418" w:type="dxa"/>
          </w:tcPr>
          <w:p>
            <w:pPr>
              <w:adjustRightInd w:val="0"/>
              <w:snapToGrid w:val="0"/>
              <w:spacing w:line="240" w:lineRule="atLeast"/>
              <w:jc w:val="left"/>
              <w:rPr>
                <w:rFonts w:hint="eastAsia" w:ascii="仿宋_GB2312" w:hAnsi="仿宋_GB2312" w:cs="仿宋_GB2312"/>
                <w:bCs/>
              </w:rPr>
            </w:pPr>
            <w:r>
              <w:rPr>
                <w:rFonts w:hint="eastAsia" w:ascii="仿宋_GB2312" w:hAnsi="仿宋_GB2312" w:cs="仿宋_GB2312"/>
                <w:bCs/>
              </w:rPr>
              <w:t>5</w:t>
            </w:r>
          </w:p>
        </w:tc>
        <w:tc>
          <w:tcPr>
            <w:tcW w:w="3394" w:type="dxa"/>
          </w:tcPr>
          <w:p>
            <w:pPr>
              <w:adjustRightInd w:val="0"/>
              <w:snapToGrid w:val="0"/>
              <w:spacing w:line="240" w:lineRule="atLeast"/>
              <w:jc w:val="left"/>
              <w:rPr>
                <w:rFonts w:hint="eastAsia" w:ascii="仿宋_GB2312" w:hAnsi="仿宋_GB2312" w:cs="仿宋_GB2312"/>
                <w:bCs/>
              </w:rPr>
            </w:pPr>
            <w:r>
              <w:t>有详细可行的行动计划能保证项目进度，有风险管理。综合评审，自主赋分。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adjustRightInd w:val="0"/>
              <w:snapToGrid w:val="0"/>
              <w:spacing w:line="240" w:lineRule="atLeast"/>
              <w:jc w:val="left"/>
              <w:rPr>
                <w:rFonts w:hint="eastAsia" w:ascii="仿宋_GB2312" w:hAnsi="仿宋_GB2312" w:cs="仿宋_GB2312"/>
                <w:bCs/>
              </w:rPr>
            </w:pPr>
            <w:r>
              <w:rPr>
                <w:rFonts w:hint="eastAsia" w:ascii="仿宋_GB2312" w:hAnsi="仿宋_GB2312" w:cs="仿宋_GB2312"/>
                <w:bCs/>
              </w:rPr>
              <w:t>8</w:t>
            </w:r>
          </w:p>
        </w:tc>
        <w:tc>
          <w:tcPr>
            <w:tcW w:w="3685" w:type="dxa"/>
          </w:tcPr>
          <w:p>
            <w:pPr>
              <w:adjustRightInd w:val="0"/>
              <w:snapToGrid w:val="0"/>
              <w:spacing w:line="240" w:lineRule="atLeast"/>
              <w:jc w:val="left"/>
              <w:rPr>
                <w:rFonts w:hint="eastAsia" w:ascii="仿宋_GB2312" w:hAnsi="仿宋_GB2312" w:cs="仿宋_GB2312"/>
                <w:bCs/>
              </w:rPr>
            </w:pPr>
            <w:r>
              <w:t>业绩</w:t>
            </w:r>
          </w:p>
        </w:tc>
        <w:tc>
          <w:tcPr>
            <w:tcW w:w="1418" w:type="dxa"/>
          </w:tcPr>
          <w:p>
            <w:pPr>
              <w:adjustRightInd w:val="0"/>
              <w:snapToGrid w:val="0"/>
              <w:spacing w:line="240" w:lineRule="atLeast"/>
              <w:jc w:val="left"/>
              <w:rPr>
                <w:rFonts w:hint="eastAsia" w:ascii="仿宋_GB2312" w:hAnsi="仿宋_GB2312" w:cs="仿宋_GB2312"/>
                <w:bCs/>
              </w:rPr>
            </w:pPr>
            <w:r>
              <w:rPr>
                <w:rFonts w:hint="eastAsia" w:ascii="仿宋_GB2312" w:hAnsi="仿宋_GB2312" w:cs="仿宋_GB2312"/>
                <w:bCs/>
              </w:rPr>
              <w:t>5</w:t>
            </w:r>
          </w:p>
        </w:tc>
        <w:tc>
          <w:tcPr>
            <w:tcW w:w="3394" w:type="dxa"/>
          </w:tcPr>
          <w:p>
            <w:pPr>
              <w:adjustRightInd w:val="0"/>
              <w:snapToGrid w:val="0"/>
              <w:spacing w:line="240" w:lineRule="atLeast"/>
              <w:jc w:val="left"/>
              <w:rPr>
                <w:rFonts w:hint="eastAsia" w:ascii="仿宋_GB2312" w:hAnsi="仿宋_GB2312" w:cs="仿宋_GB2312"/>
                <w:bCs/>
              </w:rPr>
            </w:pPr>
            <w:r>
              <w:t>最近连续三年有国内或国外知名品牌商用车或乘用车供货经历和经验或其他大型供货经历，提供3份以上投标同类产品开发合同证明材料，得5分；提供3份得4分；提供2份得3分；提供1份证明材料的，得2分；无证明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adjustRightInd w:val="0"/>
              <w:snapToGrid w:val="0"/>
              <w:spacing w:line="240" w:lineRule="atLeast"/>
              <w:jc w:val="left"/>
              <w:rPr>
                <w:rFonts w:hint="eastAsia" w:ascii="仿宋_GB2312" w:hAnsi="仿宋_GB2312" w:cs="仿宋_GB2312"/>
                <w:bCs/>
              </w:rPr>
            </w:pPr>
            <w:r>
              <w:rPr>
                <w:rFonts w:hint="eastAsia" w:ascii="仿宋_GB2312" w:hAnsi="仿宋_GB2312" w:cs="仿宋_GB2312"/>
                <w:bCs/>
              </w:rPr>
              <w:t>9</w:t>
            </w:r>
          </w:p>
        </w:tc>
        <w:tc>
          <w:tcPr>
            <w:tcW w:w="3685" w:type="dxa"/>
          </w:tcPr>
          <w:p>
            <w:pPr>
              <w:adjustRightInd w:val="0"/>
              <w:snapToGrid w:val="0"/>
              <w:spacing w:line="240" w:lineRule="atLeast"/>
              <w:jc w:val="left"/>
              <w:rPr>
                <w:rFonts w:hint="eastAsia" w:ascii="仿宋_GB2312" w:hAnsi="仿宋_GB2312" w:cs="仿宋_GB2312"/>
                <w:bCs/>
              </w:rPr>
            </w:pPr>
            <w:r>
              <w:t>质量保证</w:t>
            </w:r>
          </w:p>
        </w:tc>
        <w:tc>
          <w:tcPr>
            <w:tcW w:w="1418" w:type="dxa"/>
          </w:tcPr>
          <w:p>
            <w:pPr>
              <w:adjustRightInd w:val="0"/>
              <w:snapToGrid w:val="0"/>
              <w:spacing w:line="240" w:lineRule="atLeast"/>
              <w:jc w:val="left"/>
              <w:rPr>
                <w:rFonts w:hint="eastAsia" w:ascii="仿宋_GB2312" w:hAnsi="仿宋_GB2312" w:cs="仿宋_GB2312"/>
                <w:bCs/>
              </w:rPr>
            </w:pPr>
            <w:r>
              <w:rPr>
                <w:rFonts w:hint="eastAsia" w:ascii="仿宋_GB2312" w:hAnsi="仿宋_GB2312" w:cs="仿宋_GB2312"/>
                <w:bCs/>
              </w:rPr>
              <w:t>5</w:t>
            </w:r>
          </w:p>
        </w:tc>
        <w:tc>
          <w:tcPr>
            <w:tcW w:w="3394" w:type="dxa"/>
          </w:tcPr>
          <w:p>
            <w:pPr>
              <w:adjustRightInd w:val="0"/>
              <w:snapToGrid w:val="0"/>
              <w:spacing w:line="240" w:lineRule="atLeast"/>
              <w:jc w:val="left"/>
              <w:rPr>
                <w:rFonts w:hint="eastAsia" w:ascii="仿宋_GB2312" w:hAnsi="仿宋_GB2312" w:cs="仿宋_GB2312"/>
                <w:bCs/>
              </w:rPr>
            </w:pPr>
            <w:r>
              <w:t>具有良好的质量管理体系和完备的检测体系，保证设备造质量符合要求（提供相应证明材料）。根据提供的资料综合评审，自主赋分。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adjustRightInd w:val="0"/>
              <w:snapToGrid w:val="0"/>
              <w:spacing w:line="240" w:lineRule="atLeast"/>
              <w:jc w:val="left"/>
              <w:rPr>
                <w:rFonts w:hint="eastAsia" w:ascii="仿宋_GB2312" w:hAnsi="仿宋_GB2312" w:cs="仿宋_GB2312"/>
                <w:bCs/>
              </w:rPr>
            </w:pPr>
            <w:r>
              <w:rPr>
                <w:rFonts w:hint="eastAsia" w:ascii="仿宋_GB2312" w:hAnsi="仿宋_GB2312" w:cs="仿宋_GB2312"/>
                <w:bCs/>
              </w:rPr>
              <w:t>1</w:t>
            </w:r>
            <w:r>
              <w:rPr>
                <w:rFonts w:ascii="仿宋_GB2312" w:hAnsi="仿宋_GB2312" w:cs="仿宋_GB2312"/>
                <w:bCs/>
              </w:rPr>
              <w:t>0</w:t>
            </w:r>
          </w:p>
        </w:tc>
        <w:tc>
          <w:tcPr>
            <w:tcW w:w="3685" w:type="dxa"/>
          </w:tcPr>
          <w:p>
            <w:pPr>
              <w:adjustRightInd w:val="0"/>
              <w:snapToGrid w:val="0"/>
              <w:spacing w:line="240" w:lineRule="atLeast"/>
              <w:jc w:val="left"/>
              <w:rPr>
                <w:rFonts w:hint="eastAsia" w:ascii="仿宋_GB2312" w:hAnsi="仿宋_GB2312" w:cs="仿宋_GB2312"/>
                <w:bCs/>
              </w:rPr>
            </w:pPr>
            <w:r>
              <w:t>售后服务</w:t>
            </w:r>
          </w:p>
        </w:tc>
        <w:tc>
          <w:tcPr>
            <w:tcW w:w="1418" w:type="dxa"/>
          </w:tcPr>
          <w:p>
            <w:pPr>
              <w:adjustRightInd w:val="0"/>
              <w:snapToGrid w:val="0"/>
              <w:spacing w:line="240" w:lineRule="atLeast"/>
              <w:jc w:val="left"/>
              <w:rPr>
                <w:rFonts w:hint="eastAsia" w:ascii="仿宋_GB2312" w:hAnsi="仿宋_GB2312" w:cs="仿宋_GB2312"/>
                <w:bCs/>
              </w:rPr>
            </w:pPr>
            <w:r>
              <w:rPr>
                <w:rFonts w:hint="eastAsia" w:ascii="仿宋_GB2312" w:hAnsi="仿宋_GB2312" w:cs="仿宋_GB2312"/>
                <w:bCs/>
              </w:rPr>
              <w:t>5</w:t>
            </w:r>
          </w:p>
        </w:tc>
        <w:tc>
          <w:tcPr>
            <w:tcW w:w="3394" w:type="dxa"/>
          </w:tcPr>
          <w:p>
            <w:pPr>
              <w:adjustRightInd w:val="0"/>
              <w:snapToGrid w:val="0"/>
              <w:spacing w:line="240" w:lineRule="atLeast"/>
              <w:jc w:val="left"/>
              <w:rPr>
                <w:rFonts w:hint="eastAsia" w:ascii="仿宋_GB2312" w:hAnsi="仿宋_GB2312" w:cs="仿宋_GB2312"/>
                <w:bCs/>
              </w:rPr>
            </w:pPr>
            <w:r>
              <w:t>根据投标文件中提供的质量保证措施、售后服务方案等的响应情况综合评审赋分。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adjustRightInd w:val="0"/>
              <w:snapToGrid w:val="0"/>
              <w:spacing w:line="240" w:lineRule="atLeast"/>
              <w:jc w:val="left"/>
              <w:rPr>
                <w:rFonts w:hint="eastAsia" w:ascii="仿宋_GB2312" w:hAnsi="仿宋_GB2312" w:cs="仿宋_GB2312"/>
                <w:b/>
              </w:rPr>
            </w:pPr>
            <w:r>
              <w:rPr>
                <w:rFonts w:hint="eastAsia" w:ascii="仿宋_GB2312" w:hAnsi="仿宋_GB2312" w:cs="仿宋_GB2312"/>
                <w:b/>
              </w:rPr>
              <w:t>二</w:t>
            </w:r>
          </w:p>
        </w:tc>
        <w:tc>
          <w:tcPr>
            <w:tcW w:w="8497" w:type="dxa"/>
            <w:gridSpan w:val="3"/>
          </w:tcPr>
          <w:p>
            <w:pPr>
              <w:adjustRightInd w:val="0"/>
              <w:snapToGrid w:val="0"/>
              <w:spacing w:line="240" w:lineRule="atLeast"/>
              <w:jc w:val="left"/>
              <w:rPr>
                <w:b/>
              </w:rPr>
            </w:pPr>
            <w:r>
              <w:rPr>
                <w:rFonts w:hint="eastAsia"/>
                <w:b/>
              </w:rPr>
              <w:t>商务标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6" w:type="dxa"/>
            <w:gridSpan w:val="4"/>
          </w:tcPr>
          <w:p>
            <w:pPr>
              <w:adjustRightInd w:val="0"/>
              <w:snapToGrid w:val="0"/>
              <w:spacing w:line="240" w:lineRule="atLeast"/>
              <w:jc w:val="left"/>
            </w:pPr>
            <w:r>
              <w:t xml:space="preserve">评标基准价： </w:t>
            </w:r>
            <w:r>
              <w:br w:type="textWrapping"/>
            </w:r>
            <w:r>
              <w:t>1、评标基准价为所有合理有效的最终投标报价的最低价。</w:t>
            </w:r>
            <w:r>
              <w:br w:type="textWrapping"/>
            </w:r>
            <w:r>
              <w:t>2、有效的评标基准价得100分；其他投标人的价格得分按下列公式计算：投标价格得分=100×（评标基准价/投标报价）。</w:t>
            </w:r>
            <w:r>
              <w:br w:type="textWrapping"/>
            </w:r>
            <w:r>
              <w:t>注：得分值取小数点后两位，不足一个百分点的，按照四舍五入法计算。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adjustRightInd w:val="0"/>
              <w:snapToGrid w:val="0"/>
              <w:spacing w:line="240" w:lineRule="atLeast"/>
              <w:jc w:val="left"/>
              <w:rPr>
                <w:rFonts w:hint="eastAsia" w:ascii="仿宋_GB2312" w:hAnsi="仿宋_GB2312" w:cs="仿宋_GB2312"/>
                <w:b/>
              </w:rPr>
            </w:pPr>
            <w:r>
              <w:rPr>
                <w:rFonts w:hint="eastAsia" w:ascii="仿宋_GB2312" w:hAnsi="仿宋_GB2312" w:cs="仿宋_GB2312"/>
                <w:b/>
              </w:rPr>
              <w:t>三</w:t>
            </w:r>
          </w:p>
        </w:tc>
        <w:tc>
          <w:tcPr>
            <w:tcW w:w="8497" w:type="dxa"/>
            <w:gridSpan w:val="3"/>
          </w:tcPr>
          <w:p>
            <w:pPr>
              <w:adjustRightInd w:val="0"/>
              <w:snapToGrid w:val="0"/>
              <w:spacing w:line="240" w:lineRule="atLeast"/>
              <w:jc w:val="left"/>
              <w:rPr>
                <w:b/>
              </w:rPr>
            </w:pPr>
            <w:r>
              <w:rPr>
                <w:rFonts w:hint="eastAsia"/>
                <w:b/>
              </w:rPr>
              <w:t>综合得分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6" w:type="dxa"/>
            <w:gridSpan w:val="4"/>
          </w:tcPr>
          <w:p>
            <w:pPr>
              <w:adjustRightInd w:val="0"/>
              <w:snapToGrid w:val="0"/>
              <w:spacing w:line="240" w:lineRule="atLeast"/>
              <w:jc w:val="left"/>
            </w:pPr>
            <w:r>
              <w:t>综合得分=技术分×30%＋商务标得分×70%</w:t>
            </w:r>
          </w:p>
        </w:tc>
      </w:tr>
    </w:tbl>
    <w:p>
      <w:pPr>
        <w:keepNext w:val="0"/>
        <w:keepLines w:val="0"/>
        <w:suppressLineNumbers w:val="0"/>
        <w:spacing w:before="0" w:beforeAutospacing="0" w:after="0" w:afterAutospacing="0" w:line="420" w:lineRule="exact"/>
        <w:ind w:left="0" w:right="0"/>
        <w:rPr>
          <w:rFonts w:hint="eastAsia" w:ascii="宋体" w:hAnsi="宋体" w:eastAsia="宋体" w:cs="宋体"/>
          <w:b/>
          <w:bCs/>
          <w:color w:val="000000"/>
          <w:sz w:val="24"/>
          <w:szCs w:val="24"/>
          <w:lang w:val="en-US" w:eastAsia="zh-CN"/>
        </w:rPr>
      </w:pPr>
      <w:r>
        <w:rPr>
          <w:rFonts w:hint="eastAsia" w:ascii="宋体" w:hAnsi="宋体" w:eastAsia="宋体" w:cs="宋体"/>
          <w:sz w:val="18"/>
          <w:szCs w:val="18"/>
          <w:lang w:val="en-US" w:eastAsia="zh-CN"/>
        </w:rPr>
        <w:br w:type="page"/>
      </w:r>
    </w:p>
    <w:p>
      <w:pPr>
        <w:keepNext w:val="0"/>
        <w:keepLines w:val="0"/>
        <w:suppressLineNumbers w:val="0"/>
        <w:spacing w:before="0" w:beforeAutospacing="0" w:after="0" w:afterAutospacing="0" w:line="420" w:lineRule="exact"/>
        <w:ind w:left="0" w:right="0"/>
        <w:rPr>
          <w:rFonts w:hint="eastAsia" w:ascii="宋体" w:hAnsi="宋体" w:eastAsia="宋体" w:cs="宋体"/>
          <w:b/>
          <w:bCs/>
          <w:color w:val="000000"/>
          <w:sz w:val="24"/>
          <w:szCs w:val="24"/>
          <w:lang w:val="en-US" w:eastAsia="zh-CN"/>
        </w:rPr>
      </w:pPr>
    </w:p>
    <w:p>
      <w:pPr>
        <w:pStyle w:val="16"/>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16"/>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2"/>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3"/>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4"/>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5"/>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pStyle w:val="16"/>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6"/>
                    <a:stretch>
                      <a:fillRect/>
                    </a:stretch>
                  </pic:blipFill>
                  <pic:spPr>
                    <a:xfrm>
                      <a:off x="0" y="0"/>
                      <a:ext cx="5760085" cy="2810122"/>
                    </a:xfrm>
                    <a:prstGeom prst="rect">
                      <a:avLst/>
                    </a:prstGeom>
                  </pic:spPr>
                </pic:pic>
              </a:graphicData>
            </a:graphic>
          </wp:inline>
        </w:drawing>
      </w:r>
    </w:p>
    <w:p>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7"/>
                    <a:stretch>
                      <a:fillRect/>
                    </a:stretch>
                  </pic:blipFill>
                  <pic:spPr>
                    <a:xfrm>
                      <a:off x="0" y="0"/>
                      <a:ext cx="5760085" cy="2820042"/>
                    </a:xfrm>
                    <a:prstGeom prst="rect">
                      <a:avLst/>
                    </a:prstGeom>
                  </pic:spPr>
                </pic:pic>
              </a:graphicData>
            </a:graphic>
          </wp:inline>
        </w:drawing>
      </w:r>
    </w:p>
    <w:p>
      <w:pPr>
        <w:pStyle w:val="16"/>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pPr>
        <w:pStyle w:val="16"/>
      </w:pPr>
      <w:r>
        <w:rPr>
          <w:rFonts w:hint="eastAsia" w:hAnsi="宋体" w:eastAsia="宋体" w:cs="宋体"/>
          <w:b/>
          <w:bCs/>
          <w:color w:val="000000"/>
          <w:sz w:val="24"/>
          <w:szCs w:val="28"/>
          <w:highlight w:val="yellow"/>
        </w:rPr>
        <w:t>2.配套能力“供货类别”填“工艺设备”，业务主管部门为“工艺研究院”。</w:t>
      </w:r>
    </w:p>
    <w:p>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pPr>
        <w:pStyle w:val="16"/>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w:t>
      </w:r>
      <w:r>
        <w:rPr>
          <w:rStyle w:val="43"/>
          <w:rFonts w:hint="eastAsia" w:ascii="宋体" w:hAnsi="宋体" w:eastAsia="宋体" w:cs="宋体"/>
          <w:sz w:val="24"/>
          <w:szCs w:val="24"/>
          <w:lang w:val="en-US" w:eastAsia="zh-CN"/>
        </w:rPr>
        <w:t>s</w:t>
      </w:r>
      <w:r>
        <w:rPr>
          <w:rStyle w:val="43"/>
          <w:rFonts w:hint="eastAsia" w:ascii="宋体" w:hAnsi="宋体" w:eastAsia="宋体" w:cs="宋体"/>
          <w:sz w:val="24"/>
          <w:szCs w:val="24"/>
        </w:rPr>
        <w:t>://ecaitong.sinotruk.com:8012/</w:t>
      </w:r>
      <w:r>
        <w:rPr>
          <w:rStyle w:val="43"/>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8"/>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9"/>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16"/>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0"/>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1"/>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2"/>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3"/>
                    <a:stretch>
                      <a:fillRect/>
                    </a:stretch>
                  </pic:blipFill>
                  <pic:spPr>
                    <a:xfrm>
                      <a:off x="0" y="0"/>
                      <a:ext cx="5760085" cy="1956600"/>
                    </a:xfrm>
                    <a:prstGeom prst="rect">
                      <a:avLst/>
                    </a:prstGeom>
                  </pic:spPr>
                </pic:pic>
              </a:graphicData>
            </a:graphic>
          </wp:inline>
        </w:drawing>
      </w:r>
    </w:p>
    <w:p>
      <w:pPr>
        <w:pStyle w:val="16"/>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p>
  <w:p>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6063C37"/>
    <w:multiLevelType w:val="multilevel"/>
    <w:tmpl w:val="06063C37"/>
    <w:lvl w:ilvl="0" w:tentative="0">
      <w:start w:val="1"/>
      <w:numFmt w:val="decimal"/>
      <w:lvlText w:val="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7D7720D"/>
    <w:multiLevelType w:val="multilevel"/>
    <w:tmpl w:val="07D7720D"/>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3ADE24A4"/>
    <w:multiLevelType w:val="multilevel"/>
    <w:tmpl w:val="3ADE24A4"/>
    <w:lvl w:ilvl="0" w:tentative="0">
      <w:start w:val="1"/>
      <w:numFmt w:val="decimal"/>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abstractNum w:abstractNumId="11">
    <w:nsid w:val="77DE7897"/>
    <w:multiLevelType w:val="singleLevel"/>
    <w:tmpl w:val="77DE7897"/>
    <w:lvl w:ilvl="0" w:tentative="0">
      <w:start w:val="1"/>
      <w:numFmt w:val="decimal"/>
      <w:lvlText w:val="%1."/>
      <w:lvlJc w:val="left"/>
      <w:pPr>
        <w:tabs>
          <w:tab w:val="left" w:pos="312"/>
        </w:tabs>
      </w:pPr>
    </w:lvl>
  </w:abstractNum>
  <w:abstractNum w:abstractNumId="12">
    <w:nsid w:val="7A612DE2"/>
    <w:multiLevelType w:val="singleLevel"/>
    <w:tmpl w:val="7A612DE2"/>
    <w:lvl w:ilvl="0" w:tentative="0">
      <w:start w:val="2"/>
      <w:numFmt w:val="decimal"/>
      <w:lvlText w:val="%1."/>
      <w:lvlJc w:val="left"/>
      <w:pPr>
        <w:tabs>
          <w:tab w:val="left" w:pos="312"/>
        </w:tabs>
      </w:pPr>
    </w:lvl>
  </w:abstractNum>
  <w:num w:numId="1">
    <w:abstractNumId w:val="10"/>
  </w:num>
  <w:num w:numId="2">
    <w:abstractNumId w:val="11"/>
  </w:num>
  <w:num w:numId="3">
    <w:abstractNumId w:val="0"/>
  </w:num>
  <w:num w:numId="4">
    <w:abstractNumId w:val="12"/>
  </w:num>
  <w:num w:numId="5">
    <w:abstractNumId w:val="6"/>
  </w:num>
  <w:num w:numId="6">
    <w:abstractNumId w:val="2"/>
  </w:num>
  <w:num w:numId="7">
    <w:abstractNumId w:val="9"/>
  </w:num>
  <w:num w:numId="8">
    <w:abstractNumId w:val="1"/>
  </w:num>
  <w:num w:numId="9">
    <w:abstractNumId w:val="7"/>
  </w:num>
  <w:num w:numId="10">
    <w:abstractNumId w:val="5"/>
  </w:num>
  <w:num w:numId="11">
    <w:abstractNumId w:val="4"/>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doNotDisplayPageBoundaries w:val="1"/>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VmNzEyOWU1OTUyOGU2MGVjYzZhNGU3NDRiMjJhNTEifQ=="/>
    <w:docVar w:name="KSO_WPS_MARK_KEY" w:val="288773bf-0df4-413a-9f38-c1906dd68f40"/>
  </w:docVars>
  <w:rsids>
    <w:rsidRoot w:val="0056018A"/>
    <w:rsid w:val="000139F5"/>
    <w:rsid w:val="00022B06"/>
    <w:rsid w:val="00036836"/>
    <w:rsid w:val="00044EF2"/>
    <w:rsid w:val="0005777A"/>
    <w:rsid w:val="00065382"/>
    <w:rsid w:val="00080223"/>
    <w:rsid w:val="000A5309"/>
    <w:rsid w:val="000D6A51"/>
    <w:rsid w:val="000E3EA5"/>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36276"/>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EE6D96"/>
    <w:rsid w:val="00F71720"/>
    <w:rsid w:val="00F9257D"/>
    <w:rsid w:val="00FA062A"/>
    <w:rsid w:val="00FE040F"/>
    <w:rsid w:val="00FE42B3"/>
    <w:rsid w:val="01081B3E"/>
    <w:rsid w:val="014832F2"/>
    <w:rsid w:val="014D51C1"/>
    <w:rsid w:val="01576403"/>
    <w:rsid w:val="01714809"/>
    <w:rsid w:val="01BB2C67"/>
    <w:rsid w:val="01C52478"/>
    <w:rsid w:val="022F2C26"/>
    <w:rsid w:val="02567262"/>
    <w:rsid w:val="027408EE"/>
    <w:rsid w:val="02963F39"/>
    <w:rsid w:val="0296734E"/>
    <w:rsid w:val="02B037A6"/>
    <w:rsid w:val="02B3095A"/>
    <w:rsid w:val="02BA7274"/>
    <w:rsid w:val="02F676C8"/>
    <w:rsid w:val="03251978"/>
    <w:rsid w:val="0325718A"/>
    <w:rsid w:val="032A08BF"/>
    <w:rsid w:val="03D567D9"/>
    <w:rsid w:val="041078B8"/>
    <w:rsid w:val="04280DD5"/>
    <w:rsid w:val="042921B6"/>
    <w:rsid w:val="043B72BB"/>
    <w:rsid w:val="04461EC1"/>
    <w:rsid w:val="04504B3F"/>
    <w:rsid w:val="04831DF5"/>
    <w:rsid w:val="04A3012C"/>
    <w:rsid w:val="04AD02B8"/>
    <w:rsid w:val="04DE51C8"/>
    <w:rsid w:val="04DF17D4"/>
    <w:rsid w:val="04EC77B3"/>
    <w:rsid w:val="05000C0B"/>
    <w:rsid w:val="05174255"/>
    <w:rsid w:val="05412745"/>
    <w:rsid w:val="05491761"/>
    <w:rsid w:val="05515CC6"/>
    <w:rsid w:val="055D755A"/>
    <w:rsid w:val="058761A0"/>
    <w:rsid w:val="05A351AD"/>
    <w:rsid w:val="05CD5AB2"/>
    <w:rsid w:val="05D1329F"/>
    <w:rsid w:val="05F9748A"/>
    <w:rsid w:val="06266F78"/>
    <w:rsid w:val="063E7B7A"/>
    <w:rsid w:val="06582413"/>
    <w:rsid w:val="067E33B8"/>
    <w:rsid w:val="06C465A2"/>
    <w:rsid w:val="06E82FCB"/>
    <w:rsid w:val="06F34B95"/>
    <w:rsid w:val="072858CC"/>
    <w:rsid w:val="07571DAC"/>
    <w:rsid w:val="07645CFB"/>
    <w:rsid w:val="07D959F0"/>
    <w:rsid w:val="07FC1127"/>
    <w:rsid w:val="08493425"/>
    <w:rsid w:val="0886328A"/>
    <w:rsid w:val="088A5513"/>
    <w:rsid w:val="08DD171B"/>
    <w:rsid w:val="08E64121"/>
    <w:rsid w:val="08EE34FB"/>
    <w:rsid w:val="091D420B"/>
    <w:rsid w:val="093D4FB7"/>
    <w:rsid w:val="093E2A38"/>
    <w:rsid w:val="0942017F"/>
    <w:rsid w:val="09480908"/>
    <w:rsid w:val="096473F5"/>
    <w:rsid w:val="096F3207"/>
    <w:rsid w:val="09BA1FBB"/>
    <w:rsid w:val="09CA2C4D"/>
    <w:rsid w:val="09CB139F"/>
    <w:rsid w:val="09D71932"/>
    <w:rsid w:val="0A0106F5"/>
    <w:rsid w:val="0A112AB7"/>
    <w:rsid w:val="0A447D68"/>
    <w:rsid w:val="0A4E5482"/>
    <w:rsid w:val="0AAA504A"/>
    <w:rsid w:val="0AC402B6"/>
    <w:rsid w:val="0AD71BC7"/>
    <w:rsid w:val="0ADB5CDD"/>
    <w:rsid w:val="0AF420EB"/>
    <w:rsid w:val="0AFB4013"/>
    <w:rsid w:val="0B2B2BF5"/>
    <w:rsid w:val="0B2F3908"/>
    <w:rsid w:val="0B3F6206"/>
    <w:rsid w:val="0B7E67EB"/>
    <w:rsid w:val="0B8C5B00"/>
    <w:rsid w:val="0BE12DB6"/>
    <w:rsid w:val="0BE72997"/>
    <w:rsid w:val="0BFC6504"/>
    <w:rsid w:val="0C345AD1"/>
    <w:rsid w:val="0C552FCB"/>
    <w:rsid w:val="0C626CE4"/>
    <w:rsid w:val="0D08498F"/>
    <w:rsid w:val="0D0C2B7B"/>
    <w:rsid w:val="0D9308F8"/>
    <w:rsid w:val="0DE76C3D"/>
    <w:rsid w:val="0E1A1D85"/>
    <w:rsid w:val="0E3C75E8"/>
    <w:rsid w:val="0E6B26B6"/>
    <w:rsid w:val="0E750568"/>
    <w:rsid w:val="0E9C3C97"/>
    <w:rsid w:val="0EA55D13"/>
    <w:rsid w:val="0EBA2435"/>
    <w:rsid w:val="0F0F31C4"/>
    <w:rsid w:val="0F2D7A80"/>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B567FB"/>
    <w:rsid w:val="11C07DA5"/>
    <w:rsid w:val="11C2491E"/>
    <w:rsid w:val="11F36B75"/>
    <w:rsid w:val="123B45F5"/>
    <w:rsid w:val="12491386"/>
    <w:rsid w:val="12DE232A"/>
    <w:rsid w:val="12E60579"/>
    <w:rsid w:val="12EB0F02"/>
    <w:rsid w:val="12FE34CD"/>
    <w:rsid w:val="13057392"/>
    <w:rsid w:val="13695B36"/>
    <w:rsid w:val="1372609F"/>
    <w:rsid w:val="138A301D"/>
    <w:rsid w:val="13CD6F8A"/>
    <w:rsid w:val="13D73572"/>
    <w:rsid w:val="141476FE"/>
    <w:rsid w:val="1449272D"/>
    <w:rsid w:val="14504752"/>
    <w:rsid w:val="145A6A37"/>
    <w:rsid w:val="1467440F"/>
    <w:rsid w:val="146B2014"/>
    <w:rsid w:val="147F6DAD"/>
    <w:rsid w:val="14846AB8"/>
    <w:rsid w:val="14E05B4D"/>
    <w:rsid w:val="14FA1F7A"/>
    <w:rsid w:val="15400323"/>
    <w:rsid w:val="15433A9B"/>
    <w:rsid w:val="15545B0C"/>
    <w:rsid w:val="159233F2"/>
    <w:rsid w:val="15BB45B7"/>
    <w:rsid w:val="15D346A7"/>
    <w:rsid w:val="15D93B67"/>
    <w:rsid w:val="15E9057E"/>
    <w:rsid w:val="15FC2F04"/>
    <w:rsid w:val="16181FAC"/>
    <w:rsid w:val="16450C97"/>
    <w:rsid w:val="16666C4E"/>
    <w:rsid w:val="168756A0"/>
    <w:rsid w:val="16F94849"/>
    <w:rsid w:val="17045E51"/>
    <w:rsid w:val="172011D4"/>
    <w:rsid w:val="17252C3B"/>
    <w:rsid w:val="173F0A2E"/>
    <w:rsid w:val="17770BC2"/>
    <w:rsid w:val="177A3491"/>
    <w:rsid w:val="17860E2F"/>
    <w:rsid w:val="17A119AA"/>
    <w:rsid w:val="17E85AC5"/>
    <w:rsid w:val="180A2E6A"/>
    <w:rsid w:val="18104A8B"/>
    <w:rsid w:val="182E403B"/>
    <w:rsid w:val="18426B32"/>
    <w:rsid w:val="18586F2B"/>
    <w:rsid w:val="186D35F0"/>
    <w:rsid w:val="193C2A3D"/>
    <w:rsid w:val="19495B46"/>
    <w:rsid w:val="1973724A"/>
    <w:rsid w:val="19A766B9"/>
    <w:rsid w:val="19B06735"/>
    <w:rsid w:val="19CE76BA"/>
    <w:rsid w:val="19F26070"/>
    <w:rsid w:val="19F97C8B"/>
    <w:rsid w:val="1A1523CE"/>
    <w:rsid w:val="1AA730BD"/>
    <w:rsid w:val="1AAE3F81"/>
    <w:rsid w:val="1B333D5D"/>
    <w:rsid w:val="1B400146"/>
    <w:rsid w:val="1B587618"/>
    <w:rsid w:val="1B5F19C7"/>
    <w:rsid w:val="1B84164C"/>
    <w:rsid w:val="1C1C709B"/>
    <w:rsid w:val="1C4A05F8"/>
    <w:rsid w:val="1C4F6795"/>
    <w:rsid w:val="1C687BA8"/>
    <w:rsid w:val="1C7723C1"/>
    <w:rsid w:val="1C9F6814"/>
    <w:rsid w:val="1CA7399C"/>
    <w:rsid w:val="1D5C514E"/>
    <w:rsid w:val="1D865D14"/>
    <w:rsid w:val="1D8705EC"/>
    <w:rsid w:val="1DBE0159"/>
    <w:rsid w:val="1DEC0E7D"/>
    <w:rsid w:val="1E23495C"/>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20107567"/>
    <w:rsid w:val="20313E48"/>
    <w:rsid w:val="204E750E"/>
    <w:rsid w:val="208244E5"/>
    <w:rsid w:val="20AB56C6"/>
    <w:rsid w:val="20E21F80"/>
    <w:rsid w:val="21547789"/>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A12DB6"/>
    <w:rsid w:val="22B01277"/>
    <w:rsid w:val="236356D1"/>
    <w:rsid w:val="23672FA4"/>
    <w:rsid w:val="23791175"/>
    <w:rsid w:val="23A45F21"/>
    <w:rsid w:val="23A91C83"/>
    <w:rsid w:val="23C962E8"/>
    <w:rsid w:val="242552B4"/>
    <w:rsid w:val="243F7403"/>
    <w:rsid w:val="247E4FED"/>
    <w:rsid w:val="24884A95"/>
    <w:rsid w:val="24A87C93"/>
    <w:rsid w:val="24AD78E0"/>
    <w:rsid w:val="24B30BE8"/>
    <w:rsid w:val="24BC5AD3"/>
    <w:rsid w:val="24E10292"/>
    <w:rsid w:val="24E34060"/>
    <w:rsid w:val="253A0491"/>
    <w:rsid w:val="254E0478"/>
    <w:rsid w:val="259322B4"/>
    <w:rsid w:val="25AF6361"/>
    <w:rsid w:val="25C428AA"/>
    <w:rsid w:val="25C50504"/>
    <w:rsid w:val="25E036B2"/>
    <w:rsid w:val="25E75BA2"/>
    <w:rsid w:val="25E9082A"/>
    <w:rsid w:val="25F42473"/>
    <w:rsid w:val="260A0FF9"/>
    <w:rsid w:val="26436BD4"/>
    <w:rsid w:val="265C2AE3"/>
    <w:rsid w:val="269C17B8"/>
    <w:rsid w:val="26AF2D79"/>
    <w:rsid w:val="26B34B91"/>
    <w:rsid w:val="26ED706D"/>
    <w:rsid w:val="26F853FE"/>
    <w:rsid w:val="26F92E80"/>
    <w:rsid w:val="270D66E8"/>
    <w:rsid w:val="27514612"/>
    <w:rsid w:val="278B0DAB"/>
    <w:rsid w:val="278D3850"/>
    <w:rsid w:val="279C6B0E"/>
    <w:rsid w:val="27A64735"/>
    <w:rsid w:val="27CC4DF2"/>
    <w:rsid w:val="27FC39A7"/>
    <w:rsid w:val="280D64D7"/>
    <w:rsid w:val="281864F2"/>
    <w:rsid w:val="28341582"/>
    <w:rsid w:val="283D5C30"/>
    <w:rsid w:val="28634650"/>
    <w:rsid w:val="286903EF"/>
    <w:rsid w:val="287F5DD3"/>
    <w:rsid w:val="288047CB"/>
    <w:rsid w:val="289E62FA"/>
    <w:rsid w:val="28DB3015"/>
    <w:rsid w:val="28FD6E90"/>
    <w:rsid w:val="291E2CA6"/>
    <w:rsid w:val="29331862"/>
    <w:rsid w:val="29606AF1"/>
    <w:rsid w:val="299741EC"/>
    <w:rsid w:val="299E147F"/>
    <w:rsid w:val="29B72BFE"/>
    <w:rsid w:val="29C32A87"/>
    <w:rsid w:val="29CF26DC"/>
    <w:rsid w:val="29FB0EEE"/>
    <w:rsid w:val="2A1C5DA0"/>
    <w:rsid w:val="2A200D39"/>
    <w:rsid w:val="2A507EFF"/>
    <w:rsid w:val="2A5F2FA3"/>
    <w:rsid w:val="2AAB37D0"/>
    <w:rsid w:val="2ADC05A4"/>
    <w:rsid w:val="2AEF2177"/>
    <w:rsid w:val="2B0B6B2D"/>
    <w:rsid w:val="2B3C2EE3"/>
    <w:rsid w:val="2B46348F"/>
    <w:rsid w:val="2B5E3CCB"/>
    <w:rsid w:val="2B6F0D7F"/>
    <w:rsid w:val="2B8716BD"/>
    <w:rsid w:val="2B8B76FF"/>
    <w:rsid w:val="2BA07020"/>
    <w:rsid w:val="2BB97F4A"/>
    <w:rsid w:val="2BD5034F"/>
    <w:rsid w:val="2BF77A2F"/>
    <w:rsid w:val="2C153E60"/>
    <w:rsid w:val="2C370819"/>
    <w:rsid w:val="2C5F3D9D"/>
    <w:rsid w:val="2C61165D"/>
    <w:rsid w:val="2C88731E"/>
    <w:rsid w:val="2CF85053"/>
    <w:rsid w:val="2D002B75"/>
    <w:rsid w:val="2D025012"/>
    <w:rsid w:val="2D2B45A9"/>
    <w:rsid w:val="2D3622E0"/>
    <w:rsid w:val="2D4178F0"/>
    <w:rsid w:val="2DAE631A"/>
    <w:rsid w:val="2DD877E0"/>
    <w:rsid w:val="2DE616C9"/>
    <w:rsid w:val="2DFC2451"/>
    <w:rsid w:val="2E3422F8"/>
    <w:rsid w:val="2E6E566D"/>
    <w:rsid w:val="2E7F188E"/>
    <w:rsid w:val="2EBC0905"/>
    <w:rsid w:val="2EC73739"/>
    <w:rsid w:val="2EFB1B0E"/>
    <w:rsid w:val="2F5C684F"/>
    <w:rsid w:val="2F63756E"/>
    <w:rsid w:val="2F933A9E"/>
    <w:rsid w:val="2FA45F37"/>
    <w:rsid w:val="2FAE20C9"/>
    <w:rsid w:val="2FBF7DE5"/>
    <w:rsid w:val="3032101E"/>
    <w:rsid w:val="306927FC"/>
    <w:rsid w:val="307776D1"/>
    <w:rsid w:val="307B2717"/>
    <w:rsid w:val="30862574"/>
    <w:rsid w:val="30B631E1"/>
    <w:rsid w:val="30C05531"/>
    <w:rsid w:val="30E57BC8"/>
    <w:rsid w:val="311933AA"/>
    <w:rsid w:val="31414A5E"/>
    <w:rsid w:val="315B788A"/>
    <w:rsid w:val="315E658D"/>
    <w:rsid w:val="3168109A"/>
    <w:rsid w:val="317D15BB"/>
    <w:rsid w:val="319B148F"/>
    <w:rsid w:val="31D07E6C"/>
    <w:rsid w:val="323F65DA"/>
    <w:rsid w:val="32412074"/>
    <w:rsid w:val="32DE0199"/>
    <w:rsid w:val="333C2963"/>
    <w:rsid w:val="3345127F"/>
    <w:rsid w:val="335B2774"/>
    <w:rsid w:val="338B331E"/>
    <w:rsid w:val="33A20D45"/>
    <w:rsid w:val="33A4642E"/>
    <w:rsid w:val="33B93774"/>
    <w:rsid w:val="33D1020F"/>
    <w:rsid w:val="33D4039C"/>
    <w:rsid w:val="33D47E05"/>
    <w:rsid w:val="33EC194A"/>
    <w:rsid w:val="3413677D"/>
    <w:rsid w:val="342B544B"/>
    <w:rsid w:val="345E036E"/>
    <w:rsid w:val="34C47852"/>
    <w:rsid w:val="34DE1E4F"/>
    <w:rsid w:val="34F07DB1"/>
    <w:rsid w:val="35216C38"/>
    <w:rsid w:val="35486AF7"/>
    <w:rsid w:val="359009FB"/>
    <w:rsid w:val="35D354B8"/>
    <w:rsid w:val="35D4025C"/>
    <w:rsid w:val="36063A32"/>
    <w:rsid w:val="362666BC"/>
    <w:rsid w:val="36445A95"/>
    <w:rsid w:val="368A6B11"/>
    <w:rsid w:val="36A238B1"/>
    <w:rsid w:val="37085B1F"/>
    <w:rsid w:val="37103EE5"/>
    <w:rsid w:val="372B2789"/>
    <w:rsid w:val="372E04CB"/>
    <w:rsid w:val="37317C9C"/>
    <w:rsid w:val="38E070F2"/>
    <w:rsid w:val="390D33AB"/>
    <w:rsid w:val="391E6D06"/>
    <w:rsid w:val="391F0E3B"/>
    <w:rsid w:val="39DC5BB6"/>
    <w:rsid w:val="39F1031B"/>
    <w:rsid w:val="3A074847"/>
    <w:rsid w:val="3A830B2E"/>
    <w:rsid w:val="3AA90FE6"/>
    <w:rsid w:val="3AA9318F"/>
    <w:rsid w:val="3AB62DA0"/>
    <w:rsid w:val="3AD04447"/>
    <w:rsid w:val="3AEA41B5"/>
    <w:rsid w:val="3B414BC4"/>
    <w:rsid w:val="3B69577B"/>
    <w:rsid w:val="3B702D85"/>
    <w:rsid w:val="3B7905A1"/>
    <w:rsid w:val="3B7D3FD5"/>
    <w:rsid w:val="3B823DDF"/>
    <w:rsid w:val="3BD827B4"/>
    <w:rsid w:val="3C237ED3"/>
    <w:rsid w:val="3C317D4F"/>
    <w:rsid w:val="3C4D2D59"/>
    <w:rsid w:val="3CAA596A"/>
    <w:rsid w:val="3CAF1D22"/>
    <w:rsid w:val="3CB1587B"/>
    <w:rsid w:val="3CB735F2"/>
    <w:rsid w:val="3CFC4E99"/>
    <w:rsid w:val="3D186684"/>
    <w:rsid w:val="3D363C36"/>
    <w:rsid w:val="3D68584E"/>
    <w:rsid w:val="3D837F03"/>
    <w:rsid w:val="3D8B2178"/>
    <w:rsid w:val="3D931088"/>
    <w:rsid w:val="3DB34909"/>
    <w:rsid w:val="3DCA67EC"/>
    <w:rsid w:val="3DD115F5"/>
    <w:rsid w:val="3DE435F0"/>
    <w:rsid w:val="3DE5122C"/>
    <w:rsid w:val="3DF37E53"/>
    <w:rsid w:val="3E1768EB"/>
    <w:rsid w:val="3E212A7E"/>
    <w:rsid w:val="3E47743A"/>
    <w:rsid w:val="3EB70D31"/>
    <w:rsid w:val="3ED26DE9"/>
    <w:rsid w:val="3EED17D0"/>
    <w:rsid w:val="3F052CF0"/>
    <w:rsid w:val="3F0C0304"/>
    <w:rsid w:val="3F2A7DE0"/>
    <w:rsid w:val="3F774839"/>
    <w:rsid w:val="3FEC147E"/>
    <w:rsid w:val="400D1324"/>
    <w:rsid w:val="40111F29"/>
    <w:rsid w:val="401A01BA"/>
    <w:rsid w:val="40376375"/>
    <w:rsid w:val="407D0E43"/>
    <w:rsid w:val="40980F08"/>
    <w:rsid w:val="40C83C56"/>
    <w:rsid w:val="40E340D5"/>
    <w:rsid w:val="40F3251B"/>
    <w:rsid w:val="412732B7"/>
    <w:rsid w:val="4127791F"/>
    <w:rsid w:val="41281794"/>
    <w:rsid w:val="413C1FDF"/>
    <w:rsid w:val="41806A69"/>
    <w:rsid w:val="41980AAB"/>
    <w:rsid w:val="41A40141"/>
    <w:rsid w:val="41B0259C"/>
    <w:rsid w:val="41BC6F1C"/>
    <w:rsid w:val="41EF2363"/>
    <w:rsid w:val="41F77860"/>
    <w:rsid w:val="424A4B98"/>
    <w:rsid w:val="424F27D8"/>
    <w:rsid w:val="42581D3A"/>
    <w:rsid w:val="429C4E56"/>
    <w:rsid w:val="42E42CCB"/>
    <w:rsid w:val="42ED2EA4"/>
    <w:rsid w:val="42F37A63"/>
    <w:rsid w:val="42F6649D"/>
    <w:rsid w:val="42FE0080"/>
    <w:rsid w:val="43315D2E"/>
    <w:rsid w:val="43670C99"/>
    <w:rsid w:val="43824A1C"/>
    <w:rsid w:val="43BA782C"/>
    <w:rsid w:val="43D110E1"/>
    <w:rsid w:val="43D72555"/>
    <w:rsid w:val="43E048FB"/>
    <w:rsid w:val="43E873C9"/>
    <w:rsid w:val="43EF4482"/>
    <w:rsid w:val="448B5C69"/>
    <w:rsid w:val="44905B1F"/>
    <w:rsid w:val="44A3327A"/>
    <w:rsid w:val="44C81F67"/>
    <w:rsid w:val="45316885"/>
    <w:rsid w:val="459B1F40"/>
    <w:rsid w:val="45A95EE9"/>
    <w:rsid w:val="45EA5542"/>
    <w:rsid w:val="45FB0F21"/>
    <w:rsid w:val="46130905"/>
    <w:rsid w:val="46167166"/>
    <w:rsid w:val="4636719A"/>
    <w:rsid w:val="463A65C6"/>
    <w:rsid w:val="464858DB"/>
    <w:rsid w:val="4650656B"/>
    <w:rsid w:val="46685E10"/>
    <w:rsid w:val="46D73EC6"/>
    <w:rsid w:val="47200EE3"/>
    <w:rsid w:val="47435AC2"/>
    <w:rsid w:val="47544B78"/>
    <w:rsid w:val="47587AF7"/>
    <w:rsid w:val="47745A86"/>
    <w:rsid w:val="47C9778B"/>
    <w:rsid w:val="47CB5A57"/>
    <w:rsid w:val="47E239AC"/>
    <w:rsid w:val="47F33399"/>
    <w:rsid w:val="480C42C3"/>
    <w:rsid w:val="480F4B73"/>
    <w:rsid w:val="4816227E"/>
    <w:rsid w:val="4862144E"/>
    <w:rsid w:val="487974BD"/>
    <w:rsid w:val="489E3831"/>
    <w:rsid w:val="48A50F36"/>
    <w:rsid w:val="48B9571B"/>
    <w:rsid w:val="48DB38E3"/>
    <w:rsid w:val="49001B5E"/>
    <w:rsid w:val="4904108C"/>
    <w:rsid w:val="493443AD"/>
    <w:rsid w:val="49376DB0"/>
    <w:rsid w:val="493D4634"/>
    <w:rsid w:val="49551CDB"/>
    <w:rsid w:val="49605AEE"/>
    <w:rsid w:val="497E3057"/>
    <w:rsid w:val="49804BB7"/>
    <w:rsid w:val="49826DCB"/>
    <w:rsid w:val="499013E7"/>
    <w:rsid w:val="49C8088A"/>
    <w:rsid w:val="49EC3FFA"/>
    <w:rsid w:val="49F031DE"/>
    <w:rsid w:val="49F772E6"/>
    <w:rsid w:val="4A0F6D68"/>
    <w:rsid w:val="4A301C93"/>
    <w:rsid w:val="4A3302AB"/>
    <w:rsid w:val="4A4C47F2"/>
    <w:rsid w:val="4A572A17"/>
    <w:rsid w:val="4A6F2535"/>
    <w:rsid w:val="4A7224B3"/>
    <w:rsid w:val="4A7706DB"/>
    <w:rsid w:val="4A901A63"/>
    <w:rsid w:val="4A9C5875"/>
    <w:rsid w:val="4AC705C3"/>
    <w:rsid w:val="4AC85D49"/>
    <w:rsid w:val="4ACD18C8"/>
    <w:rsid w:val="4AE308A9"/>
    <w:rsid w:val="4B260F2D"/>
    <w:rsid w:val="4B9A1456"/>
    <w:rsid w:val="4BA32C82"/>
    <w:rsid w:val="4BDB6202"/>
    <w:rsid w:val="4BE70627"/>
    <w:rsid w:val="4C0A5AE1"/>
    <w:rsid w:val="4C130AB8"/>
    <w:rsid w:val="4C4023DB"/>
    <w:rsid w:val="4C5A284D"/>
    <w:rsid w:val="4C5C0673"/>
    <w:rsid w:val="4C8B531F"/>
    <w:rsid w:val="4CB96B43"/>
    <w:rsid w:val="4CC61682"/>
    <w:rsid w:val="4CC75FCC"/>
    <w:rsid w:val="4CC87A5E"/>
    <w:rsid w:val="4CD63947"/>
    <w:rsid w:val="4CFC49F4"/>
    <w:rsid w:val="4D0314E7"/>
    <w:rsid w:val="4D073D73"/>
    <w:rsid w:val="4D1E27BA"/>
    <w:rsid w:val="4D23574A"/>
    <w:rsid w:val="4D4C4DB0"/>
    <w:rsid w:val="4D7322D5"/>
    <w:rsid w:val="4DD7034C"/>
    <w:rsid w:val="4DE312CB"/>
    <w:rsid w:val="4DF5318E"/>
    <w:rsid w:val="4E0D199A"/>
    <w:rsid w:val="4E0E0BAE"/>
    <w:rsid w:val="4E1F4862"/>
    <w:rsid w:val="4E2E4393"/>
    <w:rsid w:val="4E4478F5"/>
    <w:rsid w:val="4E535EF2"/>
    <w:rsid w:val="4E9563FB"/>
    <w:rsid w:val="4F08773C"/>
    <w:rsid w:val="4F31409F"/>
    <w:rsid w:val="4F391107"/>
    <w:rsid w:val="4F5E670E"/>
    <w:rsid w:val="4F846A83"/>
    <w:rsid w:val="50070E2C"/>
    <w:rsid w:val="50093D5E"/>
    <w:rsid w:val="501112F3"/>
    <w:rsid w:val="504B57F2"/>
    <w:rsid w:val="50514152"/>
    <w:rsid w:val="50850D04"/>
    <w:rsid w:val="50C5433A"/>
    <w:rsid w:val="50C62BC7"/>
    <w:rsid w:val="50C879B4"/>
    <w:rsid w:val="50D40EA8"/>
    <w:rsid w:val="50F72A66"/>
    <w:rsid w:val="50F814D6"/>
    <w:rsid w:val="5123368C"/>
    <w:rsid w:val="51291C37"/>
    <w:rsid w:val="5130747C"/>
    <w:rsid w:val="515C765A"/>
    <w:rsid w:val="51905BB3"/>
    <w:rsid w:val="51922560"/>
    <w:rsid w:val="51946FCB"/>
    <w:rsid w:val="51DD796B"/>
    <w:rsid w:val="51DF373B"/>
    <w:rsid w:val="52A511EA"/>
    <w:rsid w:val="52EF4CB5"/>
    <w:rsid w:val="52F959F0"/>
    <w:rsid w:val="5302488E"/>
    <w:rsid w:val="530323B4"/>
    <w:rsid w:val="53136173"/>
    <w:rsid w:val="534B12B7"/>
    <w:rsid w:val="539A4AC7"/>
    <w:rsid w:val="53F86552"/>
    <w:rsid w:val="542631B6"/>
    <w:rsid w:val="542B7CA6"/>
    <w:rsid w:val="5447483C"/>
    <w:rsid w:val="544D14DF"/>
    <w:rsid w:val="547748A2"/>
    <w:rsid w:val="54942CAE"/>
    <w:rsid w:val="549459BA"/>
    <w:rsid w:val="54A61722"/>
    <w:rsid w:val="54B31FAF"/>
    <w:rsid w:val="54DC2048"/>
    <w:rsid w:val="550C502E"/>
    <w:rsid w:val="55224E1C"/>
    <w:rsid w:val="55326D63"/>
    <w:rsid w:val="555D1A10"/>
    <w:rsid w:val="55963292"/>
    <w:rsid w:val="55B72CB0"/>
    <w:rsid w:val="55C300FC"/>
    <w:rsid w:val="55E8347F"/>
    <w:rsid w:val="55E90F00"/>
    <w:rsid w:val="56AC4A78"/>
    <w:rsid w:val="56B55151"/>
    <w:rsid w:val="56DB16B9"/>
    <w:rsid w:val="572F0E41"/>
    <w:rsid w:val="57435CBA"/>
    <w:rsid w:val="577A3463"/>
    <w:rsid w:val="57B35F6D"/>
    <w:rsid w:val="57BE1D80"/>
    <w:rsid w:val="57F967AD"/>
    <w:rsid w:val="58052975"/>
    <w:rsid w:val="581D7A74"/>
    <w:rsid w:val="584D1A65"/>
    <w:rsid w:val="584F5C44"/>
    <w:rsid w:val="58A96885"/>
    <w:rsid w:val="58B8581B"/>
    <w:rsid w:val="58E525CA"/>
    <w:rsid w:val="58EE7372"/>
    <w:rsid w:val="58FD7D40"/>
    <w:rsid w:val="592B5B5A"/>
    <w:rsid w:val="593D045A"/>
    <w:rsid w:val="5960739E"/>
    <w:rsid w:val="59664632"/>
    <w:rsid w:val="59896D0A"/>
    <w:rsid w:val="599226DC"/>
    <w:rsid w:val="599D6D92"/>
    <w:rsid w:val="59B72684"/>
    <w:rsid w:val="59BA4144"/>
    <w:rsid w:val="59F861A7"/>
    <w:rsid w:val="5A4001AF"/>
    <w:rsid w:val="5A9579AE"/>
    <w:rsid w:val="5AC468CD"/>
    <w:rsid w:val="5AC558FB"/>
    <w:rsid w:val="5B342B9A"/>
    <w:rsid w:val="5B3C46B5"/>
    <w:rsid w:val="5B5953B0"/>
    <w:rsid w:val="5B630802"/>
    <w:rsid w:val="5B746998"/>
    <w:rsid w:val="5B807F68"/>
    <w:rsid w:val="5BA72CE5"/>
    <w:rsid w:val="5BBE3013"/>
    <w:rsid w:val="5BD13050"/>
    <w:rsid w:val="5BE61256"/>
    <w:rsid w:val="5C034D53"/>
    <w:rsid w:val="5C0A43A9"/>
    <w:rsid w:val="5C41066B"/>
    <w:rsid w:val="5C620B9F"/>
    <w:rsid w:val="5C79798F"/>
    <w:rsid w:val="5C7F2AAC"/>
    <w:rsid w:val="5D0E2082"/>
    <w:rsid w:val="5D161948"/>
    <w:rsid w:val="5D722852"/>
    <w:rsid w:val="5E1D6F56"/>
    <w:rsid w:val="5E52187F"/>
    <w:rsid w:val="5E6A13CD"/>
    <w:rsid w:val="5E705D15"/>
    <w:rsid w:val="5E93326C"/>
    <w:rsid w:val="5E9F1A7A"/>
    <w:rsid w:val="5EAB5261"/>
    <w:rsid w:val="5EAF3818"/>
    <w:rsid w:val="5EE62ABD"/>
    <w:rsid w:val="5EFB4BA4"/>
    <w:rsid w:val="5EFD23AE"/>
    <w:rsid w:val="5F025452"/>
    <w:rsid w:val="5F5F46B5"/>
    <w:rsid w:val="5FB25360"/>
    <w:rsid w:val="5FBA3CC0"/>
    <w:rsid w:val="5FD90D61"/>
    <w:rsid w:val="60177697"/>
    <w:rsid w:val="602329DB"/>
    <w:rsid w:val="607777D6"/>
    <w:rsid w:val="60B34B89"/>
    <w:rsid w:val="60BC76A1"/>
    <w:rsid w:val="610B7637"/>
    <w:rsid w:val="612279BA"/>
    <w:rsid w:val="614D1FB2"/>
    <w:rsid w:val="615F5624"/>
    <w:rsid w:val="61D215CF"/>
    <w:rsid w:val="62042FA0"/>
    <w:rsid w:val="62414951"/>
    <w:rsid w:val="624709AB"/>
    <w:rsid w:val="625901AB"/>
    <w:rsid w:val="625C563D"/>
    <w:rsid w:val="626A1704"/>
    <w:rsid w:val="627921C2"/>
    <w:rsid w:val="62B362C8"/>
    <w:rsid w:val="62C0797A"/>
    <w:rsid w:val="62C1330E"/>
    <w:rsid w:val="62DD39C2"/>
    <w:rsid w:val="62EB67A0"/>
    <w:rsid w:val="62EC0759"/>
    <w:rsid w:val="62F200E4"/>
    <w:rsid w:val="63084806"/>
    <w:rsid w:val="6342085E"/>
    <w:rsid w:val="636F415C"/>
    <w:rsid w:val="63C329BB"/>
    <w:rsid w:val="63E85179"/>
    <w:rsid w:val="645A0930"/>
    <w:rsid w:val="64917820"/>
    <w:rsid w:val="64AA1CC5"/>
    <w:rsid w:val="64E9279D"/>
    <w:rsid w:val="64EB5CA0"/>
    <w:rsid w:val="6528341F"/>
    <w:rsid w:val="652B1E11"/>
    <w:rsid w:val="6544632F"/>
    <w:rsid w:val="656B2909"/>
    <w:rsid w:val="6598607C"/>
    <w:rsid w:val="659A2704"/>
    <w:rsid w:val="65A3045D"/>
    <w:rsid w:val="65D5369F"/>
    <w:rsid w:val="65D97752"/>
    <w:rsid w:val="65E25E59"/>
    <w:rsid w:val="66174109"/>
    <w:rsid w:val="6617798C"/>
    <w:rsid w:val="66307F76"/>
    <w:rsid w:val="66580EAF"/>
    <w:rsid w:val="66694D0D"/>
    <w:rsid w:val="667B4472"/>
    <w:rsid w:val="66F041A8"/>
    <w:rsid w:val="67114028"/>
    <w:rsid w:val="6721178A"/>
    <w:rsid w:val="6739399A"/>
    <w:rsid w:val="673F39DE"/>
    <w:rsid w:val="674C5D22"/>
    <w:rsid w:val="67663AF8"/>
    <w:rsid w:val="677243C5"/>
    <w:rsid w:val="67762CFD"/>
    <w:rsid w:val="67762DCB"/>
    <w:rsid w:val="677A678D"/>
    <w:rsid w:val="678C2D71"/>
    <w:rsid w:val="67A17493"/>
    <w:rsid w:val="67D30B32"/>
    <w:rsid w:val="68011379"/>
    <w:rsid w:val="68252C37"/>
    <w:rsid w:val="6836320A"/>
    <w:rsid w:val="6855023B"/>
    <w:rsid w:val="68673E5E"/>
    <w:rsid w:val="68803F1E"/>
    <w:rsid w:val="68817BAC"/>
    <w:rsid w:val="689A5E59"/>
    <w:rsid w:val="68A94E70"/>
    <w:rsid w:val="68AB31C8"/>
    <w:rsid w:val="68EB61B0"/>
    <w:rsid w:val="68EE72DF"/>
    <w:rsid w:val="68FE51D1"/>
    <w:rsid w:val="690B4C92"/>
    <w:rsid w:val="69485FEA"/>
    <w:rsid w:val="69677DC0"/>
    <w:rsid w:val="69937EC7"/>
    <w:rsid w:val="699A504F"/>
    <w:rsid w:val="69C9180A"/>
    <w:rsid w:val="69D64558"/>
    <w:rsid w:val="6A042548"/>
    <w:rsid w:val="6A0F720C"/>
    <w:rsid w:val="6A146F17"/>
    <w:rsid w:val="6A244C92"/>
    <w:rsid w:val="6A471EFD"/>
    <w:rsid w:val="6AB57116"/>
    <w:rsid w:val="6AFA59F3"/>
    <w:rsid w:val="6B17424A"/>
    <w:rsid w:val="6B2218FA"/>
    <w:rsid w:val="6B4B00E1"/>
    <w:rsid w:val="6B5A722E"/>
    <w:rsid w:val="6B686C59"/>
    <w:rsid w:val="6B691672"/>
    <w:rsid w:val="6B8C3281"/>
    <w:rsid w:val="6BCA2D65"/>
    <w:rsid w:val="6BE97F42"/>
    <w:rsid w:val="6BEB29A1"/>
    <w:rsid w:val="6C5660C1"/>
    <w:rsid w:val="6C5E6A51"/>
    <w:rsid w:val="6C6513C3"/>
    <w:rsid w:val="6C744268"/>
    <w:rsid w:val="6C913746"/>
    <w:rsid w:val="6C9D0B3F"/>
    <w:rsid w:val="6CD62D03"/>
    <w:rsid w:val="6CD97FB6"/>
    <w:rsid w:val="6D0B1173"/>
    <w:rsid w:val="6D0E5050"/>
    <w:rsid w:val="6D376CA3"/>
    <w:rsid w:val="6D4B22B8"/>
    <w:rsid w:val="6D930013"/>
    <w:rsid w:val="6DA51372"/>
    <w:rsid w:val="6DB53B8B"/>
    <w:rsid w:val="6DBA5A94"/>
    <w:rsid w:val="6E1A1656"/>
    <w:rsid w:val="6E231DD6"/>
    <w:rsid w:val="6E4407CF"/>
    <w:rsid w:val="6E5A5288"/>
    <w:rsid w:val="6EE013EE"/>
    <w:rsid w:val="6EE079F1"/>
    <w:rsid w:val="6EE42C42"/>
    <w:rsid w:val="6F143527"/>
    <w:rsid w:val="6F7F7CB0"/>
    <w:rsid w:val="6FD774D4"/>
    <w:rsid w:val="6FE0165C"/>
    <w:rsid w:val="6FE10C44"/>
    <w:rsid w:val="70222744"/>
    <w:rsid w:val="70616C6C"/>
    <w:rsid w:val="706D25DF"/>
    <w:rsid w:val="706D2B21"/>
    <w:rsid w:val="707B1384"/>
    <w:rsid w:val="70857A34"/>
    <w:rsid w:val="70985D3C"/>
    <w:rsid w:val="70C52655"/>
    <w:rsid w:val="70FD625F"/>
    <w:rsid w:val="71047C73"/>
    <w:rsid w:val="7109004F"/>
    <w:rsid w:val="71103167"/>
    <w:rsid w:val="71211E57"/>
    <w:rsid w:val="712E56F7"/>
    <w:rsid w:val="713954C7"/>
    <w:rsid w:val="71691ABB"/>
    <w:rsid w:val="718D0958"/>
    <w:rsid w:val="71AE1AEA"/>
    <w:rsid w:val="71CF3B6C"/>
    <w:rsid w:val="71F80F33"/>
    <w:rsid w:val="722922C6"/>
    <w:rsid w:val="72367C59"/>
    <w:rsid w:val="723C5278"/>
    <w:rsid w:val="723F4D5F"/>
    <w:rsid w:val="72532C9F"/>
    <w:rsid w:val="727176A7"/>
    <w:rsid w:val="72CB03A1"/>
    <w:rsid w:val="73047240"/>
    <w:rsid w:val="730F5864"/>
    <w:rsid w:val="732D4B5D"/>
    <w:rsid w:val="73393C88"/>
    <w:rsid w:val="7362513F"/>
    <w:rsid w:val="736612A1"/>
    <w:rsid w:val="73771D49"/>
    <w:rsid w:val="73846894"/>
    <w:rsid w:val="738B299C"/>
    <w:rsid w:val="73A1354E"/>
    <w:rsid w:val="73CB7009"/>
    <w:rsid w:val="73F12089"/>
    <w:rsid w:val="73FE05FF"/>
    <w:rsid w:val="73FE4ED9"/>
    <w:rsid w:val="743D3AC4"/>
    <w:rsid w:val="744E663A"/>
    <w:rsid w:val="747D20BB"/>
    <w:rsid w:val="74A11E7D"/>
    <w:rsid w:val="74AE727B"/>
    <w:rsid w:val="74EC1DD5"/>
    <w:rsid w:val="75590B0A"/>
    <w:rsid w:val="75647B4C"/>
    <w:rsid w:val="758075D4"/>
    <w:rsid w:val="7582279F"/>
    <w:rsid w:val="75843EB5"/>
    <w:rsid w:val="75BB71AF"/>
    <w:rsid w:val="75F01962"/>
    <w:rsid w:val="760E19DF"/>
    <w:rsid w:val="762A586E"/>
    <w:rsid w:val="764E52E0"/>
    <w:rsid w:val="76557F3E"/>
    <w:rsid w:val="76676A53"/>
    <w:rsid w:val="76A3294D"/>
    <w:rsid w:val="76B620A1"/>
    <w:rsid w:val="76D0016F"/>
    <w:rsid w:val="76E51777"/>
    <w:rsid w:val="76F20814"/>
    <w:rsid w:val="77050D7C"/>
    <w:rsid w:val="77462524"/>
    <w:rsid w:val="77854826"/>
    <w:rsid w:val="779A6594"/>
    <w:rsid w:val="77A21064"/>
    <w:rsid w:val="77E34EB2"/>
    <w:rsid w:val="781564B8"/>
    <w:rsid w:val="78224ACF"/>
    <w:rsid w:val="783751ED"/>
    <w:rsid w:val="789A00FF"/>
    <w:rsid w:val="78C7099A"/>
    <w:rsid w:val="78CD6DCC"/>
    <w:rsid w:val="78D07CAF"/>
    <w:rsid w:val="78DE12D7"/>
    <w:rsid w:val="79055F9C"/>
    <w:rsid w:val="79202AC9"/>
    <w:rsid w:val="79210683"/>
    <w:rsid w:val="79535D1B"/>
    <w:rsid w:val="796A5940"/>
    <w:rsid w:val="79936B04"/>
    <w:rsid w:val="799C3465"/>
    <w:rsid w:val="79B14EC4"/>
    <w:rsid w:val="7A2A6B4A"/>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C0562EC"/>
    <w:rsid w:val="7C067A45"/>
    <w:rsid w:val="7C0B2A10"/>
    <w:rsid w:val="7C27683F"/>
    <w:rsid w:val="7CAE2219"/>
    <w:rsid w:val="7CB14B4D"/>
    <w:rsid w:val="7CF26969"/>
    <w:rsid w:val="7D25523C"/>
    <w:rsid w:val="7D2953E6"/>
    <w:rsid w:val="7D7A3EEC"/>
    <w:rsid w:val="7DAA6C39"/>
    <w:rsid w:val="7DB23041"/>
    <w:rsid w:val="7DD86484"/>
    <w:rsid w:val="7E163D6A"/>
    <w:rsid w:val="7E2120FB"/>
    <w:rsid w:val="7E412630"/>
    <w:rsid w:val="7E5F7809"/>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46"/>
    <w:qFormat/>
    <w:uiPriority w:val="9"/>
    <w:pPr>
      <w:keepNext/>
      <w:keepLines/>
      <w:jc w:val="center"/>
      <w:outlineLvl w:val="0"/>
    </w:pPr>
    <w:rPr>
      <w:b/>
      <w:bCs/>
      <w:kern w:val="44"/>
      <w:sz w:val="36"/>
      <w:szCs w:val="44"/>
    </w:rPr>
  </w:style>
  <w:style w:type="paragraph" w:styleId="4">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9"/>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60"/>
    <w:qFormat/>
    <w:uiPriority w:val="0"/>
    <w:pPr>
      <w:jc w:val="left"/>
    </w:pPr>
  </w:style>
  <w:style w:type="paragraph" w:styleId="12">
    <w:name w:val="Body Text"/>
    <w:basedOn w:val="1"/>
    <w:next w:val="13"/>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8"/>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Plain Text"/>
    <w:basedOn w:val="1"/>
    <w:link w:val="71"/>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2"/>
    <w:qFormat/>
    <w:uiPriority w:val="0"/>
    <w:pPr>
      <w:ind w:left="100" w:leftChars="2500"/>
    </w:pPr>
    <w:rPr>
      <w:sz w:val="24"/>
    </w:rPr>
  </w:style>
  <w:style w:type="paragraph" w:styleId="19">
    <w:name w:val="Body Text Indent 2"/>
    <w:basedOn w:val="1"/>
    <w:link w:val="50"/>
    <w:qFormat/>
    <w:uiPriority w:val="0"/>
    <w:pPr>
      <w:spacing w:after="120" w:line="480" w:lineRule="auto"/>
      <w:ind w:left="420" w:leftChars="200"/>
    </w:pPr>
  </w:style>
  <w:style w:type="paragraph" w:styleId="20">
    <w:name w:val="Balloon Text"/>
    <w:basedOn w:val="1"/>
    <w:link w:val="66"/>
    <w:qFormat/>
    <w:uiPriority w:val="0"/>
    <w:rPr>
      <w:sz w:val="18"/>
    </w:rPr>
  </w:style>
  <w:style w:type="paragraph" w:styleId="21">
    <w:name w:val="footer"/>
    <w:basedOn w:val="1"/>
    <w:link w:val="72"/>
    <w:qFormat/>
    <w:uiPriority w:val="99"/>
    <w:pPr>
      <w:tabs>
        <w:tab w:val="center" w:pos="4153"/>
        <w:tab w:val="right" w:pos="8306"/>
      </w:tabs>
      <w:snapToGrid w:val="0"/>
      <w:jc w:val="left"/>
    </w:pPr>
    <w:rPr>
      <w:sz w:val="18"/>
    </w:rPr>
  </w:style>
  <w:style w:type="paragraph" w:styleId="22">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2"/>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1"/>
    <w:next w:val="11"/>
    <w:link w:val="51"/>
    <w:qFormat/>
    <w:uiPriority w:val="0"/>
    <w:rPr>
      <w:b/>
    </w:rPr>
  </w:style>
  <w:style w:type="paragraph" w:styleId="34">
    <w:name w:val="Body Text First Indent 2"/>
    <w:basedOn w:val="13"/>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paragraph" w:customStyle="1" w:styleId="45">
    <w:name w:val="Fließtext"/>
    <w:basedOn w:val="1"/>
    <w:qFormat/>
    <w:uiPriority w:val="99"/>
    <w:pPr>
      <w:widowControl/>
      <w:ind w:left="1134"/>
      <w:jc w:val="left"/>
    </w:pPr>
    <w:rPr>
      <w:rFonts w:ascii="Arial" w:hAnsi="Arial"/>
      <w:kern w:val="0"/>
      <w:szCs w:val="20"/>
      <w:lang w:val="de-DE" w:eastAsia="de-DE"/>
    </w:rPr>
  </w:style>
  <w:style w:type="character" w:customStyle="1" w:styleId="46">
    <w:name w:val="标题 1 字符"/>
    <w:basedOn w:val="37"/>
    <w:link w:val="2"/>
    <w:qFormat/>
    <w:uiPriority w:val="9"/>
    <w:rPr>
      <w:rFonts w:ascii="Calibri" w:hAnsi="Calibri" w:eastAsia="宋体" w:cs="Times New Roman"/>
      <w:b/>
      <w:bCs/>
      <w:kern w:val="44"/>
      <w:sz w:val="36"/>
      <w:szCs w:val="44"/>
    </w:rPr>
  </w:style>
  <w:style w:type="character" w:customStyle="1" w:styleId="47">
    <w:name w:val="标题 2 字符"/>
    <w:basedOn w:val="37"/>
    <w:link w:val="4"/>
    <w:qFormat/>
    <w:uiPriority w:val="9"/>
    <w:rPr>
      <w:rFonts w:ascii="Arial" w:hAnsi="Arial" w:eastAsia="宋体" w:cs="Times New Roman"/>
      <w:b/>
      <w:bCs/>
      <w:sz w:val="24"/>
      <w:szCs w:val="32"/>
    </w:rPr>
  </w:style>
  <w:style w:type="character" w:customStyle="1" w:styleId="48">
    <w:name w:val="标题 3 字符"/>
    <w:basedOn w:val="37"/>
    <w:link w:val="5"/>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19"/>
    <w:qFormat/>
    <w:locked/>
    <w:uiPriority w:val="0"/>
  </w:style>
  <w:style w:type="character" w:customStyle="1" w:styleId="51">
    <w:name w:val="批注主题 字符"/>
    <w:link w:val="33"/>
    <w:qFormat/>
    <w:locked/>
    <w:uiPriority w:val="0"/>
    <w:rPr>
      <w:b/>
    </w:rPr>
  </w:style>
  <w:style w:type="character" w:customStyle="1" w:styleId="52">
    <w:name w:val="正文文本缩进 3 字符"/>
    <w:link w:val="27"/>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7"/>
    <w:qFormat/>
    <w:uiPriority w:val="0"/>
    <w:rPr>
      <w:rFonts w:cs="Times New Roman"/>
    </w:rPr>
  </w:style>
  <w:style w:type="character" w:customStyle="1" w:styleId="58">
    <w:name w:val="页眉 字符"/>
    <w:link w:val="22"/>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1"/>
    <w:qFormat/>
    <w:locked/>
    <w:uiPriority w:val="0"/>
  </w:style>
  <w:style w:type="character" w:customStyle="1" w:styleId="61">
    <w:name w:val="标题 字符"/>
    <w:link w:val="32"/>
    <w:qFormat/>
    <w:locked/>
    <w:uiPriority w:val="0"/>
    <w:rPr>
      <w:rFonts w:ascii="Arial" w:hAnsi="Arial"/>
      <w:b/>
      <w:sz w:val="32"/>
    </w:rPr>
  </w:style>
  <w:style w:type="character" w:customStyle="1" w:styleId="62">
    <w:name w:val="日期 字符"/>
    <w:link w:val="18"/>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0"/>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9"/>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6"/>
    <w:qFormat/>
    <w:locked/>
    <w:uiPriority w:val="0"/>
    <w:rPr>
      <w:rFonts w:ascii="宋体" w:hAnsi="Courier New"/>
    </w:rPr>
  </w:style>
  <w:style w:type="character" w:customStyle="1" w:styleId="72">
    <w:name w:val="页脚 字符"/>
    <w:link w:val="21"/>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7"/>
    <w:semiHidden/>
    <w:qFormat/>
    <w:uiPriority w:val="99"/>
  </w:style>
  <w:style w:type="character" w:customStyle="1" w:styleId="77">
    <w:name w:val="批注文字 字符11"/>
    <w:basedOn w:val="37"/>
    <w:qFormat/>
    <w:uiPriority w:val="0"/>
    <w:rPr>
      <w:rFonts w:cs="Times New Roman"/>
      <w:kern w:val="2"/>
      <w:sz w:val="21"/>
    </w:rPr>
  </w:style>
  <w:style w:type="character" w:customStyle="1" w:styleId="78">
    <w:name w:val="正文文本缩进 字符"/>
    <w:basedOn w:val="37"/>
    <w:link w:val="13"/>
    <w:qFormat/>
    <w:uiPriority w:val="99"/>
    <w:rPr>
      <w:rFonts w:ascii="Calibri" w:hAnsi="Calibri" w:eastAsia="宋体" w:cs="Times New Roman"/>
      <w:szCs w:val="20"/>
    </w:rPr>
  </w:style>
  <w:style w:type="character" w:customStyle="1" w:styleId="79">
    <w:name w:val="文档结构图 字符1"/>
    <w:basedOn w:val="37"/>
    <w:semiHidden/>
    <w:qFormat/>
    <w:uiPriority w:val="99"/>
    <w:rPr>
      <w:rFonts w:ascii="Microsoft YaHei UI" w:eastAsia="Microsoft YaHei UI"/>
      <w:sz w:val="18"/>
      <w:szCs w:val="18"/>
    </w:rPr>
  </w:style>
  <w:style w:type="character" w:customStyle="1" w:styleId="80">
    <w:name w:val="文档结构图 字符11"/>
    <w:basedOn w:val="37"/>
    <w:semiHidden/>
    <w:qFormat/>
    <w:uiPriority w:val="99"/>
    <w:rPr>
      <w:rFonts w:ascii="Microsoft YaHei UI" w:eastAsia="Microsoft YaHei UI" w:cs="Times New Roman"/>
      <w:kern w:val="2"/>
      <w:sz w:val="18"/>
      <w:szCs w:val="18"/>
    </w:rPr>
  </w:style>
  <w:style w:type="character" w:customStyle="1" w:styleId="81">
    <w:name w:val="正文文本 字符"/>
    <w:basedOn w:val="37"/>
    <w:link w:val="12"/>
    <w:qFormat/>
    <w:uiPriority w:val="99"/>
    <w:rPr>
      <w:rFonts w:ascii="Calibri" w:hAnsi="Calibri" w:eastAsia="新宋体" w:cs="Times New Roman"/>
      <w:szCs w:val="21"/>
    </w:rPr>
  </w:style>
  <w:style w:type="character" w:customStyle="1" w:styleId="82">
    <w:name w:val="纯文本 字符1"/>
    <w:basedOn w:val="37"/>
    <w:semiHidden/>
    <w:qFormat/>
    <w:uiPriority w:val="99"/>
    <w:rPr>
      <w:rFonts w:hAnsi="Courier New" w:cs="Courier New" w:asciiTheme="minorEastAsia"/>
    </w:rPr>
  </w:style>
  <w:style w:type="character" w:customStyle="1" w:styleId="83">
    <w:name w:val="纯文本 字符11"/>
    <w:basedOn w:val="37"/>
    <w:qFormat/>
    <w:uiPriority w:val="0"/>
    <w:rPr>
      <w:rFonts w:hAnsi="Courier New" w:cs="Courier New" w:asciiTheme="minorEastAsia" w:eastAsiaTheme="minorEastAsia"/>
      <w:kern w:val="2"/>
      <w:sz w:val="21"/>
    </w:rPr>
  </w:style>
  <w:style w:type="character" w:customStyle="1" w:styleId="84">
    <w:name w:val="页眉 字符1"/>
    <w:basedOn w:val="37"/>
    <w:semiHidden/>
    <w:qFormat/>
    <w:uiPriority w:val="99"/>
    <w:rPr>
      <w:sz w:val="18"/>
      <w:szCs w:val="18"/>
    </w:rPr>
  </w:style>
  <w:style w:type="character" w:customStyle="1" w:styleId="85">
    <w:name w:val="页眉 字符11"/>
    <w:basedOn w:val="37"/>
    <w:semiHidden/>
    <w:qFormat/>
    <w:uiPriority w:val="99"/>
    <w:rPr>
      <w:rFonts w:cs="Times New Roman"/>
      <w:kern w:val="2"/>
      <w:sz w:val="18"/>
      <w:szCs w:val="18"/>
    </w:rPr>
  </w:style>
  <w:style w:type="character" w:customStyle="1" w:styleId="86">
    <w:name w:val="批注框文本 字符1"/>
    <w:basedOn w:val="37"/>
    <w:semiHidden/>
    <w:qFormat/>
    <w:uiPriority w:val="99"/>
    <w:rPr>
      <w:sz w:val="18"/>
      <w:szCs w:val="18"/>
    </w:rPr>
  </w:style>
  <w:style w:type="character" w:customStyle="1" w:styleId="87">
    <w:name w:val="批注框文本 字符11"/>
    <w:basedOn w:val="37"/>
    <w:semiHidden/>
    <w:qFormat/>
    <w:uiPriority w:val="99"/>
    <w:rPr>
      <w:rFonts w:cs="Times New Roman"/>
      <w:kern w:val="2"/>
      <w:sz w:val="18"/>
      <w:szCs w:val="18"/>
    </w:rPr>
  </w:style>
  <w:style w:type="character" w:customStyle="1" w:styleId="88">
    <w:name w:val="日期 字符1"/>
    <w:basedOn w:val="37"/>
    <w:semiHidden/>
    <w:qFormat/>
    <w:uiPriority w:val="99"/>
  </w:style>
  <w:style w:type="character" w:customStyle="1" w:styleId="89">
    <w:name w:val="日期 字符11"/>
    <w:basedOn w:val="37"/>
    <w:semiHidden/>
    <w:qFormat/>
    <w:uiPriority w:val="99"/>
    <w:rPr>
      <w:rFonts w:cs="Times New Roman"/>
      <w:kern w:val="2"/>
      <w:sz w:val="21"/>
    </w:rPr>
  </w:style>
  <w:style w:type="character" w:customStyle="1" w:styleId="90">
    <w:name w:val="页脚 字符1"/>
    <w:basedOn w:val="37"/>
    <w:semiHidden/>
    <w:qFormat/>
    <w:uiPriority w:val="99"/>
    <w:rPr>
      <w:sz w:val="18"/>
      <w:szCs w:val="18"/>
    </w:rPr>
  </w:style>
  <w:style w:type="character" w:customStyle="1" w:styleId="91">
    <w:name w:val="页脚 字符11"/>
    <w:basedOn w:val="37"/>
    <w:semiHidden/>
    <w:qFormat/>
    <w:uiPriority w:val="99"/>
    <w:rPr>
      <w:rFonts w:cs="Times New Roman"/>
      <w:kern w:val="2"/>
      <w:sz w:val="18"/>
      <w:szCs w:val="18"/>
    </w:rPr>
  </w:style>
  <w:style w:type="character" w:customStyle="1" w:styleId="92">
    <w:name w:val="正文文本缩进 2 字符1"/>
    <w:basedOn w:val="37"/>
    <w:semiHidden/>
    <w:qFormat/>
    <w:uiPriority w:val="99"/>
  </w:style>
  <w:style w:type="character" w:customStyle="1" w:styleId="93">
    <w:name w:val="正文文本缩进 2 字符11"/>
    <w:basedOn w:val="37"/>
    <w:semiHidden/>
    <w:qFormat/>
    <w:uiPriority w:val="99"/>
    <w:rPr>
      <w:rFonts w:cs="Times New Roman"/>
      <w:kern w:val="2"/>
      <w:sz w:val="21"/>
    </w:rPr>
  </w:style>
  <w:style w:type="character" w:customStyle="1" w:styleId="94">
    <w:name w:val="正文文本缩进 3 字符1"/>
    <w:basedOn w:val="37"/>
    <w:semiHidden/>
    <w:qFormat/>
    <w:uiPriority w:val="99"/>
    <w:rPr>
      <w:sz w:val="16"/>
      <w:szCs w:val="16"/>
    </w:rPr>
  </w:style>
  <w:style w:type="character" w:customStyle="1" w:styleId="95">
    <w:name w:val="正文文本缩进 3 字符11"/>
    <w:basedOn w:val="37"/>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7"/>
    <w:qFormat/>
    <w:uiPriority w:val="10"/>
    <w:rPr>
      <w:rFonts w:asciiTheme="majorHAnsi" w:hAnsiTheme="majorHAnsi" w:eastAsiaTheme="majorEastAsia" w:cstheme="majorBidi"/>
      <w:b/>
      <w:bCs/>
      <w:sz w:val="32"/>
      <w:szCs w:val="32"/>
    </w:rPr>
  </w:style>
  <w:style w:type="character" w:customStyle="1" w:styleId="99">
    <w:name w:val="标题 字符11"/>
    <w:basedOn w:val="37"/>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6"/>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4"/>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5"/>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paragraph" w:customStyle="1" w:styleId="133">
    <w:name w:val="CM22"/>
    <w:basedOn w:val="74"/>
    <w:next w:val="74"/>
    <w:qFormat/>
    <w:uiPriority w:val="0"/>
    <w:pPr>
      <w:spacing w:after="125"/>
    </w:pPr>
    <w:rPr>
      <w:rFonts w:cs="Times New Roman"/>
      <w:color w:val="auto"/>
    </w:rPr>
  </w:style>
  <w:style w:type="paragraph" w:customStyle="1" w:styleId="134">
    <w:name w:val="List Paragraph1"/>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2.png"/><Relationship Id="rId52" Type="http://schemas.openxmlformats.org/officeDocument/2006/relationships/image" Target="media/image11.png"/><Relationship Id="rId51" Type="http://schemas.openxmlformats.org/officeDocument/2006/relationships/image" Target="media/image10.png"/><Relationship Id="rId50" Type="http://schemas.openxmlformats.org/officeDocument/2006/relationships/image" Target="media/image9.png"/><Relationship Id="rId5" Type="http://schemas.openxmlformats.org/officeDocument/2006/relationships/footer" Target="footer1.xml"/><Relationship Id="rId49" Type="http://schemas.openxmlformats.org/officeDocument/2006/relationships/image" Target="media/image8.png"/><Relationship Id="rId48" Type="http://schemas.openxmlformats.org/officeDocument/2006/relationships/image" Target="media/image7.png"/><Relationship Id="rId47" Type="http://schemas.openxmlformats.org/officeDocument/2006/relationships/image" Target="media/image6.png"/><Relationship Id="rId46" Type="http://schemas.openxmlformats.org/officeDocument/2006/relationships/image" Target="media/image5.png"/><Relationship Id="rId45" Type="http://schemas.openxmlformats.org/officeDocument/2006/relationships/image" Target="media/image4.png"/><Relationship Id="rId44" Type="http://schemas.openxmlformats.org/officeDocument/2006/relationships/image" Target="media/image3.png"/><Relationship Id="rId43" Type="http://schemas.openxmlformats.org/officeDocument/2006/relationships/image" Target="media/image2.png"/><Relationship Id="rId42" Type="http://schemas.openxmlformats.org/officeDocument/2006/relationships/image" Target="media/image1.png"/><Relationship Id="rId41" Type="http://schemas.openxmlformats.org/officeDocument/2006/relationships/theme" Target="theme/theme1.xml"/><Relationship Id="rId40" Type="http://schemas.openxmlformats.org/officeDocument/2006/relationships/footer" Target="footer28.xml"/><Relationship Id="rId4" Type="http://schemas.openxmlformats.org/officeDocument/2006/relationships/header" Target="header2.xml"/><Relationship Id="rId39" Type="http://schemas.openxmlformats.org/officeDocument/2006/relationships/footer" Target="footer27.xml"/><Relationship Id="rId38" Type="http://schemas.openxmlformats.org/officeDocument/2006/relationships/header" Target="header10.xml"/><Relationship Id="rId37" Type="http://schemas.openxmlformats.org/officeDocument/2006/relationships/header" Target="header9.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94</Pages>
  <Words>44599</Words>
  <Characters>48094</Characters>
  <Lines>305</Lines>
  <Paragraphs>86</Paragraphs>
  <TotalTime>140</TotalTime>
  <ScaleCrop>false</ScaleCrop>
  <LinksUpToDate>false</LinksUpToDate>
  <CharactersWithSpaces>54563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旭</cp:lastModifiedBy>
  <cp:lastPrinted>2022-07-01T11:19:00Z</cp:lastPrinted>
  <dcterms:modified xsi:type="dcterms:W3CDTF">2024-12-04T05:33:00Z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ED02EB12B8294FE5807EAA5D2C3C24E0</vt:lpwstr>
  </property>
</Properties>
</file>