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val="0"/>
          <w:bCs w:val="0"/>
          <w:color w:val="000000"/>
          <w:spacing w:val="-8"/>
          <w:sz w:val="48"/>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8"/>
          <w:sz w:val="48"/>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8"/>
          <w:sz w:val="48"/>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spacing w:val="-8"/>
          <w:sz w:val="48"/>
          <w:szCs w:val="44"/>
        </w:rPr>
      </w:pPr>
      <w:r>
        <w:rPr>
          <w:rFonts w:hint="eastAsia" w:ascii="仿宋_GB2312" w:hAnsi="仿宋_GB2312" w:eastAsia="仿宋_GB2312" w:cs="仿宋_GB2312"/>
          <w:b w:val="0"/>
          <w:bCs w:val="0"/>
          <w:color w:val="000000"/>
          <w:spacing w:val="-8"/>
          <w:sz w:val="48"/>
          <w:szCs w:val="44"/>
        </w:rPr>
        <w:t>中国重汽集团济南动力有限公司</w:t>
      </w:r>
    </w:p>
    <w:p>
      <w:pPr>
        <w:keepNext w:val="0"/>
        <w:keepLines w:val="0"/>
        <w:pageBreakBefore w:val="0"/>
        <w:widowControl w:val="0"/>
        <w:kinsoku/>
        <w:wordWrap/>
        <w:overflowPunct/>
        <w:topLinePunct w:val="0"/>
        <w:autoSpaceDE/>
        <w:autoSpaceDN/>
        <w:bidi w:val="0"/>
        <w:adjustRightInd/>
        <w:snapToGrid/>
        <w:spacing w:before="398" w:line="240" w:lineRule="auto"/>
        <w:jc w:val="center"/>
        <w:textAlignment w:val="auto"/>
        <w:rPr>
          <w:rFonts w:hint="eastAsia" w:ascii="仿宋_GB2312" w:hAnsi="仿宋_GB2312" w:eastAsia="仿宋_GB2312" w:cs="仿宋_GB2312"/>
          <w:b w:val="0"/>
          <w:bCs w:val="0"/>
          <w:color w:val="000000"/>
          <w:spacing w:val="3"/>
          <w:sz w:val="48"/>
          <w:szCs w:val="48"/>
          <w:lang w:eastAsia="zh-CN"/>
        </w:rPr>
      </w:pPr>
      <w:r>
        <w:rPr>
          <w:rFonts w:hint="eastAsia" w:ascii="宋体" w:hAnsi="宋体" w:eastAsia="宋体"/>
          <w:b/>
          <w:sz w:val="48"/>
          <w:szCs w:val="48"/>
          <w:lang w:val="en-US" w:eastAsia="zh-CN"/>
        </w:rPr>
        <w:t>英雄山159-1号社区供电改造项目</w:t>
      </w:r>
    </w:p>
    <w:p>
      <w:pPr>
        <w:jc w:val="center"/>
        <w:rPr>
          <w:rFonts w:hint="eastAsia" w:ascii="黑体" w:hAnsi="宋体" w:eastAsia="黑体"/>
          <w:color w:val="000000"/>
          <w:sz w:val="84"/>
          <w:szCs w:val="84"/>
        </w:rPr>
      </w:pPr>
    </w:p>
    <w:p>
      <w:pPr>
        <w:jc w:val="center"/>
        <w:rPr>
          <w:rFonts w:ascii="黑体" w:hAnsi="宋体" w:eastAsia="黑体"/>
          <w:color w:val="000000"/>
          <w:sz w:val="84"/>
          <w:szCs w:val="84"/>
        </w:rPr>
      </w:pPr>
      <w:r>
        <w:rPr>
          <w:rFonts w:hint="eastAsia" w:ascii="黑体" w:hAnsi="宋体" w:eastAsia="黑体"/>
          <w:color w:val="000000"/>
          <w:sz w:val="84"/>
          <w:szCs w:val="84"/>
        </w:rPr>
        <w:t>招</w:t>
      </w:r>
    </w:p>
    <w:p>
      <w:pPr>
        <w:jc w:val="center"/>
        <w:rPr>
          <w:rFonts w:ascii="黑体" w:hAnsi="宋体" w:eastAsia="黑体"/>
          <w:color w:val="000000"/>
          <w:sz w:val="84"/>
          <w:szCs w:val="84"/>
        </w:rPr>
      </w:pPr>
    </w:p>
    <w:p>
      <w:pPr>
        <w:jc w:val="center"/>
        <w:rPr>
          <w:rFonts w:ascii="黑体" w:hAnsi="宋体" w:eastAsia="黑体"/>
          <w:color w:val="000000"/>
          <w:sz w:val="84"/>
          <w:szCs w:val="84"/>
        </w:rPr>
      </w:pPr>
      <w:r>
        <w:rPr>
          <w:rFonts w:hint="eastAsia" w:ascii="黑体" w:hAnsi="宋体" w:eastAsia="黑体"/>
          <w:color w:val="000000"/>
          <w:sz w:val="84"/>
          <w:szCs w:val="84"/>
        </w:rPr>
        <w:t>标</w:t>
      </w:r>
    </w:p>
    <w:p>
      <w:pPr>
        <w:jc w:val="center"/>
        <w:rPr>
          <w:rFonts w:ascii="黑体" w:hAnsi="宋体" w:eastAsia="黑体"/>
          <w:color w:val="000000"/>
          <w:sz w:val="84"/>
          <w:szCs w:val="84"/>
        </w:rPr>
      </w:pPr>
    </w:p>
    <w:p>
      <w:pPr>
        <w:jc w:val="center"/>
        <w:rPr>
          <w:rFonts w:ascii="宋体" w:hAnsi="宋体"/>
          <w:color w:val="000000"/>
          <w:sz w:val="72"/>
          <w:szCs w:val="72"/>
        </w:rPr>
      </w:pPr>
      <w:r>
        <w:rPr>
          <w:rFonts w:hint="eastAsia" w:ascii="黑体" w:hAnsi="宋体" w:eastAsia="黑体"/>
          <w:color w:val="000000"/>
          <w:sz w:val="84"/>
          <w:szCs w:val="84"/>
        </w:rPr>
        <w:t>书</w:t>
      </w:r>
    </w:p>
    <w:p>
      <w:pPr>
        <w:jc w:val="center"/>
        <w:rPr>
          <w:rFonts w:ascii="宋体" w:hAnsi="宋体"/>
          <w:color w:val="000000"/>
          <w:sz w:val="48"/>
          <w:szCs w:val="48"/>
        </w:rPr>
      </w:pPr>
    </w:p>
    <w:p>
      <w:pPr>
        <w:jc w:val="center"/>
        <w:rPr>
          <w:rFonts w:ascii="宋体" w:hAnsi="宋体"/>
          <w:color w:val="000000"/>
          <w:sz w:val="48"/>
          <w:szCs w:val="48"/>
        </w:rPr>
      </w:pPr>
    </w:p>
    <w:p>
      <w:pPr>
        <w:jc w:val="center"/>
        <w:rPr>
          <w:rFonts w:ascii="宋体" w:hAnsi="宋体"/>
          <w:color w:val="000000"/>
          <w:sz w:val="48"/>
          <w:szCs w:val="48"/>
        </w:rPr>
      </w:pPr>
    </w:p>
    <w:p>
      <w:pPr>
        <w:jc w:val="center"/>
        <w:rPr>
          <w:rFonts w:ascii="宋体" w:hAnsi="宋体"/>
          <w:color w:val="000000"/>
          <w:sz w:val="48"/>
          <w:szCs w:val="48"/>
        </w:rPr>
      </w:pPr>
    </w:p>
    <w:p>
      <w:pPr>
        <w:jc w:val="center"/>
        <w:rPr>
          <w:rFonts w:ascii="宋体" w:hAnsi="宋体"/>
          <w:color w:val="000000"/>
          <w:sz w:val="28"/>
          <w:szCs w:val="28"/>
        </w:rPr>
      </w:pPr>
    </w:p>
    <w:p>
      <w:pPr>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招 标 人：中国重汽集团济南动力有限公司</w:t>
      </w:r>
    </w:p>
    <w:p>
      <w:pPr>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20</w:t>
      </w:r>
      <w:r>
        <w:rPr>
          <w:rFonts w:hint="eastAsia" w:ascii="仿宋_GB2312" w:hAnsi="仿宋_GB2312" w:eastAsia="仿宋_GB2312" w:cs="仿宋_GB2312"/>
          <w:color w:val="000000"/>
          <w:sz w:val="36"/>
          <w:szCs w:val="36"/>
          <w:lang w:val="en-US" w:eastAsia="zh-CN"/>
        </w:rPr>
        <w:t>21</w:t>
      </w:r>
      <w:r>
        <w:rPr>
          <w:rFonts w:hint="eastAsia" w:ascii="仿宋_GB2312" w:hAnsi="仿宋_GB2312" w:eastAsia="仿宋_GB2312" w:cs="仿宋_GB2312"/>
          <w:color w:val="000000"/>
          <w:sz w:val="36"/>
          <w:szCs w:val="36"/>
        </w:rPr>
        <w:t>年</w:t>
      </w:r>
      <w:r>
        <w:rPr>
          <w:rFonts w:hint="eastAsia" w:ascii="仿宋_GB2312" w:hAnsi="仿宋_GB2312" w:eastAsia="仿宋_GB2312" w:cs="仿宋_GB2312"/>
          <w:color w:val="000000"/>
          <w:sz w:val="36"/>
          <w:szCs w:val="36"/>
          <w:lang w:val="en-US" w:eastAsia="zh-CN"/>
        </w:rPr>
        <w:t>12</w:t>
      </w:r>
      <w:r>
        <w:rPr>
          <w:rFonts w:hint="eastAsia" w:ascii="仿宋_GB2312" w:hAnsi="仿宋_GB2312" w:eastAsia="仿宋_GB2312" w:cs="仿宋_GB2312"/>
          <w:color w:val="000000"/>
          <w:sz w:val="36"/>
          <w:szCs w:val="36"/>
        </w:rPr>
        <w:t>月</w:t>
      </w:r>
    </w:p>
    <w:p>
      <w:pPr>
        <w:pStyle w:val="13"/>
        <w:spacing w:line="360" w:lineRule="auto"/>
        <w:jc w:val="center"/>
        <w:rPr>
          <w:color w:val="000000"/>
        </w:rPr>
      </w:pPr>
    </w:p>
    <w:p>
      <w:pPr>
        <w:pStyle w:val="13"/>
        <w:spacing w:line="360" w:lineRule="auto"/>
        <w:jc w:val="center"/>
        <w:rPr>
          <w:color w:val="000000"/>
        </w:rPr>
      </w:pPr>
    </w:p>
    <w:p>
      <w:pPr>
        <w:pStyle w:val="13"/>
        <w:spacing w:line="360" w:lineRule="auto"/>
        <w:jc w:val="center"/>
        <w:rPr>
          <w:rFonts w:ascii="黑体" w:eastAsia="黑体"/>
          <w:b/>
          <w:bCs/>
          <w:color w:val="000000"/>
          <w:sz w:val="36"/>
          <w:szCs w:val="36"/>
        </w:rPr>
      </w:pPr>
      <w:r>
        <w:rPr>
          <w:rFonts w:hint="eastAsia" w:hAnsi="宋体" w:cs="宋体"/>
          <w:b/>
          <w:bCs/>
          <w:color w:val="000000"/>
          <w:sz w:val="36"/>
          <w:szCs w:val="36"/>
        </w:rPr>
        <w:t>第一部分  招标公告</w:t>
      </w:r>
    </w:p>
    <w:p>
      <w:pPr>
        <w:pStyle w:val="13"/>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一、项目名称</w:t>
      </w:r>
    </w:p>
    <w:p>
      <w:pPr>
        <w:pStyle w:val="13"/>
        <w:spacing w:line="360" w:lineRule="auto"/>
        <w:ind w:firstLine="480" w:firstLineChars="20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项目名称：</w:t>
      </w:r>
      <w:bookmarkStart w:id="0" w:name="OLE_LINK1"/>
      <w:r>
        <w:rPr>
          <w:rFonts w:hint="eastAsia" w:cs="仿宋" w:asciiTheme="minorEastAsia" w:hAnsiTheme="minorEastAsia" w:eastAsiaTheme="minorEastAsia"/>
          <w:sz w:val="24"/>
          <w:szCs w:val="24"/>
          <w:lang w:val="en-US" w:eastAsia="zh-CN"/>
        </w:rPr>
        <w:t>英雄山159-1号社区供电改造项目</w:t>
      </w:r>
    </w:p>
    <w:bookmarkEnd w:id="0"/>
    <w:p>
      <w:pPr>
        <w:pStyle w:val="13"/>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二、招标内容</w:t>
      </w:r>
    </w:p>
    <w:p>
      <w:pPr>
        <w:pStyle w:val="13"/>
        <w:spacing w:line="360" w:lineRule="auto"/>
        <w:ind w:firstLine="480" w:firstLineChars="20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1、英雄山159-1号社区供电线路管沟、设备基础等土建施工。</w:t>
      </w:r>
    </w:p>
    <w:p>
      <w:pPr>
        <w:pStyle w:val="13"/>
        <w:spacing w:line="360" w:lineRule="auto"/>
        <w:ind w:firstLine="480" w:firstLineChars="200"/>
        <w:rPr>
          <w:rFonts w:hint="eastAsia"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2、具体要求详见《招标内容和要求》。</w:t>
      </w:r>
    </w:p>
    <w:p>
      <w:pPr>
        <w:pStyle w:val="13"/>
        <w:spacing w:line="360" w:lineRule="auto"/>
        <w:ind w:firstLine="480" w:firstLineChars="200"/>
        <w:rPr>
          <w:rFonts w:hint="default" w:cs="Times New Roman" w:asciiTheme="minorEastAsia" w:hAnsiTheme="minorEastAsia" w:eastAsiaTheme="minorEastAsia"/>
          <w:color w:val="000000"/>
          <w:kern w:val="2"/>
          <w:sz w:val="24"/>
          <w:szCs w:val="24"/>
          <w:lang w:val="en-US" w:eastAsia="zh-CN" w:bidi="ar-SA"/>
        </w:rPr>
      </w:pPr>
      <w:r>
        <w:rPr>
          <w:rFonts w:hint="eastAsia" w:cs="Times New Roman" w:asciiTheme="minorEastAsia" w:hAnsiTheme="minorEastAsia" w:eastAsiaTheme="minorEastAsia"/>
          <w:color w:val="000000"/>
          <w:kern w:val="2"/>
          <w:sz w:val="24"/>
          <w:szCs w:val="24"/>
          <w:lang w:val="en-US" w:eastAsia="zh-CN" w:bidi="ar-SA"/>
        </w:rPr>
        <w:t>3、招标形式：公开招标。</w:t>
      </w:r>
    </w:p>
    <w:p>
      <w:pPr>
        <w:pStyle w:val="13"/>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三、</w:t>
      </w:r>
      <w:r>
        <w:rPr>
          <w:rFonts w:hint="eastAsia" w:cs="宋体" w:asciiTheme="minorEastAsia" w:hAnsiTheme="minorEastAsia" w:eastAsiaTheme="minorEastAsia"/>
          <w:b/>
          <w:bCs/>
          <w:color w:val="000000"/>
          <w:sz w:val="24"/>
          <w:szCs w:val="24"/>
          <w:lang w:val="en-US" w:eastAsia="zh-CN"/>
        </w:rPr>
        <w:t>项目</w:t>
      </w:r>
      <w:r>
        <w:rPr>
          <w:rFonts w:hint="eastAsia" w:cs="宋体" w:asciiTheme="minorEastAsia" w:hAnsiTheme="minorEastAsia" w:eastAsiaTheme="minorEastAsia"/>
          <w:b/>
          <w:bCs/>
          <w:color w:val="000000"/>
          <w:sz w:val="24"/>
          <w:szCs w:val="24"/>
        </w:rPr>
        <w:t>期及</w:t>
      </w:r>
      <w:r>
        <w:rPr>
          <w:rFonts w:hint="eastAsia" w:cs="宋体" w:asciiTheme="minorEastAsia" w:hAnsiTheme="minorEastAsia" w:eastAsiaTheme="minorEastAsia"/>
          <w:b/>
          <w:bCs/>
          <w:color w:val="000000"/>
          <w:sz w:val="24"/>
          <w:szCs w:val="24"/>
          <w:lang w:val="en-US" w:eastAsia="zh-CN"/>
        </w:rPr>
        <w:t>项目</w:t>
      </w:r>
      <w:r>
        <w:rPr>
          <w:rFonts w:hint="eastAsia" w:cs="宋体" w:asciiTheme="minorEastAsia" w:hAnsiTheme="minorEastAsia" w:eastAsiaTheme="minorEastAsia"/>
          <w:b/>
          <w:bCs/>
          <w:color w:val="000000"/>
          <w:sz w:val="24"/>
          <w:szCs w:val="24"/>
        </w:rPr>
        <w:t>地点</w:t>
      </w:r>
    </w:p>
    <w:p>
      <w:pPr>
        <w:pStyle w:val="13"/>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lang w:val="en-US" w:eastAsia="zh-CN"/>
        </w:rPr>
        <w:t>项目工</w:t>
      </w:r>
      <w:r>
        <w:rPr>
          <w:rFonts w:hint="eastAsia" w:asciiTheme="minorEastAsia" w:hAnsiTheme="minorEastAsia" w:eastAsiaTheme="minorEastAsia"/>
          <w:color w:val="000000"/>
          <w:sz w:val="24"/>
          <w:szCs w:val="24"/>
        </w:rPr>
        <w:t>期：</w:t>
      </w:r>
      <w:r>
        <w:rPr>
          <w:rFonts w:hint="eastAsia" w:asciiTheme="minorEastAsia" w:hAnsiTheme="minorEastAsia" w:eastAsiaTheme="minorEastAsia"/>
          <w:color w:val="000000"/>
          <w:sz w:val="24"/>
          <w:szCs w:val="24"/>
          <w:lang w:val="en-US" w:eastAsia="zh-CN"/>
        </w:rPr>
        <w:t>40个日历日</w:t>
      </w:r>
      <w:r>
        <w:rPr>
          <w:rFonts w:hint="eastAsia" w:asciiTheme="minorEastAsia" w:hAnsiTheme="minorEastAsia" w:eastAsiaTheme="minorEastAsia"/>
          <w:color w:val="000000"/>
          <w:sz w:val="24"/>
          <w:szCs w:val="24"/>
          <w:lang w:eastAsia="zh-CN"/>
        </w:rPr>
        <w:t>。</w:t>
      </w:r>
    </w:p>
    <w:p>
      <w:pPr>
        <w:pStyle w:val="13"/>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lang w:val="en-US" w:eastAsia="zh-CN"/>
        </w:rPr>
        <w:t>项目</w:t>
      </w:r>
      <w:r>
        <w:rPr>
          <w:rFonts w:hint="eastAsia" w:asciiTheme="minorEastAsia" w:hAnsiTheme="minorEastAsia" w:eastAsiaTheme="minorEastAsia"/>
          <w:color w:val="000000"/>
          <w:sz w:val="24"/>
          <w:szCs w:val="24"/>
        </w:rPr>
        <w:t>地点：</w:t>
      </w:r>
      <w:r>
        <w:rPr>
          <w:rFonts w:hint="eastAsia" w:cs="仿宋" w:asciiTheme="minorEastAsia" w:hAnsiTheme="minorEastAsia" w:eastAsiaTheme="minorEastAsia"/>
          <w:sz w:val="24"/>
          <w:szCs w:val="24"/>
          <w:lang w:val="en-US" w:eastAsia="zh-CN"/>
        </w:rPr>
        <w:t>英雄山159-1号社区</w:t>
      </w:r>
      <w:r>
        <w:rPr>
          <w:rFonts w:hint="eastAsia" w:asciiTheme="minorEastAsia" w:hAnsiTheme="minorEastAsia" w:eastAsiaTheme="minorEastAsia"/>
          <w:color w:val="000000"/>
          <w:sz w:val="24"/>
          <w:szCs w:val="24"/>
        </w:rPr>
        <w:t>。</w:t>
      </w:r>
    </w:p>
    <w:p>
      <w:pPr>
        <w:pStyle w:val="13"/>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四、投标说明</w:t>
      </w:r>
    </w:p>
    <w:p>
      <w:pPr>
        <w:pStyle w:val="13"/>
        <w:spacing w:line="360" w:lineRule="auto"/>
        <w:ind w:firstLine="482" w:firstLineChars="20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rPr>
        <w:t>投标条件</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（1）拟标投人必须是在中华人民共和国境内注册的具有独立承担民事责任能力</w:t>
      </w:r>
      <w:r>
        <w:rPr>
          <w:rFonts w:hint="eastAsia" w:cs="仿宋" w:asciiTheme="minorEastAsia" w:hAnsiTheme="minorEastAsia" w:eastAsiaTheme="minorEastAsia"/>
          <w:sz w:val="24"/>
          <w:szCs w:val="24"/>
          <w:lang w:val="en-US" w:eastAsia="zh-CN"/>
        </w:rPr>
        <w:t>的机构</w:t>
      </w:r>
      <w:r>
        <w:rPr>
          <w:rFonts w:hint="eastAsia" w:cs="仿宋" w:asciiTheme="minorEastAsia" w:hAnsiTheme="minorEastAsia" w:eastAsiaTheme="minorEastAsia"/>
          <w:sz w:val="24"/>
          <w:szCs w:val="24"/>
        </w:rPr>
        <w:t xml:space="preserve">，注册实收资金不少于 </w:t>
      </w:r>
      <w:r>
        <w:rPr>
          <w:rFonts w:hint="eastAsia" w:cs="仿宋" w:asciiTheme="minorEastAsia" w:hAnsiTheme="minorEastAsia" w:eastAsiaTheme="minorEastAsia"/>
          <w:sz w:val="24"/>
          <w:szCs w:val="24"/>
          <w:lang w:val="en-US" w:eastAsia="zh-CN"/>
        </w:rPr>
        <w:t>10</w:t>
      </w:r>
      <w:r>
        <w:rPr>
          <w:rFonts w:hint="eastAsia" w:cs="仿宋" w:asciiTheme="minorEastAsia" w:hAnsiTheme="minorEastAsia" w:eastAsiaTheme="minorEastAsia"/>
          <w:sz w:val="24"/>
          <w:szCs w:val="24"/>
        </w:rPr>
        <w:t>0万人民币（或等值其他货币）；公司成立三年以上（以营业执照成立日期到开标当日满三年为准）；且经营范围满足招标人需求；并在人员、设备、资金等方面具有承担本项目的能力。</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（2）拟投标人应具有建筑工程施工总承包三级及以上</w:t>
      </w:r>
      <w:r>
        <w:rPr>
          <w:rFonts w:hint="eastAsia" w:cs="仿宋" w:asciiTheme="minorEastAsia" w:hAnsiTheme="minorEastAsia" w:eastAsiaTheme="minorEastAsia"/>
          <w:sz w:val="24"/>
          <w:szCs w:val="24"/>
          <w:lang w:val="en-US" w:eastAsia="zh-CN"/>
        </w:rPr>
        <w:t>或电力工程施工总承包三级</w:t>
      </w:r>
      <w:r>
        <w:rPr>
          <w:rFonts w:hint="eastAsia" w:cs="仿宋" w:asciiTheme="minorEastAsia" w:hAnsiTheme="minorEastAsia" w:eastAsiaTheme="minorEastAsia"/>
          <w:sz w:val="24"/>
          <w:szCs w:val="24"/>
        </w:rPr>
        <w:t>及以上资质；提供三证合一的供营业执照副本原件。</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（3）拟投标人应提供法定代表人</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lang w:val="en-US" w:eastAsia="zh-CN"/>
        </w:rPr>
        <w:t>或负责人</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资格授权委托书或证明文件。</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（4）拟投标人在工商行政管理局的《国家企业信用信息公示系统（山东）》中查询不存在不良记录。</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（5）拟投标人不存在严重违规或被列入招标人“黑名单”的声明。</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（6）拟投标人经审计的近三年的公司财务报表（资产负债表、损益表、现金流量表）未显示异常。</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（7）拟投标人有与本次招标内容相同或类似项目业绩，且近3年内无因服务不当而造成重大事故。</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（8）本项目不接受联合体报价。</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注：投标人投标时必须携带三证合一的营业执照副本原件、授权委托书及身份证原件（授权委托书除附在投标文件中外，还需另外单独携带一份，以备验证，如果是法人参加投标，要携带法人代表证明原件及身份证原件）参加开标会议，否则视为弃标。</w:t>
      </w:r>
    </w:p>
    <w:p>
      <w:pPr>
        <w:pStyle w:val="13"/>
        <w:spacing w:line="360" w:lineRule="auto"/>
        <w:ind w:firstLine="482" w:firstLineChars="200"/>
        <w:rPr>
          <w:rFonts w:asciiTheme="minorEastAsia" w:hAnsiTheme="minorEastAsia" w:eastAsiaTheme="minorEastAsia"/>
          <w:b/>
          <w:bCs/>
          <w:color w:val="auto"/>
          <w:sz w:val="24"/>
          <w:szCs w:val="24"/>
        </w:rPr>
      </w:pPr>
      <w:r>
        <w:rPr>
          <w:rFonts w:hint="eastAsia" w:asciiTheme="minorEastAsia" w:hAnsiTheme="minorEastAsia" w:eastAsiaTheme="minorEastAsia"/>
          <w:b/>
          <w:bCs/>
          <w:color w:val="000000"/>
          <w:sz w:val="24"/>
          <w:szCs w:val="24"/>
        </w:rPr>
        <w:t>2</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rPr>
        <w:t>报价</w:t>
      </w:r>
    </w:p>
    <w:p>
      <w:pPr>
        <w:pStyle w:val="13"/>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（1）本次招投标为</w:t>
      </w:r>
      <w:r>
        <w:rPr>
          <w:rFonts w:hint="eastAsia" w:cs="仿宋" w:asciiTheme="minorEastAsia" w:hAnsiTheme="minorEastAsia" w:eastAsiaTheme="minorEastAsia"/>
          <w:sz w:val="24"/>
          <w:szCs w:val="24"/>
          <w:highlight w:val="none"/>
          <w:lang w:val="en-US" w:eastAsia="zh-CN"/>
        </w:rPr>
        <w:t>公开</w:t>
      </w:r>
      <w:r>
        <w:rPr>
          <w:rFonts w:hint="eastAsia" w:cs="仿宋" w:asciiTheme="minorEastAsia" w:hAnsiTheme="minorEastAsia" w:eastAsiaTheme="minorEastAsia"/>
          <w:sz w:val="24"/>
          <w:szCs w:val="24"/>
          <w:highlight w:val="none"/>
        </w:rPr>
        <w:t>招标</w:t>
      </w:r>
      <w:r>
        <w:rPr>
          <w:rFonts w:hint="eastAsia" w:cs="仿宋" w:asciiTheme="minorEastAsia" w:hAnsiTheme="minorEastAsia" w:eastAsiaTheme="minorEastAsia"/>
          <w:sz w:val="24"/>
          <w:szCs w:val="24"/>
        </w:rPr>
        <w:t>，招标人有权根据项目情况，采取多级评标模式。评标流程以及规则详细见</w:t>
      </w:r>
      <w:r>
        <w:rPr>
          <w:rFonts w:hint="eastAsia" w:cs="仿宋" w:asciiTheme="minorEastAsia" w:hAnsiTheme="minorEastAsia" w:eastAsiaTheme="minorEastAsia"/>
          <w:sz w:val="24"/>
          <w:szCs w:val="24"/>
          <w:lang w:val="en-US" w:eastAsia="zh-CN"/>
        </w:rPr>
        <w:t>投标人须知。</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投标人自行勘察现场，进行合理报价。</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（2）所有的报价货币单位为：（人民币）元（请务必报含税价和不含税价并写明税率）。</w:t>
      </w:r>
    </w:p>
    <w:p>
      <w:pPr>
        <w:pStyle w:val="13"/>
        <w:spacing w:line="360" w:lineRule="auto"/>
        <w:ind w:firstLine="482" w:firstLineChars="200"/>
        <w:rPr>
          <w:rFonts w:hint="eastAsia" w:asciiTheme="minorEastAsia" w:hAnsiTheme="minorEastAsia" w:eastAsiaTheme="minorEastAsia"/>
          <w:b/>
          <w:bCs/>
          <w:color w:val="000000"/>
          <w:sz w:val="24"/>
          <w:szCs w:val="24"/>
          <w:lang w:eastAsia="zh-CN"/>
        </w:rPr>
      </w:pPr>
      <w:r>
        <w:rPr>
          <w:rFonts w:hint="eastAsia" w:asciiTheme="minorEastAsia" w:hAnsiTheme="minorEastAsia" w:eastAsiaTheme="minorEastAsia"/>
          <w:b/>
          <w:bCs/>
          <w:color w:val="000000"/>
          <w:sz w:val="24"/>
          <w:szCs w:val="24"/>
        </w:rPr>
        <w:t>3、付款方式：</w:t>
      </w:r>
      <w:r>
        <w:rPr>
          <w:rFonts w:hint="eastAsia" w:asciiTheme="minorEastAsia" w:hAnsiTheme="minorEastAsia" w:eastAsiaTheme="minorEastAsia"/>
          <w:b/>
          <w:bCs/>
          <w:color w:val="000000"/>
          <w:sz w:val="24"/>
          <w:szCs w:val="24"/>
          <w:lang w:val="en-US" w:eastAsia="zh-CN"/>
        </w:rPr>
        <w:t>银行承兑汇票</w:t>
      </w:r>
    </w:p>
    <w:p>
      <w:pPr>
        <w:pStyle w:val="13"/>
        <w:spacing w:line="360" w:lineRule="auto"/>
        <w:ind w:firstLine="480" w:firstLineChars="200"/>
        <w:rPr>
          <w:rFonts w:asciiTheme="minorEastAsia" w:hAnsiTheme="minorEastAsia" w:eastAsiaTheme="minorEastAsia"/>
          <w:color w:val="000000"/>
          <w:sz w:val="24"/>
          <w:szCs w:val="24"/>
          <w:highlight w:val="yellow"/>
        </w:rPr>
      </w:pPr>
      <w:r>
        <w:rPr>
          <w:rFonts w:hint="eastAsia" w:hAnsi="宋体" w:cs="宋体"/>
          <w:color w:val="000000"/>
          <w:sz w:val="24"/>
          <w:szCs w:val="24"/>
        </w:rPr>
        <w:t>承包人施工完毕，工程竣工验收合格且交接给我单位使用后，竣工结算审计完毕，承包人提交金额为工程结算款</w:t>
      </w:r>
      <w:r>
        <w:rPr>
          <w:rFonts w:hint="eastAsia" w:hAnsi="宋体" w:cs="宋体"/>
          <w:color w:val="000000"/>
          <w:sz w:val="24"/>
          <w:szCs w:val="24"/>
          <w:lang w:val="en-US" w:eastAsia="zh-CN"/>
        </w:rPr>
        <w:t>97</w:t>
      </w:r>
      <w:r>
        <w:rPr>
          <w:rFonts w:hint="eastAsia" w:hAnsi="宋体" w:cs="宋体"/>
          <w:color w:val="000000"/>
          <w:sz w:val="24"/>
          <w:szCs w:val="24"/>
        </w:rPr>
        <w:t>%的</w:t>
      </w:r>
      <w:r>
        <w:rPr>
          <w:rFonts w:hint="eastAsia" w:ascii="宋体" w:hAnsi="宋体" w:eastAsia="宋体" w:cs="宋体"/>
          <w:color w:val="000000"/>
          <w:sz w:val="24"/>
          <w:szCs w:val="24"/>
        </w:rPr>
        <w:t>增值税专用发票</w:t>
      </w:r>
      <w:r>
        <w:rPr>
          <w:rFonts w:hint="eastAsia" w:hAnsi="宋体" w:cs="宋体"/>
          <w:color w:val="000000"/>
          <w:sz w:val="24"/>
          <w:szCs w:val="24"/>
        </w:rPr>
        <w:t>，经我单位依照财务制度审核无误后</w:t>
      </w:r>
      <w:r>
        <w:rPr>
          <w:rFonts w:hint="eastAsia" w:hAnsi="宋体" w:cs="宋体"/>
          <w:color w:val="000000"/>
          <w:sz w:val="24"/>
          <w:szCs w:val="24"/>
          <w:u w:val="single"/>
          <w:lang w:val="en-US" w:eastAsia="zh-CN"/>
        </w:rPr>
        <w:t>3</w:t>
      </w:r>
      <w:r>
        <w:rPr>
          <w:rFonts w:hint="eastAsia" w:hAnsi="宋体" w:cs="宋体"/>
          <w:color w:val="000000"/>
          <w:sz w:val="24"/>
          <w:szCs w:val="24"/>
          <w:u w:val="single"/>
        </w:rPr>
        <w:t>0个</w:t>
      </w:r>
      <w:r>
        <w:rPr>
          <w:rFonts w:hint="eastAsia" w:hAnsi="宋体" w:cs="宋体"/>
          <w:color w:val="000000"/>
          <w:sz w:val="24"/>
          <w:szCs w:val="24"/>
        </w:rPr>
        <w:t>工作日内支付。</w:t>
      </w:r>
      <w:r>
        <w:rPr>
          <w:rFonts w:hint="eastAsia" w:asciiTheme="minorEastAsia" w:hAnsiTheme="minorEastAsia" w:eastAsiaTheme="minorEastAsia"/>
          <w:color w:val="000000"/>
          <w:sz w:val="24"/>
          <w:szCs w:val="24"/>
          <w:lang w:val="en-US" w:eastAsia="zh-CN"/>
        </w:rPr>
        <w:t>其余3%为质保金，质保到期后支付，</w:t>
      </w:r>
      <w:r>
        <w:rPr>
          <w:rFonts w:hint="eastAsia" w:asciiTheme="minorEastAsia" w:hAnsiTheme="minorEastAsia" w:eastAsiaTheme="minorEastAsia"/>
          <w:color w:val="000000"/>
          <w:sz w:val="24"/>
          <w:szCs w:val="24"/>
          <w:highlight w:val="none"/>
          <w:lang w:val="en-US" w:eastAsia="zh-CN"/>
        </w:rPr>
        <w:t>质保期为2年</w:t>
      </w:r>
      <w:r>
        <w:rPr>
          <w:rFonts w:hint="eastAsia" w:asciiTheme="minorEastAsia" w:hAnsiTheme="minorEastAsia" w:eastAsiaTheme="minorEastAsia"/>
          <w:color w:val="000000"/>
          <w:sz w:val="24"/>
          <w:szCs w:val="24"/>
          <w:highlight w:val="none"/>
        </w:rPr>
        <w:t>。</w:t>
      </w:r>
    </w:p>
    <w:p>
      <w:pPr>
        <w:pStyle w:val="13"/>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五、议程安排</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1、发标时间：20</w:t>
      </w:r>
      <w:r>
        <w:rPr>
          <w:rFonts w:hint="eastAsia" w:cs="仿宋" w:asciiTheme="minorEastAsia" w:hAnsiTheme="minorEastAsia" w:eastAsiaTheme="minorEastAsia"/>
          <w:sz w:val="24"/>
          <w:szCs w:val="24"/>
          <w:lang w:val="en-US" w:eastAsia="zh-CN"/>
        </w:rPr>
        <w:t>21</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12</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3</w:t>
      </w:r>
      <w:r>
        <w:rPr>
          <w:rFonts w:hint="eastAsia" w:cs="仿宋" w:asciiTheme="minorEastAsia" w:hAnsiTheme="minorEastAsia" w:eastAsiaTheme="minorEastAsia"/>
          <w:sz w:val="24"/>
          <w:szCs w:val="24"/>
        </w:rPr>
        <w:t>日</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2、答疑时间：截止至20</w:t>
      </w:r>
      <w:r>
        <w:rPr>
          <w:rFonts w:hint="eastAsia" w:cs="仿宋" w:asciiTheme="minorEastAsia" w:hAnsiTheme="minorEastAsia" w:eastAsiaTheme="minorEastAsia"/>
          <w:sz w:val="24"/>
          <w:szCs w:val="24"/>
          <w:lang w:val="en-US" w:eastAsia="zh-CN"/>
        </w:rPr>
        <w:t>21</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12</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15</w:t>
      </w:r>
      <w:r>
        <w:rPr>
          <w:rFonts w:hint="eastAsia" w:cs="仿宋" w:asciiTheme="minorEastAsia" w:hAnsiTheme="minorEastAsia" w:eastAsiaTheme="minorEastAsia"/>
          <w:sz w:val="24"/>
          <w:szCs w:val="24"/>
        </w:rPr>
        <w:t>日下午17：00点前，逾期不受理</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答疑方式：电话</w:t>
      </w:r>
      <w:r>
        <w:rPr>
          <w:rFonts w:hint="eastAsia" w:cs="仿宋" w:asciiTheme="minorEastAsia" w:hAnsiTheme="minorEastAsia" w:eastAsiaTheme="minorEastAsia"/>
          <w:sz w:val="24"/>
          <w:szCs w:val="24"/>
          <w:lang w:eastAsia="zh-CN"/>
        </w:rPr>
        <w:t>、</w:t>
      </w:r>
      <w:r>
        <w:rPr>
          <w:rFonts w:hint="eastAsia" w:cs="仿宋" w:asciiTheme="minorEastAsia" w:hAnsiTheme="minorEastAsia" w:eastAsiaTheme="minorEastAsia"/>
          <w:sz w:val="24"/>
          <w:szCs w:val="24"/>
        </w:rPr>
        <w:t>书面及电子邮件</w:t>
      </w:r>
    </w:p>
    <w:p>
      <w:pPr>
        <w:pStyle w:val="13"/>
        <w:spacing w:line="360" w:lineRule="auto"/>
        <w:ind w:firstLine="480" w:firstLineChars="200"/>
        <w:rPr>
          <w:rFonts w:hint="eastAsia"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rPr>
        <w:t>联 系 人：</w:t>
      </w:r>
      <w:r>
        <w:rPr>
          <w:rFonts w:hint="eastAsia" w:cs="仿宋" w:asciiTheme="minorEastAsia" w:hAnsiTheme="minorEastAsia" w:eastAsiaTheme="minorEastAsia"/>
          <w:sz w:val="24"/>
          <w:szCs w:val="24"/>
          <w:lang w:val="en-US" w:eastAsia="zh-CN"/>
        </w:rPr>
        <w:t>刘琦</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    话：0531-5806</w:t>
      </w:r>
      <w:r>
        <w:rPr>
          <w:rFonts w:hint="eastAsia" w:cs="仿宋" w:asciiTheme="minorEastAsia" w:hAnsiTheme="minorEastAsia" w:eastAsiaTheme="minorEastAsia"/>
          <w:sz w:val="24"/>
          <w:szCs w:val="24"/>
          <w:lang w:val="en-US" w:eastAsia="zh-CN"/>
        </w:rPr>
        <w:t>2216</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邮    箱：</w:t>
      </w:r>
      <w:r>
        <w:rPr>
          <w:rFonts w:hint="eastAsia" w:cs="仿宋" w:asciiTheme="minorEastAsia" w:hAnsiTheme="minorEastAsia" w:eastAsiaTheme="minorEastAsia"/>
          <w:sz w:val="24"/>
          <w:szCs w:val="24"/>
          <w:lang w:val="en-US" w:eastAsia="zh-CN"/>
        </w:rPr>
        <w:t>liuqi</w:t>
      </w:r>
      <w:r>
        <w:rPr>
          <w:rFonts w:hint="eastAsia" w:cs="仿宋" w:asciiTheme="minorEastAsia" w:hAnsiTheme="minorEastAsia" w:eastAsiaTheme="minorEastAsia"/>
          <w:sz w:val="24"/>
          <w:szCs w:val="24"/>
        </w:rPr>
        <w:t>@sinotruk.com</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3、投标报名截止时间：20</w:t>
      </w:r>
      <w:r>
        <w:rPr>
          <w:rFonts w:hint="eastAsia" w:cs="仿宋" w:asciiTheme="minorEastAsia" w:hAnsiTheme="minorEastAsia" w:eastAsiaTheme="minorEastAsia"/>
          <w:sz w:val="24"/>
          <w:szCs w:val="24"/>
          <w:lang w:val="en-US" w:eastAsia="zh-CN"/>
        </w:rPr>
        <w:t>21</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12</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15</w:t>
      </w:r>
      <w:r>
        <w:rPr>
          <w:rFonts w:hint="eastAsia" w:cs="仿宋" w:asciiTheme="minorEastAsia" w:hAnsiTheme="minorEastAsia" w:eastAsiaTheme="minorEastAsia"/>
          <w:sz w:val="24"/>
          <w:szCs w:val="24"/>
        </w:rPr>
        <w:t>日下午17：00点前，逾期不受理。</w:t>
      </w:r>
    </w:p>
    <w:p>
      <w:pPr>
        <w:pStyle w:val="13"/>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报名方式：电话</w:t>
      </w:r>
      <w:r>
        <w:rPr>
          <w:rFonts w:hint="eastAsia" w:cs="仿宋" w:asciiTheme="minorEastAsia" w:hAnsiTheme="minorEastAsia" w:eastAsiaTheme="minorEastAsia"/>
          <w:sz w:val="24"/>
          <w:szCs w:val="24"/>
          <w:lang w:val="en-US" w:eastAsia="zh-CN"/>
        </w:rPr>
        <w:t>报名并交纳投标保证金</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 系 人：</w:t>
      </w:r>
      <w:r>
        <w:rPr>
          <w:rFonts w:hint="eastAsia" w:cs="仿宋" w:asciiTheme="minorEastAsia" w:hAnsiTheme="minorEastAsia" w:eastAsiaTheme="minorEastAsia"/>
          <w:sz w:val="24"/>
          <w:szCs w:val="24"/>
          <w:lang w:val="en-US" w:eastAsia="zh-CN"/>
        </w:rPr>
        <w:t>刘琦</w:t>
      </w:r>
    </w:p>
    <w:p>
      <w:pPr>
        <w:pStyle w:val="13"/>
        <w:spacing w:line="360" w:lineRule="auto"/>
        <w:ind w:firstLine="480" w:firstLineChars="200"/>
        <w:rPr>
          <w:rFonts w:hint="default"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rPr>
        <w:t>电    话：0531-5806</w:t>
      </w:r>
      <w:r>
        <w:rPr>
          <w:rFonts w:hint="eastAsia" w:cs="仿宋" w:asciiTheme="minorEastAsia" w:hAnsiTheme="minorEastAsia" w:eastAsiaTheme="minorEastAsia"/>
          <w:sz w:val="24"/>
          <w:szCs w:val="24"/>
          <w:lang w:val="en-US" w:eastAsia="zh-CN"/>
        </w:rPr>
        <w:t>2216</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邮    箱：</w:t>
      </w:r>
      <w:r>
        <w:rPr>
          <w:rFonts w:hint="eastAsia" w:cs="仿宋" w:asciiTheme="minorEastAsia" w:hAnsiTheme="minorEastAsia" w:eastAsiaTheme="minorEastAsia"/>
          <w:sz w:val="24"/>
          <w:szCs w:val="24"/>
          <w:lang w:val="en-US" w:eastAsia="zh-CN"/>
        </w:rPr>
        <w:t>liuqi</w:t>
      </w:r>
      <w:r>
        <w:rPr>
          <w:rFonts w:hint="eastAsia" w:cs="仿宋" w:asciiTheme="minorEastAsia" w:hAnsiTheme="minorEastAsia" w:eastAsiaTheme="minorEastAsia"/>
          <w:sz w:val="24"/>
          <w:szCs w:val="24"/>
        </w:rPr>
        <w:t>@sinotruk.com</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4、开标时间：20</w:t>
      </w:r>
      <w:r>
        <w:rPr>
          <w:rFonts w:hint="eastAsia" w:cs="仿宋" w:asciiTheme="minorEastAsia" w:hAnsiTheme="minorEastAsia" w:eastAsiaTheme="minorEastAsia"/>
          <w:sz w:val="24"/>
          <w:szCs w:val="24"/>
          <w:lang w:val="en-US" w:eastAsia="zh-CN"/>
        </w:rPr>
        <w:t>21</w:t>
      </w:r>
      <w:r>
        <w:rPr>
          <w:rFonts w:hint="eastAsia" w:cs="仿宋" w:asciiTheme="minorEastAsia" w:hAnsiTheme="minorEastAsia" w:eastAsiaTheme="minorEastAsia"/>
          <w:sz w:val="24"/>
          <w:szCs w:val="24"/>
        </w:rPr>
        <w:t>年</w:t>
      </w:r>
      <w:r>
        <w:rPr>
          <w:rFonts w:hint="eastAsia" w:cs="仿宋" w:asciiTheme="minorEastAsia" w:hAnsiTheme="minorEastAsia" w:eastAsiaTheme="minorEastAsia"/>
          <w:sz w:val="24"/>
          <w:szCs w:val="24"/>
          <w:lang w:val="en-US" w:eastAsia="zh-CN"/>
        </w:rPr>
        <w:t>12</w:t>
      </w:r>
      <w:r>
        <w:rPr>
          <w:rFonts w:hint="eastAsia" w:cs="仿宋" w:asciiTheme="minorEastAsia" w:hAnsiTheme="minorEastAsia" w:eastAsiaTheme="minorEastAsia"/>
          <w:sz w:val="24"/>
          <w:szCs w:val="24"/>
        </w:rPr>
        <w:t>月</w:t>
      </w:r>
      <w:r>
        <w:rPr>
          <w:rFonts w:hint="eastAsia" w:cs="仿宋" w:asciiTheme="minorEastAsia" w:hAnsiTheme="minorEastAsia" w:eastAsiaTheme="minorEastAsia"/>
          <w:sz w:val="24"/>
          <w:szCs w:val="24"/>
          <w:lang w:val="en-US" w:eastAsia="zh-CN"/>
        </w:rPr>
        <w:t>17</w:t>
      </w:r>
      <w:r>
        <w:rPr>
          <w:rFonts w:hint="eastAsia" w:cs="仿宋" w:asciiTheme="minorEastAsia" w:hAnsiTheme="minorEastAsia" w:eastAsiaTheme="minorEastAsia"/>
          <w:sz w:val="24"/>
          <w:szCs w:val="24"/>
        </w:rPr>
        <w:t>日上午 9：00，若有变动另行通知。</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5、现场资质审验</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详见 《投标条件》</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投标地点：</w:t>
      </w:r>
      <w:bookmarkStart w:id="1" w:name="OLE_LINK3"/>
      <w:bookmarkStart w:id="2" w:name="OLE_LINK2"/>
      <w:r>
        <w:rPr>
          <w:rFonts w:hint="eastAsia" w:cs="仿宋" w:asciiTheme="minorEastAsia" w:hAnsiTheme="minorEastAsia" w:eastAsiaTheme="minorEastAsia"/>
          <w:sz w:val="24"/>
          <w:szCs w:val="24"/>
        </w:rPr>
        <w:t>重汽科技大厦</w:t>
      </w:r>
      <w:bookmarkEnd w:id="1"/>
      <w:bookmarkEnd w:id="2"/>
      <w:r>
        <w:rPr>
          <w:rFonts w:hint="eastAsia" w:cs="仿宋" w:asciiTheme="minorEastAsia" w:hAnsiTheme="minorEastAsia" w:eastAsiaTheme="minorEastAsia"/>
          <w:sz w:val="24"/>
          <w:szCs w:val="24"/>
        </w:rPr>
        <w:t>会议室</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    址：济南市高新区华奥路777号</w:t>
      </w:r>
    </w:p>
    <w:p>
      <w:pPr>
        <w:pStyle w:val="13"/>
        <w:spacing w:line="360" w:lineRule="auto"/>
        <w:ind w:firstLine="480" w:firstLineChars="200"/>
        <w:rPr>
          <w:rFonts w:hint="default" w:cs="仿宋" w:asciiTheme="minorEastAsia" w:hAnsiTheme="minorEastAsia" w:eastAsiaTheme="minorEastAsia"/>
          <w:sz w:val="24"/>
          <w:szCs w:val="24"/>
          <w:lang w:val="en-US"/>
        </w:rPr>
      </w:pPr>
      <w:r>
        <w:rPr>
          <w:rFonts w:hint="eastAsia" w:cs="仿宋" w:asciiTheme="minorEastAsia" w:hAnsiTheme="minorEastAsia" w:eastAsiaTheme="minorEastAsia"/>
          <w:sz w:val="24"/>
          <w:szCs w:val="24"/>
        </w:rPr>
        <w:t>电    话：0531-5806</w:t>
      </w:r>
      <w:r>
        <w:rPr>
          <w:rFonts w:hint="eastAsia" w:cs="仿宋" w:asciiTheme="minorEastAsia" w:hAnsiTheme="minorEastAsia" w:eastAsiaTheme="minorEastAsia"/>
          <w:sz w:val="24"/>
          <w:szCs w:val="24"/>
          <w:lang w:val="en-US" w:eastAsia="zh-CN"/>
        </w:rPr>
        <w:t>2216</w:t>
      </w:r>
    </w:p>
    <w:p>
      <w:pPr>
        <w:pStyle w:val="13"/>
        <w:spacing w:line="360" w:lineRule="auto"/>
        <w:ind w:firstLine="480" w:firstLineChars="200"/>
        <w:rPr>
          <w:rFonts w:hint="eastAsia" w:cs="仿宋" w:asciiTheme="minorEastAsia" w:hAnsiTheme="minorEastAsia" w:eastAsiaTheme="minorEastAsia"/>
          <w:sz w:val="24"/>
          <w:szCs w:val="24"/>
        </w:rPr>
      </w:pPr>
    </w:p>
    <w:p>
      <w:pPr>
        <w:pStyle w:val="13"/>
        <w:spacing w:line="360" w:lineRule="auto"/>
        <w:ind w:firstLine="480" w:firstLineChars="200"/>
        <w:rPr>
          <w:rFonts w:hint="eastAsia" w:cs="仿宋" w:asciiTheme="minorEastAsia" w:hAnsiTheme="minorEastAsia" w:eastAsiaTheme="minorEastAsia"/>
          <w:sz w:val="24"/>
          <w:szCs w:val="24"/>
        </w:rPr>
      </w:pPr>
    </w:p>
    <w:p>
      <w:pPr>
        <w:pStyle w:val="13"/>
        <w:spacing w:line="360" w:lineRule="auto"/>
        <w:ind w:firstLine="480" w:firstLineChars="200"/>
        <w:rPr>
          <w:rFonts w:hint="eastAsia" w:cs="仿宋" w:asciiTheme="minorEastAsia" w:hAnsiTheme="minorEastAsia" w:eastAsiaTheme="minorEastAsia"/>
          <w:sz w:val="24"/>
          <w:szCs w:val="24"/>
        </w:rPr>
      </w:pPr>
    </w:p>
    <w:p>
      <w:pPr>
        <w:pStyle w:val="13"/>
        <w:spacing w:line="360" w:lineRule="auto"/>
        <w:ind w:firstLine="480" w:firstLineChars="200"/>
        <w:rPr>
          <w:rFonts w:hint="eastAsia" w:cs="仿宋" w:asciiTheme="minorEastAsia" w:hAnsiTheme="minorEastAsia" w:eastAsiaTheme="minorEastAsia"/>
          <w:sz w:val="24"/>
          <w:szCs w:val="24"/>
        </w:rPr>
      </w:pPr>
    </w:p>
    <w:p>
      <w:pPr>
        <w:pStyle w:val="13"/>
        <w:spacing w:line="360" w:lineRule="auto"/>
        <w:jc w:val="center"/>
        <w:rPr>
          <w:rFonts w:hint="default" w:ascii="黑体" w:eastAsia="宋体"/>
          <w:b/>
          <w:bCs/>
          <w:color w:val="000000"/>
          <w:sz w:val="36"/>
          <w:szCs w:val="36"/>
          <w:lang w:val="en-US" w:eastAsia="zh-CN"/>
        </w:rPr>
      </w:pPr>
      <w:r>
        <w:rPr>
          <w:rFonts w:hint="eastAsia" w:hAnsi="宋体" w:cs="宋体"/>
          <w:b/>
          <w:bCs/>
          <w:color w:val="000000"/>
          <w:sz w:val="36"/>
          <w:szCs w:val="36"/>
        </w:rPr>
        <w:t>第</w:t>
      </w:r>
      <w:r>
        <w:rPr>
          <w:rFonts w:hint="eastAsia" w:hAnsi="宋体" w:cs="宋体"/>
          <w:b/>
          <w:bCs/>
          <w:color w:val="000000"/>
          <w:sz w:val="36"/>
          <w:szCs w:val="36"/>
          <w:lang w:val="en-US" w:eastAsia="zh-CN"/>
        </w:rPr>
        <w:t>二</w:t>
      </w:r>
      <w:r>
        <w:rPr>
          <w:rFonts w:hint="eastAsia" w:hAnsi="宋体" w:cs="宋体"/>
          <w:b/>
          <w:bCs/>
          <w:color w:val="000000"/>
          <w:sz w:val="36"/>
          <w:szCs w:val="36"/>
        </w:rPr>
        <w:t xml:space="preserve">部分  </w:t>
      </w:r>
      <w:r>
        <w:rPr>
          <w:rFonts w:hint="eastAsia" w:hAnsi="宋体" w:cs="宋体"/>
          <w:b/>
          <w:bCs/>
          <w:color w:val="000000"/>
          <w:sz w:val="36"/>
          <w:szCs w:val="36"/>
          <w:lang w:val="en-US" w:eastAsia="zh-CN"/>
        </w:rPr>
        <w:t>招标内容和要求</w:t>
      </w:r>
    </w:p>
    <w:p>
      <w:pPr>
        <w:widowControl/>
        <w:spacing w:line="440" w:lineRule="exact"/>
        <w:ind w:firstLine="488"/>
        <w:rPr>
          <w:rFonts w:hint="default" w:cs="仿宋" w:asciiTheme="minorEastAsia" w:hAnsiTheme="minorEastAsia" w:eastAsiaTheme="minorEastAsia"/>
          <w:b/>
          <w:color w:val="000000"/>
          <w:spacing w:val="1"/>
          <w:sz w:val="24"/>
          <w:szCs w:val="24"/>
          <w:lang w:val="en-US" w:eastAsia="zh-CN"/>
        </w:rPr>
      </w:pPr>
      <w:r>
        <w:rPr>
          <w:rFonts w:hint="eastAsia" w:cs="仿宋" w:asciiTheme="minorEastAsia" w:hAnsiTheme="minorEastAsia" w:eastAsiaTheme="minorEastAsia"/>
          <w:b/>
          <w:color w:val="000000"/>
          <w:spacing w:val="1"/>
          <w:sz w:val="24"/>
          <w:szCs w:val="24"/>
          <w:lang w:val="en-US" w:eastAsia="zh-CN"/>
        </w:rPr>
        <w:t>1.户表土建</w:t>
      </w:r>
    </w:p>
    <w:p>
      <w:pPr>
        <w:widowControl/>
        <w:spacing w:line="440" w:lineRule="exact"/>
        <w:ind w:firstLine="488"/>
        <w:rPr>
          <w:rFonts w:hint="eastAsia" w:cs="仿宋" w:asciiTheme="minorEastAsia" w:hAnsiTheme="minorEastAsia" w:eastAsiaTheme="minorEastAsia"/>
          <w:b/>
          <w:color w:val="000000"/>
          <w:spacing w:val="1"/>
          <w:sz w:val="24"/>
          <w:szCs w:val="24"/>
          <w:lang w:val="en-US" w:eastAsia="zh-CN"/>
        </w:rPr>
      </w:pPr>
      <w:r>
        <w:rPr>
          <w:rFonts w:hint="eastAsia" w:cs="仿宋" w:asciiTheme="minorEastAsia" w:hAnsiTheme="minorEastAsia" w:eastAsiaTheme="minorEastAsia"/>
          <w:b/>
          <w:color w:val="000000"/>
          <w:spacing w:val="1"/>
          <w:sz w:val="24"/>
          <w:szCs w:val="24"/>
          <w:lang w:val="en-US" w:eastAsia="zh-CN"/>
        </w:rPr>
        <w:t>1.1</w:t>
      </w:r>
      <w:r>
        <w:rPr>
          <w:rFonts w:hint="eastAsia" w:cs="仿宋" w:asciiTheme="minorEastAsia" w:hAnsiTheme="minorEastAsia" w:eastAsiaTheme="minorEastAsia"/>
          <w:b/>
          <w:color w:val="000000"/>
          <w:spacing w:val="1"/>
          <w:sz w:val="24"/>
          <w:szCs w:val="24"/>
          <w:lang w:eastAsia="zh-CN"/>
        </w:rPr>
        <w:t>新建10KV电力电缆沟，埋地</w:t>
      </w:r>
      <w:r>
        <w:rPr>
          <w:rFonts w:hint="eastAsia" w:cs="仿宋" w:asciiTheme="minorEastAsia" w:hAnsiTheme="minorEastAsia" w:eastAsiaTheme="minorEastAsia"/>
          <w:b/>
          <w:color w:val="000000"/>
          <w:spacing w:val="1"/>
          <w:sz w:val="24"/>
          <w:szCs w:val="24"/>
          <w:lang w:val="en-US" w:eastAsia="zh-CN"/>
        </w:rPr>
        <w:t>铺设</w:t>
      </w:r>
      <w:r>
        <w:rPr>
          <w:rFonts w:hint="eastAsia" w:cs="仿宋" w:asciiTheme="minorEastAsia" w:hAnsiTheme="minorEastAsia" w:eastAsiaTheme="minorEastAsia"/>
          <w:b/>
          <w:color w:val="000000"/>
          <w:spacing w:val="1"/>
          <w:sz w:val="24"/>
          <w:szCs w:val="24"/>
          <w:lang w:eastAsia="zh-CN"/>
        </w:rPr>
        <w:t>2*175/14MPP电力电缆保护管，</w:t>
      </w:r>
      <w:r>
        <w:rPr>
          <w:rFonts w:hint="eastAsia" w:cs="仿宋" w:asciiTheme="minorEastAsia" w:hAnsiTheme="minorEastAsia" w:eastAsiaTheme="minorEastAsia"/>
          <w:b/>
          <w:color w:val="000000"/>
          <w:spacing w:val="1"/>
          <w:sz w:val="24"/>
          <w:szCs w:val="24"/>
          <w:lang w:val="en-US" w:eastAsia="zh-CN"/>
        </w:rPr>
        <w:t>长度</w:t>
      </w:r>
      <w:r>
        <w:rPr>
          <w:rFonts w:hint="eastAsia" w:cs="仿宋" w:asciiTheme="minorEastAsia" w:hAnsiTheme="minorEastAsia" w:eastAsiaTheme="minorEastAsia"/>
          <w:b/>
          <w:color w:val="000000"/>
          <w:spacing w:val="1"/>
          <w:sz w:val="24"/>
          <w:szCs w:val="24"/>
          <w:lang w:eastAsia="zh-CN"/>
        </w:rPr>
        <w:t>104</w:t>
      </w:r>
      <w:r>
        <w:rPr>
          <w:rFonts w:hint="eastAsia" w:cs="仿宋" w:asciiTheme="minorEastAsia" w:hAnsiTheme="minorEastAsia" w:eastAsiaTheme="minorEastAsia"/>
          <w:b/>
          <w:color w:val="000000"/>
          <w:spacing w:val="1"/>
          <w:sz w:val="24"/>
          <w:szCs w:val="24"/>
          <w:lang w:val="en-US" w:eastAsia="zh-CN"/>
        </w:rPr>
        <w:t>米。</w:t>
      </w:r>
    </w:p>
    <w:p>
      <w:pPr>
        <w:widowControl/>
        <w:spacing w:line="440" w:lineRule="exact"/>
        <w:ind w:firstLine="488"/>
        <w:rPr>
          <w:rFonts w:hint="eastAsia" w:cs="仿宋" w:asciiTheme="minorEastAsia" w:hAnsiTheme="minorEastAsia" w:eastAsiaTheme="minorEastAsia"/>
          <w:b/>
          <w:color w:val="000000"/>
          <w:spacing w:val="1"/>
          <w:sz w:val="24"/>
          <w:szCs w:val="24"/>
          <w:lang w:val="en-US" w:eastAsia="zh-CN"/>
        </w:rPr>
      </w:pPr>
      <w:r>
        <w:rPr>
          <w:rFonts w:hint="eastAsia" w:cs="仿宋" w:asciiTheme="minorEastAsia" w:hAnsiTheme="minorEastAsia" w:eastAsiaTheme="minorEastAsia"/>
          <w:b/>
          <w:color w:val="000000"/>
          <w:spacing w:val="1"/>
          <w:sz w:val="24"/>
          <w:szCs w:val="24"/>
          <w:lang w:val="en-US" w:eastAsia="zh-CN"/>
        </w:rPr>
        <w:t>1.2</w:t>
      </w:r>
      <w:r>
        <w:rPr>
          <w:rFonts w:hint="eastAsia" w:cs="仿宋" w:asciiTheme="minorEastAsia" w:hAnsiTheme="minorEastAsia" w:eastAsiaTheme="minorEastAsia"/>
          <w:b/>
          <w:color w:val="000000"/>
          <w:spacing w:val="1"/>
          <w:sz w:val="24"/>
          <w:szCs w:val="24"/>
          <w:lang w:eastAsia="zh-CN"/>
        </w:rPr>
        <w:t>新建</w:t>
      </w:r>
      <w:r>
        <w:rPr>
          <w:rFonts w:hint="eastAsia" w:cs="仿宋" w:asciiTheme="minorEastAsia" w:hAnsiTheme="minorEastAsia" w:eastAsiaTheme="minorEastAsia"/>
          <w:b/>
          <w:color w:val="000000"/>
          <w:spacing w:val="1"/>
          <w:sz w:val="24"/>
          <w:szCs w:val="24"/>
          <w:lang w:val="en-US" w:eastAsia="zh-CN"/>
        </w:rPr>
        <w:t>0.4KV电力电缆沟，埋地铺设2*100/8MPP</w:t>
      </w:r>
      <w:r>
        <w:rPr>
          <w:rFonts w:hint="eastAsia" w:cs="仿宋" w:asciiTheme="minorEastAsia" w:hAnsiTheme="minorEastAsia" w:eastAsiaTheme="minorEastAsia"/>
          <w:b/>
          <w:color w:val="000000"/>
          <w:spacing w:val="1"/>
          <w:sz w:val="24"/>
          <w:szCs w:val="24"/>
          <w:lang w:eastAsia="zh-CN"/>
        </w:rPr>
        <w:t>电力电缆保护管，</w:t>
      </w:r>
      <w:r>
        <w:rPr>
          <w:rFonts w:hint="eastAsia" w:cs="仿宋" w:asciiTheme="minorEastAsia" w:hAnsiTheme="minorEastAsia" w:eastAsiaTheme="minorEastAsia"/>
          <w:b/>
          <w:color w:val="000000"/>
          <w:spacing w:val="1"/>
          <w:sz w:val="24"/>
          <w:szCs w:val="24"/>
          <w:lang w:val="en-US" w:eastAsia="zh-CN"/>
        </w:rPr>
        <w:t>长度117米。</w:t>
      </w:r>
    </w:p>
    <w:p>
      <w:pPr>
        <w:widowControl/>
        <w:spacing w:line="440" w:lineRule="exact"/>
        <w:ind w:firstLine="488"/>
        <w:rPr>
          <w:rFonts w:hint="default" w:cs="仿宋" w:asciiTheme="minorEastAsia" w:hAnsiTheme="minorEastAsia" w:eastAsiaTheme="minorEastAsia"/>
          <w:b/>
          <w:color w:val="000000"/>
          <w:spacing w:val="1"/>
          <w:sz w:val="24"/>
          <w:szCs w:val="24"/>
          <w:lang w:val="en-US" w:eastAsia="zh-CN"/>
        </w:rPr>
      </w:pPr>
      <w:r>
        <w:rPr>
          <w:rFonts w:hint="eastAsia" w:cs="仿宋" w:asciiTheme="minorEastAsia" w:hAnsiTheme="minorEastAsia" w:eastAsiaTheme="minorEastAsia"/>
          <w:b/>
          <w:color w:val="000000"/>
          <w:spacing w:val="1"/>
          <w:sz w:val="24"/>
          <w:szCs w:val="24"/>
          <w:lang w:val="en-US" w:eastAsia="zh-CN"/>
        </w:rPr>
        <w:t>1.3</w:t>
      </w:r>
      <w:r>
        <w:rPr>
          <w:rFonts w:hint="eastAsia" w:cs="仿宋" w:asciiTheme="minorEastAsia" w:hAnsiTheme="minorEastAsia" w:eastAsiaTheme="minorEastAsia"/>
          <w:b/>
          <w:color w:val="000000"/>
          <w:spacing w:val="1"/>
          <w:sz w:val="24"/>
          <w:szCs w:val="24"/>
          <w:lang w:eastAsia="zh-CN"/>
        </w:rPr>
        <w:t>新建</w:t>
      </w:r>
      <w:r>
        <w:rPr>
          <w:rFonts w:hint="eastAsia" w:cs="仿宋" w:asciiTheme="minorEastAsia" w:hAnsiTheme="minorEastAsia" w:eastAsiaTheme="minorEastAsia"/>
          <w:b/>
          <w:color w:val="000000"/>
          <w:spacing w:val="1"/>
          <w:sz w:val="24"/>
          <w:szCs w:val="24"/>
          <w:lang w:val="en-US" w:eastAsia="zh-CN"/>
        </w:rPr>
        <w:t>检查井3座</w:t>
      </w:r>
      <w:r>
        <w:rPr>
          <w:rFonts w:hint="eastAsia" w:cs="仿宋" w:asciiTheme="minorEastAsia" w:hAnsiTheme="minorEastAsia" w:eastAsiaTheme="minorEastAsia"/>
          <w:b/>
          <w:color w:val="000000"/>
          <w:spacing w:val="1"/>
          <w:sz w:val="24"/>
          <w:szCs w:val="24"/>
          <w:lang w:eastAsia="zh-CN"/>
        </w:rPr>
        <w:t>，</w:t>
      </w:r>
      <w:r>
        <w:rPr>
          <w:rFonts w:hint="eastAsia" w:cs="仿宋" w:asciiTheme="minorEastAsia" w:hAnsiTheme="minorEastAsia" w:eastAsiaTheme="minorEastAsia"/>
          <w:b/>
          <w:color w:val="000000"/>
          <w:spacing w:val="1"/>
          <w:sz w:val="24"/>
          <w:szCs w:val="24"/>
          <w:lang w:val="en-US" w:eastAsia="zh-CN"/>
        </w:rPr>
        <w:t>转弯井3座，三通井1座。（附图纸）</w:t>
      </w:r>
      <w:bookmarkStart w:id="44" w:name="_GoBack"/>
      <w:bookmarkEnd w:id="44"/>
    </w:p>
    <w:p>
      <w:pPr>
        <w:widowControl/>
        <w:numPr>
          <w:ilvl w:val="0"/>
          <w:numId w:val="0"/>
        </w:numPr>
        <w:spacing w:line="440" w:lineRule="exact"/>
        <w:ind w:firstLine="482" w:firstLineChars="200"/>
        <w:rPr>
          <w:rFonts w:hint="eastAsia" w:cs="仿宋" w:asciiTheme="minorEastAsia" w:hAnsiTheme="minorEastAsia" w:eastAsiaTheme="minorEastAsia"/>
          <w:b/>
          <w:color w:val="auto"/>
          <w:sz w:val="24"/>
          <w:szCs w:val="24"/>
          <w:lang w:val="en-US" w:eastAsia="zh-CN"/>
        </w:rPr>
      </w:pPr>
      <w:r>
        <w:rPr>
          <w:rFonts w:hint="eastAsia" w:cs="仿宋" w:asciiTheme="minorEastAsia" w:hAnsiTheme="minorEastAsia" w:eastAsiaTheme="minorEastAsia"/>
          <w:b/>
          <w:color w:val="auto"/>
          <w:sz w:val="24"/>
          <w:szCs w:val="24"/>
          <w:lang w:val="en-US" w:eastAsia="zh-CN"/>
        </w:rPr>
        <w:t>2.箱变迁移</w:t>
      </w:r>
    </w:p>
    <w:p>
      <w:pPr>
        <w:widowControl/>
        <w:numPr>
          <w:ilvl w:val="0"/>
          <w:numId w:val="0"/>
        </w:numPr>
        <w:spacing w:line="440" w:lineRule="exact"/>
        <w:ind w:firstLine="482" w:firstLineChars="200"/>
        <w:rPr>
          <w:rFonts w:hint="eastAsia" w:cs="仿宋" w:asciiTheme="minorEastAsia" w:hAnsiTheme="minorEastAsia" w:eastAsiaTheme="minorEastAsia"/>
          <w:b/>
          <w:color w:val="auto"/>
          <w:sz w:val="24"/>
          <w:szCs w:val="24"/>
          <w:lang w:val="en-US" w:eastAsia="zh-CN"/>
        </w:rPr>
      </w:pPr>
      <w:r>
        <w:rPr>
          <w:rFonts w:hint="eastAsia" w:cs="仿宋" w:asciiTheme="minorEastAsia" w:hAnsiTheme="minorEastAsia" w:eastAsiaTheme="minorEastAsia"/>
          <w:b/>
          <w:color w:val="auto"/>
          <w:sz w:val="24"/>
          <w:szCs w:val="24"/>
          <w:lang w:val="en-US" w:eastAsia="zh-CN"/>
        </w:rPr>
        <w:t>2.1</w:t>
      </w:r>
      <w:r>
        <w:rPr>
          <w:rFonts w:hint="eastAsia" w:cs="仿宋" w:asciiTheme="minorEastAsia" w:hAnsiTheme="minorEastAsia" w:eastAsiaTheme="minorEastAsia"/>
          <w:b/>
          <w:color w:val="auto"/>
          <w:spacing w:val="1"/>
          <w:sz w:val="24"/>
          <w:szCs w:val="24"/>
          <w:lang w:eastAsia="zh-CN"/>
        </w:rPr>
        <w:t>新建</w:t>
      </w:r>
      <w:r>
        <w:rPr>
          <w:rFonts w:hint="eastAsia" w:cs="仿宋" w:asciiTheme="minorEastAsia" w:hAnsiTheme="minorEastAsia" w:eastAsiaTheme="minorEastAsia"/>
          <w:b/>
          <w:color w:val="auto"/>
          <w:sz w:val="24"/>
          <w:szCs w:val="24"/>
          <w:lang w:val="en-US" w:eastAsia="zh-CN"/>
        </w:rPr>
        <w:t>箱变设备基础2座。</w:t>
      </w:r>
    </w:p>
    <w:p>
      <w:pPr>
        <w:widowControl/>
        <w:spacing w:line="440" w:lineRule="exact"/>
        <w:ind w:firstLine="488"/>
        <w:rPr>
          <w:rFonts w:hint="eastAsia" w:cs="仿宋" w:asciiTheme="minorEastAsia" w:hAnsiTheme="minorEastAsia" w:eastAsiaTheme="minorEastAsia"/>
          <w:b/>
          <w:color w:val="auto"/>
          <w:spacing w:val="1"/>
          <w:sz w:val="24"/>
          <w:szCs w:val="24"/>
          <w:lang w:val="en-US" w:eastAsia="zh-CN"/>
        </w:rPr>
      </w:pPr>
      <w:r>
        <w:rPr>
          <w:rFonts w:hint="eastAsia" w:cs="仿宋" w:asciiTheme="minorEastAsia" w:hAnsiTheme="minorEastAsia" w:eastAsiaTheme="minorEastAsia"/>
          <w:b/>
          <w:color w:val="auto"/>
          <w:sz w:val="24"/>
          <w:szCs w:val="24"/>
          <w:lang w:val="en-US" w:eastAsia="zh-CN"/>
        </w:rPr>
        <w:t>2.2</w:t>
      </w:r>
      <w:r>
        <w:rPr>
          <w:rFonts w:hint="eastAsia" w:cs="仿宋" w:asciiTheme="minorEastAsia" w:hAnsiTheme="minorEastAsia" w:eastAsiaTheme="minorEastAsia"/>
          <w:b/>
          <w:color w:val="auto"/>
          <w:spacing w:val="1"/>
          <w:sz w:val="24"/>
          <w:szCs w:val="24"/>
          <w:lang w:eastAsia="zh-CN"/>
        </w:rPr>
        <w:t>新建10KV电力电缆沟，埋地</w:t>
      </w:r>
      <w:r>
        <w:rPr>
          <w:rFonts w:hint="eastAsia" w:cs="仿宋" w:asciiTheme="minorEastAsia" w:hAnsiTheme="minorEastAsia" w:eastAsiaTheme="minorEastAsia"/>
          <w:b/>
          <w:color w:val="auto"/>
          <w:spacing w:val="1"/>
          <w:sz w:val="24"/>
          <w:szCs w:val="24"/>
          <w:lang w:val="en-US" w:eastAsia="zh-CN"/>
        </w:rPr>
        <w:t>铺设</w:t>
      </w:r>
      <w:r>
        <w:rPr>
          <w:rFonts w:hint="eastAsia" w:cs="仿宋" w:asciiTheme="minorEastAsia" w:hAnsiTheme="minorEastAsia" w:eastAsiaTheme="minorEastAsia"/>
          <w:b/>
          <w:color w:val="auto"/>
          <w:spacing w:val="1"/>
          <w:sz w:val="24"/>
          <w:szCs w:val="24"/>
          <w:lang w:eastAsia="zh-CN"/>
        </w:rPr>
        <w:t>6*175/14MPP电力电缆保护管，</w:t>
      </w:r>
      <w:r>
        <w:rPr>
          <w:rFonts w:hint="eastAsia" w:cs="仿宋" w:asciiTheme="minorEastAsia" w:hAnsiTheme="minorEastAsia" w:eastAsiaTheme="minorEastAsia"/>
          <w:b/>
          <w:color w:val="auto"/>
          <w:spacing w:val="1"/>
          <w:sz w:val="24"/>
          <w:szCs w:val="24"/>
          <w:lang w:val="en-US" w:eastAsia="zh-CN"/>
        </w:rPr>
        <w:t>长度</w:t>
      </w:r>
      <w:r>
        <w:rPr>
          <w:rFonts w:hint="eastAsia" w:cs="仿宋" w:asciiTheme="minorEastAsia" w:hAnsiTheme="minorEastAsia" w:eastAsiaTheme="minorEastAsia"/>
          <w:b/>
          <w:color w:val="auto"/>
          <w:spacing w:val="1"/>
          <w:sz w:val="24"/>
          <w:szCs w:val="24"/>
          <w:lang w:eastAsia="zh-CN"/>
        </w:rPr>
        <w:t>10</w:t>
      </w:r>
      <w:r>
        <w:rPr>
          <w:rFonts w:hint="eastAsia" w:cs="仿宋" w:asciiTheme="minorEastAsia" w:hAnsiTheme="minorEastAsia" w:eastAsiaTheme="minorEastAsia"/>
          <w:b/>
          <w:color w:val="auto"/>
          <w:spacing w:val="1"/>
          <w:sz w:val="24"/>
          <w:szCs w:val="24"/>
          <w:lang w:val="en-US" w:eastAsia="zh-CN"/>
        </w:rPr>
        <w:t>米。</w:t>
      </w:r>
    </w:p>
    <w:p>
      <w:pPr>
        <w:widowControl/>
        <w:spacing w:line="440" w:lineRule="exact"/>
        <w:ind w:firstLine="488"/>
        <w:rPr>
          <w:rFonts w:hint="eastAsia" w:cs="仿宋" w:asciiTheme="minorEastAsia" w:hAnsiTheme="minorEastAsia" w:eastAsiaTheme="minorEastAsia"/>
          <w:b/>
          <w:color w:val="auto"/>
          <w:spacing w:val="1"/>
          <w:sz w:val="24"/>
          <w:szCs w:val="24"/>
          <w:lang w:val="en-US" w:eastAsia="zh-CN"/>
        </w:rPr>
      </w:pPr>
      <w:r>
        <w:rPr>
          <w:rFonts w:hint="eastAsia" w:cs="仿宋" w:asciiTheme="minorEastAsia" w:hAnsiTheme="minorEastAsia" w:eastAsiaTheme="minorEastAsia"/>
          <w:b/>
          <w:color w:val="auto"/>
          <w:spacing w:val="1"/>
          <w:sz w:val="24"/>
          <w:szCs w:val="24"/>
          <w:lang w:val="en-US" w:eastAsia="zh-CN"/>
        </w:rPr>
        <w:t>2.3</w:t>
      </w:r>
      <w:r>
        <w:rPr>
          <w:rFonts w:hint="eastAsia" w:cs="仿宋" w:asciiTheme="minorEastAsia" w:hAnsiTheme="minorEastAsia" w:eastAsiaTheme="minorEastAsia"/>
          <w:b/>
          <w:color w:val="auto"/>
          <w:spacing w:val="1"/>
          <w:sz w:val="24"/>
          <w:szCs w:val="24"/>
          <w:lang w:eastAsia="zh-CN"/>
        </w:rPr>
        <w:t>新建</w:t>
      </w:r>
      <w:r>
        <w:rPr>
          <w:rFonts w:hint="eastAsia" w:cs="仿宋" w:asciiTheme="minorEastAsia" w:hAnsiTheme="minorEastAsia" w:eastAsiaTheme="minorEastAsia"/>
          <w:b/>
          <w:color w:val="auto"/>
          <w:spacing w:val="1"/>
          <w:sz w:val="24"/>
          <w:szCs w:val="24"/>
          <w:lang w:val="en-US" w:eastAsia="zh-CN"/>
        </w:rPr>
        <w:t>检查井2座。</w:t>
      </w:r>
    </w:p>
    <w:p>
      <w:pPr>
        <w:widowControl/>
        <w:numPr>
          <w:ilvl w:val="0"/>
          <w:numId w:val="0"/>
        </w:numPr>
        <w:spacing w:line="440" w:lineRule="exact"/>
        <w:ind w:firstLine="482" w:firstLineChars="200"/>
        <w:jc w:val="both"/>
        <w:rPr>
          <w:rFonts w:hint="eastAsia" w:cs="仿宋" w:asciiTheme="minorEastAsia" w:hAnsiTheme="minorEastAsia" w:eastAsiaTheme="minorEastAsia"/>
          <w:b/>
          <w:color w:val="auto"/>
          <w:sz w:val="24"/>
          <w:szCs w:val="24"/>
          <w:lang w:val="en-US" w:eastAsia="zh-CN"/>
        </w:rPr>
      </w:pPr>
      <w:r>
        <w:rPr>
          <w:rFonts w:hint="eastAsia" w:cs="仿宋" w:asciiTheme="minorEastAsia" w:hAnsiTheme="minorEastAsia" w:eastAsiaTheme="minorEastAsia"/>
          <w:b/>
          <w:color w:val="auto"/>
          <w:sz w:val="24"/>
          <w:szCs w:val="24"/>
          <w:lang w:val="en-US" w:eastAsia="zh-CN"/>
        </w:rPr>
        <w:t>2.4</w:t>
      </w:r>
      <w:r>
        <w:rPr>
          <w:rFonts w:hint="eastAsia" w:cs="仿宋" w:asciiTheme="minorEastAsia" w:hAnsiTheme="minorEastAsia" w:eastAsiaTheme="minorEastAsia"/>
          <w:b/>
          <w:color w:val="auto"/>
          <w:spacing w:val="1"/>
          <w:sz w:val="24"/>
          <w:szCs w:val="24"/>
          <w:lang w:val="en-US" w:eastAsia="zh-CN"/>
        </w:rPr>
        <w:t>原箱变位置场地平整</w:t>
      </w:r>
      <w:r>
        <w:rPr>
          <w:rFonts w:hint="eastAsia" w:cs="仿宋" w:asciiTheme="minorEastAsia" w:hAnsiTheme="minorEastAsia" w:eastAsiaTheme="minorEastAsia"/>
          <w:b/>
          <w:color w:val="auto"/>
          <w:sz w:val="24"/>
          <w:szCs w:val="24"/>
          <w:lang w:val="en-US" w:eastAsia="zh-CN"/>
        </w:rPr>
        <w:t>。</w:t>
      </w:r>
    </w:p>
    <w:p>
      <w:pPr>
        <w:widowControl/>
        <w:numPr>
          <w:ilvl w:val="0"/>
          <w:numId w:val="0"/>
        </w:numPr>
        <w:spacing w:line="440" w:lineRule="exact"/>
        <w:ind w:firstLine="482" w:firstLineChars="200"/>
        <w:jc w:val="both"/>
        <w:rPr>
          <w:rFonts w:hint="default" w:cs="仿宋" w:asciiTheme="minorEastAsia" w:hAnsiTheme="minorEastAsia" w:eastAsiaTheme="minorEastAsia"/>
          <w:b/>
          <w:color w:val="auto"/>
          <w:sz w:val="24"/>
          <w:szCs w:val="24"/>
          <w:lang w:val="en-US" w:eastAsia="zh-CN"/>
        </w:rPr>
      </w:pPr>
    </w:p>
    <w:tbl>
      <w:tblPr>
        <w:tblStyle w:val="29"/>
        <w:tblW w:w="90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1" w:type="dxa"/>
          <w:bottom w:w="0" w:type="dxa"/>
          <w:right w:w="51" w:type="dxa"/>
        </w:tblCellMar>
      </w:tblPr>
      <w:tblGrid>
        <w:gridCol w:w="681"/>
        <w:gridCol w:w="1422"/>
        <w:gridCol w:w="5025"/>
        <w:gridCol w:w="990"/>
        <w:gridCol w:w="9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序号</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项目名称</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项目特征</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计量单位</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sz w:val="21"/>
                <w:szCs w:val="21"/>
              </w:rPr>
              <w:t>工程数量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576"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电缆保护管</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管沟土方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沟槽挖填</w:t>
            </w:r>
            <w:r>
              <w:rPr>
                <w:rFonts w:hint="eastAsia" w:asciiTheme="minorEastAsia" w:hAnsiTheme="minorEastAsia" w:eastAsiaTheme="minorEastAsia" w:cstheme="minorEastAsia"/>
                <w:color w:val="000000"/>
                <w:sz w:val="21"/>
                <w:szCs w:val="21"/>
                <w:lang w:eastAsia="zh-CN"/>
              </w:rPr>
              <w:t>， 普通土</w:t>
            </w:r>
          </w:p>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挖沟深度:2m以内</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回填要求:夯填</w:t>
            </w:r>
          </w:p>
          <w:p>
            <w:pPr>
              <w:numPr>
                <w:ilvl w:val="0"/>
                <w:numId w:val="0"/>
              </w:num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管道包封</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埋管</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混凝土强度等级:C20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垫层:C15</w:t>
            </w:r>
          </w:p>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包封配管材质.规格:MPP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2×φ</w:t>
            </w:r>
            <w:r>
              <w:rPr>
                <w:rFonts w:hint="eastAsia" w:asciiTheme="minorEastAsia" w:hAnsiTheme="minorEastAsia" w:eastAsiaTheme="minorEastAsia" w:cstheme="minorEastAsia"/>
                <w:color w:val="000000"/>
                <w:sz w:val="21"/>
                <w:szCs w:val="21"/>
                <w:lang w:eastAsia="zh-CN"/>
              </w:rPr>
              <w:t>175/14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m</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电缆保护管</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管沟土方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沟槽挖填</w:t>
            </w:r>
            <w:r>
              <w:rPr>
                <w:rFonts w:hint="eastAsia" w:asciiTheme="minorEastAsia" w:hAnsiTheme="minorEastAsia" w:eastAsiaTheme="minorEastAsia" w:cstheme="minorEastAsia"/>
                <w:color w:val="000000"/>
                <w:sz w:val="21"/>
                <w:szCs w:val="21"/>
                <w:lang w:eastAsia="zh-CN"/>
              </w:rPr>
              <w:t>， 普通土</w:t>
            </w:r>
          </w:p>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挖沟深度:2m以内</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回填要求:夯填</w:t>
            </w:r>
          </w:p>
          <w:p>
            <w:pPr>
              <w:numPr>
                <w:ilvl w:val="0"/>
                <w:numId w:val="0"/>
              </w:num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管道包封</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埋管</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混凝土强度等级:C20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垫层:C15</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包封配管材质.规格:MPP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2×φ1</w:t>
            </w:r>
            <w:r>
              <w:rPr>
                <w:rFonts w:hint="eastAsia" w:asciiTheme="minorEastAsia" w:hAnsiTheme="minorEastAsia" w:eastAsiaTheme="minorEastAsia" w:cstheme="minorEastAsia"/>
                <w:color w:val="000000"/>
                <w:sz w:val="21"/>
                <w:szCs w:val="21"/>
                <w:lang w:val="en-US" w:eastAsia="zh-CN"/>
              </w:rPr>
              <w:t>00/8</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m</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检查井</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1.井名称:检查井</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2.井截面:1.6×1.7深度:</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3.砖品种.规格.强度等级:机制砖115×53×240，MU10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4.垫层材料种类.厚度:素混凝土，100mm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5.底板厚度:250mm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6.井盖安装:预制混凝土盖板</w:t>
            </w:r>
            <w:r>
              <w:rPr>
                <w:rFonts w:hint="eastAsia" w:asciiTheme="minorEastAsia" w:hAnsiTheme="minorEastAsia" w:eastAsiaTheme="minorEastAsia" w:cstheme="minorEastAsia"/>
                <w:color w:val="000000"/>
                <w:sz w:val="21"/>
                <w:szCs w:val="21"/>
                <w:lang w:val="en-US" w:eastAsia="zh-CN"/>
              </w:rPr>
              <w:t>,φ900球墨铸铁井盖</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7.混凝土强度等级:C25</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8.砂浆强度等级:M7.5砂浆</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9.防潮层材料种类:1：2水泥砂浆掺3%防水剂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座</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转弯井</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1"/>
              </w:num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井名称:转弯井</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2.井截面:1.6×1.7深度:</w:t>
            </w:r>
            <w:r>
              <w:rPr>
                <w:rFonts w:hint="eastAsia" w:asciiTheme="minorEastAsia" w:hAnsiTheme="minorEastAsia" w:eastAsiaTheme="minorEastAsia" w:cstheme="minorEastAsia"/>
                <w:color w:val="000000"/>
                <w:sz w:val="21"/>
                <w:szCs w:val="21"/>
                <w:lang w:val="en-US" w:eastAsia="zh-CN"/>
              </w:rPr>
              <w:t>2.1</w:t>
            </w:r>
          </w:p>
          <w:p>
            <w:pPr>
              <w:numPr>
                <w:ilvl w:val="0"/>
                <w:numId w:val="1"/>
              </w:num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3.砖品种.规格.强度等级:机制砖115×53×240，MU10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4.垫层材料种类.厚度:素混凝土，100mm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5.底板厚度:250mm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6.井盖安装:预制混凝土盖板</w:t>
            </w:r>
            <w:r>
              <w:rPr>
                <w:rFonts w:hint="eastAsia" w:asciiTheme="minorEastAsia" w:hAnsiTheme="minorEastAsia" w:eastAsiaTheme="minorEastAsia" w:cstheme="minorEastAsia"/>
                <w:color w:val="000000"/>
                <w:sz w:val="21"/>
                <w:szCs w:val="21"/>
                <w:lang w:val="en-US" w:eastAsia="zh-CN"/>
              </w:rPr>
              <w:t>,φ900球墨铸铁井盖</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7.混凝土强度等级:C25</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8.砂浆强度等级:M7.5砂浆</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9.防潮层材料种类:1：2水泥砂浆掺3%防水剂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座</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三通井</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1.井名称:三通井</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2.井截面:1.6×1.7深度:</w:t>
            </w:r>
            <w:r>
              <w:rPr>
                <w:rFonts w:hint="eastAsia" w:asciiTheme="minorEastAsia" w:hAnsiTheme="minorEastAsia" w:eastAsiaTheme="minorEastAsia" w:cstheme="minorEastAsia"/>
                <w:color w:val="000000"/>
                <w:sz w:val="21"/>
                <w:szCs w:val="21"/>
                <w:lang w:val="en-US" w:eastAsia="zh-CN"/>
              </w:rPr>
              <w:t>2.1</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3.砖品种.规格.强度等级:机制砖115×53×240，MU10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4.垫层材料种类.厚度:素混凝土，100mm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5.底板厚度:250mm</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6.井盖安装:预制混凝土盖板</w:t>
            </w:r>
            <w:r>
              <w:rPr>
                <w:rFonts w:hint="eastAsia" w:asciiTheme="minorEastAsia" w:hAnsiTheme="minorEastAsia" w:eastAsiaTheme="minorEastAsia" w:cstheme="minorEastAsia"/>
                <w:color w:val="000000"/>
                <w:sz w:val="21"/>
                <w:szCs w:val="21"/>
                <w:lang w:val="en-US" w:eastAsia="zh-CN"/>
              </w:rPr>
              <w:t>,φ900球墨铸铁井盖</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7.混凝土强度等级:C25</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8.砂浆强度等级:M7.5砂浆</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9.防潮层材料种类:1：2水泥砂浆掺3%防水剂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座</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箱变设备基础</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基坑</w:t>
            </w:r>
            <w:r>
              <w:rPr>
                <w:rFonts w:hint="eastAsia" w:asciiTheme="minorEastAsia" w:hAnsiTheme="minorEastAsia" w:eastAsiaTheme="minorEastAsia" w:cstheme="minorEastAsia"/>
                <w:color w:val="000000"/>
                <w:sz w:val="21"/>
                <w:szCs w:val="21"/>
              </w:rPr>
              <w:t>土方</w:t>
            </w:r>
          </w:p>
          <w:p>
            <w:pPr>
              <w:numPr>
                <w:ilvl w:val="0"/>
                <w:numId w:val="2"/>
              </w:num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地基承载力不小于120Kpa</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C15混凝土独立基础</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4.基础四周0.5m范围内3:7灰土回填</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5.C15素混凝土垫层，厚度：10cm</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6.C30混凝土底板，厚度：35cm，采用1:2.5水泥砂浆（掺3%防水剂）抹面，2cm厚</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7.MU15烧结普通砖，M7.5水泥砂浆砌筑砖墙，厚度：37cm，墙内外壁采用1:2.5水泥砂浆（掺3%防水剂）抹面，2cm厚</w:t>
            </w:r>
          </w:p>
          <w:p>
            <w:p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r>
              <w:rPr>
                <w:rFonts w:hint="default" w:asciiTheme="minorEastAsia" w:hAnsiTheme="minorEastAsia" w:eastAsiaTheme="minorEastAsia" w:cstheme="minorEastAsia"/>
                <w:color w:val="000000"/>
                <w:sz w:val="21"/>
                <w:szCs w:val="21"/>
                <w:lang w:val="en-US" w:eastAsia="zh-CN"/>
              </w:rPr>
              <w:t>C30混凝土圈梁</w:t>
            </w:r>
            <w:r>
              <w:rPr>
                <w:rFonts w:hint="eastAsia" w:asciiTheme="minorEastAsia" w:hAnsiTheme="minorEastAsia" w:eastAsiaTheme="minorEastAsia" w:cstheme="minorEastAsia"/>
                <w:color w:val="000000"/>
                <w:sz w:val="21"/>
                <w:szCs w:val="21"/>
                <w:lang w:val="en-US" w:eastAsia="zh-CN"/>
              </w:rPr>
              <w:t>，</w:t>
            </w:r>
            <w:r>
              <w:rPr>
                <w:rFonts w:hint="default" w:asciiTheme="minorEastAsia" w:hAnsiTheme="minorEastAsia" w:eastAsiaTheme="minorEastAsia" w:cstheme="minorEastAsia"/>
                <w:color w:val="000000"/>
                <w:sz w:val="21"/>
                <w:szCs w:val="21"/>
                <w:lang w:val="en-US" w:eastAsia="zh-CN"/>
              </w:rPr>
              <w:t>截面尺寸：370*300mm</w:t>
            </w:r>
          </w:p>
          <w:p>
            <w:pP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9.C30混凝土过梁，截面尺寸：370*300mm</w:t>
            </w:r>
          </w:p>
          <w:p>
            <w:p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r>
              <w:rPr>
                <w:rFonts w:hint="default" w:asciiTheme="minorEastAsia" w:hAnsiTheme="minorEastAsia" w:eastAsiaTheme="minorEastAsia" w:cstheme="minorEastAsia"/>
                <w:color w:val="000000"/>
                <w:sz w:val="21"/>
                <w:szCs w:val="21"/>
                <w:lang w:val="en-US" w:eastAsia="zh-CN"/>
              </w:rPr>
              <w:t>C20细石混凝土散水、坡道</w:t>
            </w:r>
            <w:r>
              <w:rPr>
                <w:rFonts w:hint="eastAsia" w:asciiTheme="minorEastAsia" w:hAnsiTheme="minorEastAsia" w:eastAsiaTheme="minorEastAsia" w:cstheme="minorEastAsia"/>
                <w:color w:val="000000"/>
                <w:sz w:val="21"/>
                <w:szCs w:val="21"/>
                <w:lang w:val="en-US" w:eastAsia="zh-CN"/>
              </w:rPr>
              <w:t>，</w:t>
            </w:r>
            <w:r>
              <w:rPr>
                <w:rFonts w:hint="default" w:asciiTheme="minorEastAsia" w:hAnsiTheme="minorEastAsia" w:eastAsiaTheme="minorEastAsia" w:cstheme="minorEastAsia"/>
                <w:color w:val="000000"/>
                <w:sz w:val="21"/>
                <w:szCs w:val="21"/>
                <w:lang w:val="en-US" w:eastAsia="zh-CN"/>
              </w:rPr>
              <w:t>厚度：10cm</w:t>
            </w:r>
            <w:r>
              <w:rPr>
                <w:rFonts w:hint="eastAsia" w:asciiTheme="minorEastAsia" w:hAnsiTheme="minorEastAsia" w:eastAsiaTheme="minorEastAsia" w:cstheme="minorEastAsia"/>
                <w:color w:val="000000"/>
                <w:sz w:val="21"/>
                <w:szCs w:val="21"/>
                <w:lang w:val="en-US" w:eastAsia="zh-CN"/>
              </w:rPr>
              <w:t>，</w:t>
            </w:r>
            <w:r>
              <w:rPr>
                <w:rFonts w:hint="default" w:asciiTheme="minorEastAsia" w:hAnsiTheme="minorEastAsia" w:eastAsiaTheme="minorEastAsia" w:cstheme="minorEastAsia"/>
                <w:color w:val="000000"/>
                <w:sz w:val="21"/>
                <w:szCs w:val="21"/>
                <w:lang w:val="en-US" w:eastAsia="zh-CN"/>
              </w:rPr>
              <w:t>宽度：50cm</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座</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电缆保护管</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管沟土方</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沟槽挖填</w:t>
            </w:r>
            <w:r>
              <w:rPr>
                <w:rFonts w:hint="eastAsia" w:asciiTheme="minorEastAsia" w:hAnsiTheme="minorEastAsia" w:eastAsiaTheme="minorEastAsia" w:cstheme="minorEastAsia"/>
                <w:color w:val="000000"/>
                <w:sz w:val="21"/>
                <w:szCs w:val="21"/>
                <w:lang w:eastAsia="zh-CN"/>
              </w:rPr>
              <w:t>， 普通土</w:t>
            </w:r>
          </w:p>
          <w:p>
            <w:pPr>
              <w:numPr>
                <w:ilvl w:val="0"/>
                <w:numId w:val="0"/>
              </w:numP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挖沟深度:2m以内</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回填要求:夯填</w:t>
            </w:r>
          </w:p>
          <w:p>
            <w:pPr>
              <w:numPr>
                <w:ilvl w:val="0"/>
                <w:numId w:val="0"/>
              </w:num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rPr>
              <w:t>管道包封</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埋管</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混凝土强度等级:C20</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垫层:C15</w:t>
            </w:r>
          </w:p>
          <w:p>
            <w:pPr>
              <w:numPr>
                <w:ilvl w:val="0"/>
                <w:numId w:val="0"/>
              </w:num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lang w:val="en-US" w:eastAsia="zh-CN"/>
              </w:rPr>
              <w:t>7.</w:t>
            </w:r>
            <w:r>
              <w:rPr>
                <w:rFonts w:hint="eastAsia" w:asciiTheme="minorEastAsia" w:hAnsiTheme="minorEastAsia" w:eastAsiaTheme="minorEastAsia" w:cstheme="minorEastAsia"/>
                <w:color w:val="000000"/>
                <w:sz w:val="21"/>
                <w:szCs w:val="21"/>
              </w:rPr>
              <w:t>包封配管材质.规格:MPP</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6</w:t>
            </w:r>
            <w:r>
              <w:rPr>
                <w:rFonts w:hint="eastAsia" w:asciiTheme="minorEastAsia" w:hAnsiTheme="minorEastAsia" w:eastAsiaTheme="minorEastAsia" w:cstheme="minorEastAsia"/>
                <w:color w:val="000000"/>
                <w:sz w:val="21"/>
                <w:szCs w:val="21"/>
              </w:rPr>
              <w:t>×φ</w:t>
            </w:r>
            <w:r>
              <w:rPr>
                <w:rFonts w:hint="eastAsia" w:asciiTheme="minorEastAsia" w:hAnsiTheme="minorEastAsia" w:eastAsiaTheme="minorEastAsia" w:cstheme="minorEastAsia"/>
                <w:color w:val="000000"/>
                <w:sz w:val="21"/>
                <w:szCs w:val="21"/>
                <w:lang w:eastAsia="zh-CN"/>
              </w:rPr>
              <w:t>175/14</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m</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1" w:type="dxa"/>
            <w:bottom w:w="0" w:type="dxa"/>
            <w:right w:w="51" w:type="dxa"/>
          </w:tblCellMar>
        </w:tblPrEx>
        <w:trPr>
          <w:trHeight w:val="351" w:hRule="atLeast"/>
          <w:jc w:val="center"/>
        </w:trPr>
        <w:tc>
          <w:tcPr>
            <w:tcW w:w="681"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检查井</w:t>
            </w:r>
          </w:p>
        </w:tc>
        <w:tc>
          <w:tcPr>
            <w:tcW w:w="502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砖墙厚度：24cm</w:t>
            </w:r>
          </w:p>
          <w:p>
            <w:pPr>
              <w:numPr>
                <w:ilvl w:val="0"/>
                <w:numId w:val="3"/>
              </w:num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井截面:1.6×1.7深度:</w:t>
            </w:r>
            <w:r>
              <w:rPr>
                <w:rFonts w:hint="eastAsia" w:asciiTheme="minorEastAsia" w:hAnsiTheme="minorEastAsia" w:eastAsiaTheme="minorEastAsia" w:cstheme="minorEastAsia"/>
                <w:color w:val="000000"/>
                <w:sz w:val="21"/>
                <w:szCs w:val="21"/>
                <w:lang w:val="en-US" w:eastAsia="zh-CN"/>
              </w:rPr>
              <w:t>2.1</w:t>
            </w:r>
          </w:p>
          <w:p>
            <w:p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3.砌筑材料：MU15烧结普通砖，M7.5水泥砂浆砌筑</w:t>
            </w:r>
          </w:p>
          <w:p>
            <w:pPr>
              <w:rPr>
                <w:rFonts w:hint="default"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4.抹面：墙内外壁抹面1:2.5水泥砂浆（掺3%防水剂），2cm厚</w:t>
            </w:r>
          </w:p>
          <w:p>
            <w:p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5.检查井盖板采用C30混凝土</w:t>
            </w:r>
          </w:p>
        </w:tc>
        <w:tc>
          <w:tcPr>
            <w:tcW w:w="9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座</w:t>
            </w:r>
          </w:p>
        </w:tc>
        <w:tc>
          <w:tcPr>
            <w:tcW w:w="963" w:type="dxa"/>
            <w:tcBorders>
              <w:top w:val="single" w:color="auto" w:sz="4" w:space="0"/>
              <w:left w:val="single" w:color="auto" w:sz="4" w:space="0"/>
              <w:bottom w:val="single" w:color="auto" w:sz="4" w:space="0"/>
              <w:right w:val="single" w:color="auto" w:sz="8" w:space="0"/>
            </w:tcBorders>
            <w:noWrap w:val="0"/>
            <w:vAlign w:val="center"/>
          </w:tcPr>
          <w:p>
            <w:pPr>
              <w:jc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r>
    </w:tbl>
    <w:p>
      <w:pPr>
        <w:widowControl/>
        <w:spacing w:line="440" w:lineRule="exact"/>
        <w:ind w:firstLine="426" w:firstLineChars="200"/>
        <w:rPr>
          <w:rFonts w:hint="eastAsia" w:asciiTheme="minorEastAsia" w:hAnsiTheme="minorEastAsia" w:eastAsiaTheme="minorEastAsia" w:cstheme="minorEastAsia"/>
          <w:b/>
          <w:color w:val="000000"/>
          <w:spacing w:val="1"/>
          <w:sz w:val="21"/>
          <w:szCs w:val="21"/>
          <w:lang w:val="en-US" w:eastAsia="zh-CN"/>
        </w:rPr>
      </w:pPr>
    </w:p>
    <w:p>
      <w:pPr>
        <w:pStyle w:val="13"/>
        <w:spacing w:line="360" w:lineRule="auto"/>
        <w:jc w:val="center"/>
        <w:rPr>
          <w:rFonts w:ascii="黑体" w:eastAsia="黑体"/>
          <w:b/>
          <w:bCs/>
          <w:color w:val="000000"/>
          <w:sz w:val="36"/>
          <w:szCs w:val="36"/>
        </w:rPr>
      </w:pPr>
      <w:r>
        <w:rPr>
          <w:rFonts w:hint="eastAsia" w:hAnsi="宋体" w:cs="宋体"/>
          <w:b/>
          <w:bCs/>
          <w:color w:val="000000"/>
          <w:sz w:val="36"/>
          <w:szCs w:val="36"/>
        </w:rPr>
        <w:t>第</w:t>
      </w:r>
      <w:r>
        <w:rPr>
          <w:rFonts w:hint="eastAsia" w:hAnsi="宋体" w:cs="宋体"/>
          <w:b/>
          <w:bCs/>
          <w:color w:val="000000"/>
          <w:sz w:val="36"/>
          <w:szCs w:val="36"/>
          <w:lang w:val="en-US" w:eastAsia="zh-CN"/>
        </w:rPr>
        <w:t>三</w:t>
      </w:r>
      <w:r>
        <w:rPr>
          <w:rFonts w:hint="eastAsia" w:hAnsi="宋体" w:cs="宋体"/>
          <w:b/>
          <w:bCs/>
          <w:color w:val="000000"/>
          <w:sz w:val="36"/>
          <w:szCs w:val="36"/>
        </w:rPr>
        <w:t>部分  投标人须知</w:t>
      </w:r>
    </w:p>
    <w:p>
      <w:pPr>
        <w:pStyle w:val="4"/>
        <w:spacing w:before="120" w:after="120" w:line="360" w:lineRule="auto"/>
        <w:ind w:firstLine="602" w:firstLineChars="214"/>
        <w:jc w:val="left"/>
        <w:rPr>
          <w:rFonts w:ascii="宋体" w:hAnsi="宋体" w:eastAsia="宋体" w:cs="宋体"/>
          <w:sz w:val="28"/>
          <w:szCs w:val="28"/>
        </w:rPr>
      </w:pPr>
      <w:bookmarkStart w:id="3" w:name="_Toc48665526"/>
      <w:r>
        <w:rPr>
          <w:rFonts w:hint="eastAsia" w:ascii="宋体" w:hAnsi="宋体" w:eastAsia="宋体" w:cs="宋体"/>
          <w:sz w:val="28"/>
          <w:szCs w:val="28"/>
          <w:lang w:val="en-US" w:eastAsia="zh-CN"/>
        </w:rPr>
        <w:t>一</w:t>
      </w:r>
      <w:r>
        <w:rPr>
          <w:rFonts w:hint="eastAsia" w:ascii="宋体" w:hAnsi="宋体" w:eastAsia="宋体" w:cs="宋体"/>
          <w:sz w:val="28"/>
          <w:szCs w:val="28"/>
        </w:rPr>
        <w:t>、投标文件</w:t>
      </w:r>
      <w:bookmarkEnd w:id="3"/>
    </w:p>
    <w:p>
      <w:pPr>
        <w:spacing w:line="360" w:lineRule="auto"/>
        <w:ind w:firstLine="482" w:firstLineChars="200"/>
        <w:rPr>
          <w:rFonts w:hint="eastAsia" w:ascii="宋体" w:hAnsi="宋体"/>
          <w:b/>
          <w:bCs/>
          <w:sz w:val="24"/>
        </w:rPr>
      </w:pPr>
      <w:bookmarkStart w:id="4" w:name="_Toc212369512"/>
      <w:bookmarkStart w:id="5" w:name="_Toc92678113"/>
      <w:r>
        <w:rPr>
          <w:rFonts w:hint="eastAsia" w:ascii="宋体" w:hAnsi="宋体"/>
          <w:b/>
          <w:bCs/>
          <w:sz w:val="24"/>
          <w:lang w:val="en-US" w:eastAsia="zh-CN"/>
        </w:rPr>
        <w:t>1</w:t>
      </w:r>
      <w:r>
        <w:rPr>
          <w:rFonts w:hint="eastAsia" w:ascii="宋体" w:hAnsi="宋体"/>
          <w:b/>
          <w:bCs/>
          <w:sz w:val="24"/>
        </w:rPr>
        <w:t>、投标报价语言及计量单位</w:t>
      </w:r>
      <w:bookmarkEnd w:id="4"/>
      <w:bookmarkEnd w:id="5"/>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.1投标文件和与投标有关的所有文件均应使用中文。</w:t>
      </w:r>
    </w:p>
    <w:p>
      <w:pPr>
        <w:pStyle w:val="13"/>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.2 除投标文件的技术规格中另有规定外，投标文件中所使用的计量单位应为中华人民共和国法定计量单位。</w:t>
      </w:r>
    </w:p>
    <w:p>
      <w:pPr>
        <w:spacing w:line="360" w:lineRule="auto"/>
        <w:ind w:firstLine="482" w:firstLineChars="200"/>
        <w:rPr>
          <w:rFonts w:hint="eastAsia" w:ascii="宋体" w:hAnsi="宋体"/>
          <w:b/>
          <w:bCs/>
          <w:sz w:val="24"/>
        </w:rPr>
      </w:pPr>
      <w:bookmarkStart w:id="6" w:name="_Toc92678114"/>
      <w:bookmarkStart w:id="7" w:name="_Toc212369513"/>
      <w:r>
        <w:rPr>
          <w:rFonts w:hint="eastAsia" w:ascii="宋体" w:hAnsi="宋体"/>
          <w:b/>
          <w:bCs/>
          <w:sz w:val="24"/>
          <w:lang w:val="en-US" w:eastAsia="zh-CN"/>
        </w:rPr>
        <w:t>2</w:t>
      </w:r>
      <w:r>
        <w:rPr>
          <w:rFonts w:hint="eastAsia" w:ascii="宋体" w:hAnsi="宋体"/>
          <w:b/>
          <w:bCs/>
          <w:sz w:val="24"/>
        </w:rPr>
        <w:t>、投标文件组成</w:t>
      </w:r>
      <w:bookmarkEnd w:id="6"/>
      <w:bookmarkEnd w:id="7"/>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投标人的投标文件由资格证明文件、投标文件商务部分、投标文件技术部分、开标一览表、投标保证金共五部分构成。</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注1：招标文件给定格式的按给定的格式填写，未给定格式的，由投标人自行编制，但需包含以下内容。</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注2：以下需（可）提供的招标文件均需加盖公章。</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bookmarkStart w:id="8" w:name="_Toc212369516"/>
      <w:r>
        <w:rPr>
          <w:rFonts w:hint="eastAsia" w:cs="仿宋" w:asciiTheme="minorEastAsia" w:hAnsiTheme="minorEastAsia" w:eastAsiaTheme="minorEastAsia"/>
          <w:sz w:val="24"/>
          <w:szCs w:val="24"/>
          <w:lang w:val="en-US" w:eastAsia="zh-CN"/>
        </w:rPr>
        <w:t>2.1资格证明文件包括</w:t>
      </w:r>
      <w:bookmarkEnd w:id="8"/>
      <w:r>
        <w:rPr>
          <w:rFonts w:hint="eastAsia" w:cs="仿宋" w:asciiTheme="minorEastAsia" w:hAnsiTheme="minorEastAsia" w:eastAsiaTheme="minorEastAsia"/>
          <w:sz w:val="24"/>
          <w:szCs w:val="24"/>
          <w:lang w:val="en-US" w:eastAsia="zh-CN"/>
        </w:rPr>
        <w:t>（正本一份一并封装）：</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（1）营业执照复印件；</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（2）法定代表人（或负责人）授权委托书和被授权人身份证复印件；</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（3）投标人基本情况表；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（4）产品鉴定证书复印件（如果有）；</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（5）质量体系认证证书复印件（如果有）；</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（6）环境管理体系认证证书复印件（如果有）；</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（7）职业健康安全管理体系认证证书复印件（如果有）；</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（8）有效期内的生产许可证复印件（实行生产许可制度的企业提供）；</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（9）产品和主要元器件“CCC”认证证书复印件（如果有）；</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（10）产品的检测、检验报告复印件（如果有，权威部门出具）；</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（11）投标人认为对其投标有利的其他资料；</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（12）法律法规对合格投标人的其他要求、规定。</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bookmarkStart w:id="9" w:name="_Toc212369514"/>
      <w:r>
        <w:rPr>
          <w:rFonts w:hint="eastAsia" w:cs="仿宋" w:asciiTheme="minorEastAsia" w:hAnsiTheme="minorEastAsia" w:eastAsiaTheme="minorEastAsia"/>
          <w:sz w:val="24"/>
          <w:szCs w:val="24"/>
          <w:lang w:val="en-US" w:eastAsia="zh-CN"/>
        </w:rPr>
        <w:t>2.2商务部分文件包括</w:t>
      </w:r>
      <w:bookmarkEnd w:id="9"/>
      <w:r>
        <w:rPr>
          <w:rFonts w:hint="eastAsia" w:cs="仿宋" w:asciiTheme="minorEastAsia" w:hAnsiTheme="minorEastAsia" w:eastAsiaTheme="minorEastAsia"/>
          <w:sz w:val="24"/>
          <w:szCs w:val="24"/>
          <w:lang w:val="en-US" w:eastAsia="zh-CN"/>
        </w:rPr>
        <w:t>（一式三份，其中正本一份，副本两份；三份一并封装）：</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投标函；</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投标报价明细表，按以下规格分别形成投标报价明细：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不包含以下商务条款的商务条款偏离表：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项目验收通过后开具增值税专用发票；经招标方审核确认后挂账。</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支付方式：银行承兑。招标人在收到投标人开具发票30日内付款。</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经营业绩一览表；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服务承诺函；</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对本项目招标文件、招标文本的澄清/答疑/修改及“合同条款”的认同及优惠条件说明；</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按招标文件投标人须知和技术规格书中要求提供的有关文件。</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bookmarkStart w:id="10" w:name="_Toc212369515"/>
      <w:r>
        <w:rPr>
          <w:rFonts w:hint="eastAsia" w:cs="仿宋" w:asciiTheme="minorEastAsia" w:hAnsiTheme="minorEastAsia" w:eastAsiaTheme="minorEastAsia"/>
          <w:sz w:val="24"/>
          <w:szCs w:val="24"/>
          <w:lang w:val="en-US" w:eastAsia="zh-CN"/>
        </w:rPr>
        <w:t>2.3技术部分</w:t>
      </w:r>
      <w:bookmarkEnd w:id="10"/>
      <w:r>
        <w:rPr>
          <w:rFonts w:hint="eastAsia" w:cs="仿宋" w:asciiTheme="minorEastAsia" w:hAnsiTheme="minorEastAsia" w:eastAsiaTheme="minorEastAsia"/>
          <w:sz w:val="24"/>
          <w:szCs w:val="24"/>
          <w:lang w:val="en-US" w:eastAsia="zh-CN"/>
        </w:rPr>
        <w:t>文件包括（一式三份，其中正本一份，副本两份；三份一并封装）：</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为提高评标效率，请投标人按照技术部分所列的资料清单内容及顺序编制技术部分投标</w:t>
      </w:r>
      <w:r>
        <w:rPr>
          <w:rFonts w:hint="eastAsia" w:ascii="宋体" w:hAnsi="宋体" w:cs="Times New Roman"/>
          <w:bCs/>
          <w:sz w:val="24"/>
          <w:szCs w:val="22"/>
        </w:rPr>
        <w:t>文件，如投标人未按照以下内容及顺序编制投标文件技术部分，可能会影响技术部分得分，请各</w:t>
      </w:r>
      <w:r>
        <w:rPr>
          <w:rFonts w:hint="eastAsia" w:cs="仿宋" w:asciiTheme="minorEastAsia" w:hAnsiTheme="minorEastAsia" w:eastAsiaTheme="minorEastAsia"/>
          <w:sz w:val="24"/>
          <w:szCs w:val="24"/>
          <w:lang w:val="en-US" w:eastAsia="zh-CN"/>
        </w:rPr>
        <w:t>投标单位务必注意。</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（1）技术规格偏离表；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（2）维保流程方案：方案的合理性、实施的安全性、配置的合理性；</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（3）投标单位针对本次项目提出合理化建议；</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2.4开标一览表（一式三份，三份一并封装）</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开标一览表为在开标仪式上唱标的内容，要求按格式填写、统一规范，不得自行增减内容。开标一览表总报价是各投标报价明细表价格的总和。</w:t>
      </w:r>
    </w:p>
    <w:p>
      <w:pPr>
        <w:spacing w:line="360" w:lineRule="auto"/>
        <w:ind w:firstLine="482" w:firstLineChars="200"/>
        <w:rPr>
          <w:rFonts w:ascii="宋体" w:hAnsi="宋体"/>
          <w:b/>
          <w:bCs/>
          <w:color w:val="auto"/>
          <w:sz w:val="24"/>
        </w:rPr>
      </w:pPr>
      <w:r>
        <w:rPr>
          <w:rFonts w:hint="eastAsia" w:ascii="宋体" w:hAnsi="宋体"/>
          <w:b/>
          <w:bCs/>
          <w:color w:val="auto"/>
          <w:sz w:val="24"/>
          <w:lang w:val="en-US" w:eastAsia="zh-CN"/>
        </w:rPr>
        <w:t>3</w:t>
      </w:r>
      <w:r>
        <w:rPr>
          <w:rFonts w:hint="eastAsia" w:ascii="宋体" w:hAnsi="宋体"/>
          <w:b/>
          <w:bCs/>
          <w:color w:val="auto"/>
          <w:sz w:val="24"/>
        </w:rPr>
        <w:t>、投标文件的装订、密封和标记</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3.1投标文件的装订：</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投标人必须将投标文件按照投标文件组成的顺序分别装订成册，并在首页编制“投标文件目录”。</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3.2投标文件的密封、标记：</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投标人应将投标文件的资质标一份一并密封、技术标三份一并密封、商务标三份一并密封、开标一览表三份一并密封，并在封面明显处注明以下内容：</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项目编号、项目名称；</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投标文件资质标、技术标、商务标、开标一览表；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投标人名称（加盖公章）、地址、邮编、电话、传真；</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每一密封件在封口处注明“于    年   月   日   时   分之前不准启封”字样。</w:t>
      </w:r>
    </w:p>
    <w:p>
      <w:pPr>
        <w:spacing w:line="360" w:lineRule="auto"/>
        <w:ind w:firstLine="482" w:firstLineChars="200"/>
        <w:rPr>
          <w:rFonts w:hint="eastAsia" w:ascii="宋体" w:hAnsi="宋体"/>
          <w:b/>
          <w:bCs/>
          <w:sz w:val="24"/>
        </w:rPr>
      </w:pPr>
      <w:bookmarkStart w:id="11" w:name="_Toc212369519"/>
      <w:r>
        <w:rPr>
          <w:rFonts w:hint="eastAsia" w:ascii="宋体" w:hAnsi="宋体"/>
          <w:b/>
          <w:bCs/>
          <w:sz w:val="24"/>
          <w:lang w:val="en-US" w:eastAsia="zh-CN"/>
        </w:rPr>
        <w:t>4</w:t>
      </w:r>
      <w:r>
        <w:rPr>
          <w:rFonts w:hint="eastAsia" w:ascii="宋体" w:hAnsi="宋体"/>
          <w:b/>
          <w:bCs/>
          <w:sz w:val="24"/>
        </w:rPr>
        <w:t>、投标报价</w:t>
      </w:r>
      <w:bookmarkEnd w:id="11"/>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4.1投标报价包括：全部（全新）消耗物品价、专用工具价、运杂费（包括现场卸车费）、人工工资、验收、服务费、资料费、税费等所有费用的总和。所有投标均以人民币报价。</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bookmarkStart w:id="12" w:name="_Toc352332865"/>
      <w:bookmarkStart w:id="13" w:name="_Toc346306744"/>
      <w:bookmarkStart w:id="14" w:name="_Toc346372891"/>
      <w:r>
        <w:rPr>
          <w:rFonts w:hint="eastAsia" w:cs="仿宋" w:asciiTheme="minorEastAsia" w:hAnsiTheme="minorEastAsia" w:eastAsiaTheme="minorEastAsia"/>
          <w:sz w:val="24"/>
          <w:szCs w:val="24"/>
          <w:lang w:val="en-US" w:eastAsia="zh-CN"/>
        </w:rPr>
        <w:t>4.2投标人要按投标规格名称、投标报价明细表（统一格式）的内容填写产品单价、总价及其他事项，并由法人代表或授权代表签署。</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4.3对于非标准货物的投标，还应填分解报价表（分解报价表格式由投标人自行设计）。</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4.4投标人如需用外汇购入某些投标货物，须折合人民币计入总报价中。</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4.5招标人不接受任何选择报价，对每一种货物只允许一个报价。</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4.6 “开标一览表”与投标文件正本不符，以“开标一览表”为准。</w:t>
      </w:r>
    </w:p>
    <w:p>
      <w:pPr>
        <w:pStyle w:val="13"/>
        <w:spacing w:line="360" w:lineRule="auto"/>
        <w:ind w:firstLine="480" w:firstLineChars="200"/>
        <w:rPr>
          <w:rFonts w:hint="eastAsia" w:ascii="宋体" w:hAnsi="宋体" w:cs="宋体"/>
          <w:sz w:val="24"/>
          <w:szCs w:val="22"/>
          <w:lang w:val="en-US" w:eastAsia="zh-CN"/>
        </w:rPr>
      </w:pPr>
      <w:r>
        <w:rPr>
          <w:rFonts w:hint="eastAsia" w:cs="仿宋" w:asciiTheme="minorEastAsia" w:hAnsiTheme="minorEastAsia" w:eastAsiaTheme="minorEastAsia"/>
          <w:sz w:val="24"/>
          <w:szCs w:val="24"/>
          <w:lang w:val="en-US" w:eastAsia="zh-CN"/>
        </w:rPr>
        <w:t>4.7投标人须提供分项单价和报价总价，如果单价和总价不符，以单价为准，并根据单价修正总价。评标委员会认为单价有明显的小数点错误，应以标出的总价为准，并修改单</w:t>
      </w:r>
      <w:r>
        <w:rPr>
          <w:rFonts w:hint="eastAsia" w:ascii="宋体" w:hAnsi="宋体" w:cs="宋体"/>
          <w:sz w:val="24"/>
          <w:szCs w:val="22"/>
          <w:lang w:val="en-US" w:eastAsia="zh-CN"/>
        </w:rPr>
        <w:t>价。</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4.8如果大写的金额和小写的金额不一致时，以大写的金额为准。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4.9投标人免费提供的项目，应先填写该项目的实际价格，并注明免费。此项不计入总报价。</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4.10最低报价不能作为中标的保证。</w:t>
      </w:r>
    </w:p>
    <w:p>
      <w:pPr>
        <w:spacing w:line="360" w:lineRule="auto"/>
        <w:ind w:firstLine="482" w:firstLineChars="200"/>
        <w:rPr>
          <w:rFonts w:hint="eastAsia" w:ascii="宋体" w:hAnsi="宋体"/>
          <w:b/>
          <w:bCs/>
          <w:sz w:val="24"/>
          <w:szCs w:val="22"/>
        </w:rPr>
      </w:pPr>
      <w:r>
        <w:rPr>
          <w:rFonts w:hint="eastAsia" w:ascii="宋体" w:hAnsi="宋体"/>
          <w:b/>
          <w:bCs/>
          <w:sz w:val="24"/>
          <w:szCs w:val="22"/>
          <w:lang w:val="en-US" w:eastAsia="zh-CN"/>
        </w:rPr>
        <w:t>5</w:t>
      </w:r>
      <w:r>
        <w:rPr>
          <w:rFonts w:hint="eastAsia" w:ascii="宋体" w:hAnsi="宋体"/>
          <w:b/>
          <w:bCs/>
          <w:sz w:val="24"/>
          <w:szCs w:val="22"/>
        </w:rPr>
        <w:t>、投标文件签署</w:t>
      </w:r>
      <w:bookmarkEnd w:id="12"/>
      <w:bookmarkEnd w:id="13"/>
      <w:bookmarkEnd w:id="14"/>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5.1投标文件应加盖投标人单位公章（不得使用其他形式如带有“专用章”等字样的印章）并经法定代表人（或负责人）或其委托代理人签字。</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5.2本招标文件提供的投标文件式中，标注有盖公章、签字之处，应有投标人的盖章、委托代理人的签字或法定代表人（或负责人）的签字。</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5.3投标单位法人或委托代理人亲自签署。由委托代理人签字的投标资格证明文件中须附授权委托书。</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5.4签字须使用黑色或蓝色不可退色签字笔。</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注：投标人代表必须按招标文件的规定签署投标文件（正本、副本及各附件）。</w:t>
      </w:r>
    </w:p>
    <w:p>
      <w:pPr>
        <w:spacing w:line="360" w:lineRule="auto"/>
        <w:ind w:firstLine="482" w:firstLineChars="200"/>
        <w:rPr>
          <w:rFonts w:hint="eastAsia" w:ascii="宋体" w:hAnsi="宋体"/>
          <w:b/>
          <w:bCs/>
          <w:sz w:val="24"/>
          <w:szCs w:val="22"/>
        </w:rPr>
      </w:pPr>
      <w:bookmarkStart w:id="15" w:name="_Toc346372893"/>
      <w:bookmarkStart w:id="16" w:name="_Toc346306746"/>
      <w:bookmarkStart w:id="17" w:name="_Toc352332867"/>
      <w:r>
        <w:rPr>
          <w:rFonts w:hint="eastAsia" w:ascii="宋体" w:hAnsi="宋体"/>
          <w:b/>
          <w:bCs/>
          <w:sz w:val="24"/>
          <w:szCs w:val="22"/>
          <w:lang w:val="en-US" w:eastAsia="zh-CN"/>
        </w:rPr>
        <w:t>6</w:t>
      </w:r>
      <w:r>
        <w:rPr>
          <w:rFonts w:hint="eastAsia" w:ascii="宋体" w:hAnsi="宋体"/>
          <w:b/>
          <w:bCs/>
          <w:sz w:val="24"/>
          <w:szCs w:val="22"/>
        </w:rPr>
        <w:t>、投标保证金</w:t>
      </w:r>
      <w:bookmarkEnd w:id="15"/>
      <w:bookmarkEnd w:id="16"/>
      <w:bookmarkEnd w:id="17"/>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投标人应按以下方式提交投标保证金，作为其投标文件的一部分。未按本招标文件规定提交投标保证金的，按无效投标处理。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6.1投标保证金提交方式及时间</w:t>
      </w:r>
    </w:p>
    <w:p>
      <w:pPr>
        <w:pStyle w:val="13"/>
        <w:spacing w:line="360" w:lineRule="auto"/>
        <w:ind w:firstLine="480" w:firstLineChars="200"/>
        <w:rPr>
          <w:rFonts w:hint="eastAsia" w:cs="仿宋" w:asciiTheme="minorEastAsia" w:hAnsiTheme="minorEastAsia" w:eastAsiaTheme="minorEastAsia"/>
          <w:sz w:val="24"/>
          <w:szCs w:val="24"/>
          <w:highlight w:val="none"/>
          <w:u w:val="single"/>
          <w:lang w:val="en-US" w:eastAsia="zh-CN"/>
        </w:rPr>
      </w:pPr>
      <w:r>
        <w:rPr>
          <w:rFonts w:hint="eastAsia" w:cs="仿宋" w:asciiTheme="minorEastAsia" w:hAnsiTheme="minorEastAsia" w:eastAsiaTheme="minorEastAsia"/>
          <w:sz w:val="24"/>
          <w:szCs w:val="24"/>
          <w:highlight w:val="none"/>
          <w:u w:val="single"/>
          <w:lang w:val="en-US" w:eastAsia="zh-CN"/>
        </w:rPr>
        <w:t>投标保证金的形式：电汇（备注“重汽英雄山159-1号社区供电改造项目”）；</w:t>
      </w:r>
    </w:p>
    <w:p>
      <w:pPr>
        <w:pStyle w:val="13"/>
        <w:spacing w:line="360" w:lineRule="auto"/>
        <w:ind w:firstLine="480" w:firstLineChars="200"/>
        <w:rPr>
          <w:rFonts w:hint="eastAsia" w:cs="仿宋" w:asciiTheme="minorEastAsia" w:hAnsiTheme="minorEastAsia" w:eastAsiaTheme="minorEastAsia"/>
          <w:sz w:val="24"/>
          <w:szCs w:val="24"/>
          <w:highlight w:val="none"/>
          <w:u w:val="single"/>
          <w:lang w:val="en-US" w:eastAsia="zh-CN"/>
        </w:rPr>
      </w:pPr>
      <w:r>
        <w:rPr>
          <w:rFonts w:hint="eastAsia" w:cs="仿宋" w:asciiTheme="minorEastAsia" w:hAnsiTheme="minorEastAsia" w:eastAsiaTheme="minorEastAsia"/>
          <w:sz w:val="24"/>
          <w:szCs w:val="24"/>
          <w:highlight w:val="none"/>
          <w:u w:val="single"/>
          <w:lang w:val="en-US" w:eastAsia="zh-CN"/>
        </w:rPr>
        <w:t>投标保证金的金额：5000元；</w:t>
      </w:r>
    </w:p>
    <w:p>
      <w:pPr>
        <w:pStyle w:val="13"/>
        <w:spacing w:line="360" w:lineRule="auto"/>
        <w:ind w:firstLine="480" w:firstLineChars="200"/>
        <w:rPr>
          <w:rFonts w:hint="eastAsia" w:cs="仿宋" w:asciiTheme="minorEastAsia" w:hAnsiTheme="minorEastAsia" w:eastAsiaTheme="minorEastAsia"/>
          <w:sz w:val="24"/>
          <w:szCs w:val="24"/>
          <w:highlight w:val="none"/>
          <w:u w:val="single"/>
          <w:lang w:val="en-US" w:eastAsia="zh-CN"/>
        </w:rPr>
      </w:pPr>
      <w:r>
        <w:rPr>
          <w:rFonts w:hint="eastAsia" w:cs="仿宋" w:asciiTheme="minorEastAsia" w:hAnsiTheme="minorEastAsia" w:eastAsiaTheme="minorEastAsia"/>
          <w:sz w:val="24"/>
          <w:szCs w:val="24"/>
          <w:highlight w:val="none"/>
          <w:u w:val="single"/>
          <w:lang w:val="en-US" w:eastAsia="zh-CN"/>
        </w:rPr>
        <w:t>保证金递交时间：2021年12月3日9时00分 至12月15日17时00分</w:t>
      </w:r>
    </w:p>
    <w:p>
      <w:pPr>
        <w:pStyle w:val="13"/>
        <w:spacing w:line="360" w:lineRule="auto"/>
        <w:ind w:firstLine="480" w:firstLineChars="200"/>
        <w:rPr>
          <w:rFonts w:hint="eastAsia" w:cs="仿宋" w:asciiTheme="minorEastAsia" w:hAnsiTheme="minorEastAsia" w:eastAsiaTheme="minorEastAsia"/>
          <w:sz w:val="24"/>
          <w:szCs w:val="24"/>
          <w:highlight w:val="none"/>
          <w:u w:val="single"/>
          <w:lang w:val="en-US" w:eastAsia="zh-CN"/>
        </w:rPr>
      </w:pPr>
      <w:r>
        <w:rPr>
          <w:rFonts w:hint="eastAsia" w:cs="仿宋" w:asciiTheme="minorEastAsia" w:hAnsiTheme="minorEastAsia" w:eastAsiaTheme="minorEastAsia"/>
          <w:sz w:val="24"/>
          <w:szCs w:val="24"/>
          <w:highlight w:val="none"/>
          <w:u w:val="single"/>
          <w:lang w:val="en-US" w:eastAsia="zh-CN"/>
        </w:rPr>
        <w:t>投标保证金交至中国重型汽车集团有限公司财务部账户：</w:t>
      </w:r>
    </w:p>
    <w:p>
      <w:pPr>
        <w:pStyle w:val="13"/>
        <w:spacing w:line="360" w:lineRule="auto"/>
        <w:ind w:firstLine="482" w:firstLineChars="200"/>
        <w:rPr>
          <w:rFonts w:hint="eastAsia" w:ascii="宋体" w:hAnsi="宋体" w:cs="Times New Roman"/>
          <w:b/>
          <w:bCs/>
          <w:sz w:val="24"/>
          <w:szCs w:val="22"/>
          <w:highlight w:val="none"/>
          <w:u w:val="single"/>
          <w:lang w:val="en-US" w:eastAsia="zh-CN"/>
        </w:rPr>
      </w:pPr>
      <w:r>
        <w:rPr>
          <w:rFonts w:hint="eastAsia" w:ascii="宋体" w:hAnsi="宋体" w:cs="Times New Roman"/>
          <w:b/>
          <w:bCs/>
          <w:sz w:val="24"/>
          <w:szCs w:val="22"/>
          <w:highlight w:val="none"/>
          <w:u w:val="single"/>
          <w:lang w:val="en-US" w:eastAsia="zh-CN"/>
        </w:rPr>
        <w:t>名 称：中国重型汽车集团有限公司</w:t>
      </w:r>
    </w:p>
    <w:p>
      <w:pPr>
        <w:pStyle w:val="13"/>
        <w:spacing w:line="360" w:lineRule="auto"/>
        <w:ind w:firstLine="482" w:firstLineChars="200"/>
        <w:rPr>
          <w:rFonts w:hint="eastAsia" w:ascii="宋体" w:hAnsi="宋体" w:cs="Times New Roman"/>
          <w:b/>
          <w:bCs/>
          <w:sz w:val="24"/>
          <w:szCs w:val="22"/>
          <w:highlight w:val="none"/>
          <w:u w:val="single"/>
          <w:lang w:val="en-US" w:eastAsia="zh-CN"/>
        </w:rPr>
      </w:pPr>
      <w:r>
        <w:rPr>
          <w:rFonts w:hint="eastAsia" w:ascii="宋体" w:hAnsi="宋体" w:cs="Times New Roman"/>
          <w:b/>
          <w:bCs/>
          <w:sz w:val="24"/>
          <w:szCs w:val="22"/>
          <w:highlight w:val="none"/>
          <w:u w:val="single"/>
          <w:lang w:val="en-US" w:eastAsia="zh-CN"/>
        </w:rPr>
        <w:t>开户行：中国建设银行济南天桥支行</w:t>
      </w:r>
    </w:p>
    <w:p>
      <w:pPr>
        <w:pStyle w:val="13"/>
        <w:spacing w:line="360" w:lineRule="auto"/>
        <w:ind w:firstLine="482" w:firstLineChars="200"/>
        <w:rPr>
          <w:rFonts w:hint="eastAsia" w:ascii="宋体" w:hAnsi="宋体" w:cs="Times New Roman"/>
          <w:b/>
          <w:bCs/>
          <w:sz w:val="24"/>
          <w:szCs w:val="22"/>
          <w:highlight w:val="none"/>
          <w:u w:val="single"/>
          <w:lang w:val="en-US" w:eastAsia="zh-CN"/>
        </w:rPr>
      </w:pPr>
      <w:r>
        <w:rPr>
          <w:rFonts w:hint="eastAsia" w:ascii="宋体" w:hAnsi="宋体" w:cs="Times New Roman"/>
          <w:b/>
          <w:bCs/>
          <w:sz w:val="24"/>
          <w:szCs w:val="22"/>
          <w:highlight w:val="none"/>
          <w:u w:val="single"/>
          <w:lang w:val="en-US" w:eastAsia="zh-CN"/>
        </w:rPr>
        <w:t>账 号：37001616508050004988</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6.2如投标人有下列情况，投标保证金不予退还，招标人有权依法向其提出索赔，投标人应当赔偿因此给招标人造成的全部损失：</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（1）截至开标前3天，投标方无正当理由、未书面形式传递说明而在投标截止日不来投标的；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（2）投标方传递文件后，无正当理由放弃投标的；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（3）自中标（成交）通知书发出之日起30天内，中标（成交）人无正当理由不签订合同的；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（4）投标过程中被查实有串标、围标、陪标，采取不正当手段诋毁、排挤其他投标人等违规违法行为的；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（5）投标人有违约违规行为或被投诉、举报的，在调查处理期间，保证金暂不退还，待调查处理结束后按有关规定处理；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（6）投标人在投标文件中提供虚假材料的；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（7）开标后，投标人在投标有效期内撤回谈判的；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（8）法律法规和招标文件规定的其他情形。</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6.3保证金的退还：</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（1）未中标（成交）人的保证金，在中标通知书发出后5个工作日内退还；</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（2）中标（成交）人的保证金在签订合同后5个工作日内予以退还。</w:t>
      </w:r>
    </w:p>
    <w:p>
      <w:pPr>
        <w:spacing w:line="360" w:lineRule="auto"/>
        <w:ind w:firstLine="482" w:firstLineChars="200"/>
        <w:rPr>
          <w:rFonts w:hint="eastAsia" w:ascii="宋体" w:hAnsi="宋体"/>
          <w:b/>
          <w:bCs/>
          <w:sz w:val="24"/>
          <w:szCs w:val="22"/>
        </w:rPr>
      </w:pPr>
      <w:bookmarkStart w:id="18" w:name="_Toc346306747"/>
      <w:bookmarkStart w:id="19" w:name="_Toc346372894"/>
      <w:bookmarkStart w:id="20" w:name="_Toc352332868"/>
      <w:r>
        <w:rPr>
          <w:rFonts w:hint="eastAsia" w:ascii="宋体" w:hAnsi="宋体"/>
          <w:b/>
          <w:bCs/>
          <w:sz w:val="24"/>
          <w:szCs w:val="22"/>
          <w:lang w:val="en-US" w:eastAsia="zh-CN"/>
        </w:rPr>
        <w:t>7</w:t>
      </w:r>
      <w:r>
        <w:rPr>
          <w:rFonts w:hint="eastAsia" w:ascii="宋体" w:hAnsi="宋体"/>
          <w:b/>
          <w:bCs/>
          <w:sz w:val="24"/>
          <w:szCs w:val="22"/>
        </w:rPr>
        <w:t>、投标有效期</w:t>
      </w:r>
      <w:bookmarkEnd w:id="18"/>
      <w:bookmarkEnd w:id="19"/>
      <w:bookmarkEnd w:id="20"/>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7.1本项目投标有效期：自开标之日起 30 个日历天。</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注：投标函的有效期比本须知规定的有效期短的，将被视为非响应性投标，该投标文件按无效投标处理。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p>
    <w:p>
      <w:pPr>
        <w:pStyle w:val="4"/>
        <w:spacing w:before="120" w:after="120" w:line="360" w:lineRule="auto"/>
        <w:ind w:firstLine="602" w:firstLineChars="214"/>
        <w:jc w:val="left"/>
        <w:rPr>
          <w:rFonts w:ascii="宋体" w:hAnsi="宋体" w:eastAsia="宋体" w:cs="宋体"/>
          <w:sz w:val="28"/>
          <w:szCs w:val="28"/>
        </w:rPr>
      </w:pPr>
      <w:bookmarkStart w:id="21" w:name="_Toc48665527"/>
      <w:r>
        <w:rPr>
          <w:rFonts w:hint="eastAsia" w:ascii="宋体" w:hAnsi="宋体" w:eastAsia="宋体" w:cs="宋体"/>
          <w:sz w:val="28"/>
          <w:szCs w:val="28"/>
          <w:lang w:val="en-US" w:eastAsia="zh-CN"/>
        </w:rPr>
        <w:t>二</w:t>
      </w:r>
      <w:r>
        <w:rPr>
          <w:rFonts w:hint="eastAsia" w:ascii="宋体" w:hAnsi="宋体" w:eastAsia="宋体" w:cs="宋体"/>
          <w:sz w:val="28"/>
          <w:szCs w:val="28"/>
        </w:rPr>
        <w:t>、投标文件递交</w:t>
      </w:r>
      <w:bookmarkEnd w:id="21"/>
    </w:p>
    <w:p>
      <w:pPr>
        <w:pStyle w:val="10"/>
        <w:tabs>
          <w:tab w:val="left" w:pos="955"/>
        </w:tabs>
        <w:spacing w:after="0" w:line="360" w:lineRule="auto"/>
        <w:ind w:left="1146" w:leftChars="273" w:hanging="573" w:hangingChars="238"/>
        <w:rPr>
          <w:rFonts w:hint="eastAsia" w:ascii="宋体" w:hAnsi="宋体" w:eastAsia="宋体" w:cs="宋体"/>
          <w:b/>
          <w:bCs/>
          <w:sz w:val="24"/>
          <w:szCs w:val="24"/>
        </w:rPr>
      </w:pPr>
      <w:bookmarkStart w:id="22" w:name="_Toc346306749"/>
      <w:bookmarkStart w:id="23" w:name="_Toc346372896"/>
      <w:bookmarkStart w:id="24" w:name="_Toc352332870"/>
      <w:r>
        <w:rPr>
          <w:rFonts w:hint="eastAsia" w:ascii="宋体" w:hAnsi="宋体" w:eastAsia="宋体" w:cs="宋体"/>
          <w:b/>
          <w:bCs/>
          <w:sz w:val="24"/>
          <w:szCs w:val="24"/>
          <w:lang w:val="en-US" w:eastAsia="zh-CN"/>
        </w:rPr>
        <w:t>8</w:t>
      </w:r>
      <w:r>
        <w:rPr>
          <w:rFonts w:hint="eastAsia" w:ascii="宋体" w:hAnsi="宋体" w:eastAsia="宋体" w:cs="宋体"/>
          <w:b/>
          <w:bCs/>
          <w:sz w:val="24"/>
          <w:szCs w:val="24"/>
        </w:rPr>
        <w:t>、投标文件递交时间和地点</w:t>
      </w:r>
      <w:bookmarkEnd w:id="22"/>
      <w:bookmarkEnd w:id="23"/>
      <w:bookmarkEnd w:id="24"/>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8.1投标文件（此处不含投标保证金）递交起止时间及地点</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 xml:space="preserve">（1）投标文件递交开始时间：2021年12月17日上午9：00（北京时间）；                  </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（2）投标文件递交截止时间：2021年12月17日上午9:30（北京时间）；</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（3）投标文件递交地点：济南市高新区华奥路777号，重汽科技大厦3215室</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8.2投标人代表必须在投标截止时间前将投标文件送达指定地点。如因招标文件的修</w:t>
      </w:r>
      <w:r>
        <w:rPr>
          <w:rFonts w:hint="eastAsia" w:ascii="宋体" w:hAnsi="宋体"/>
          <w:spacing w:val="4"/>
          <w:sz w:val="24"/>
        </w:rPr>
        <w:t>改推</w:t>
      </w:r>
      <w:r>
        <w:rPr>
          <w:rFonts w:hint="eastAsia" w:cs="仿宋" w:asciiTheme="minorEastAsia" w:hAnsiTheme="minorEastAsia" w:eastAsiaTheme="minorEastAsia"/>
          <w:sz w:val="24"/>
          <w:szCs w:val="24"/>
          <w:lang w:val="en-US" w:eastAsia="zh-CN"/>
        </w:rPr>
        <w:t>迟投标截止日期的，则按招标人另行通知规定的时间递交。</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8.3招标人不接收投标截止时间后送达的投标文件。</w:t>
      </w:r>
    </w:p>
    <w:p>
      <w:pPr>
        <w:pStyle w:val="10"/>
        <w:tabs>
          <w:tab w:val="left" w:pos="955"/>
        </w:tabs>
        <w:spacing w:after="0" w:line="360" w:lineRule="auto"/>
        <w:ind w:left="1146" w:leftChars="273" w:hanging="573" w:hangingChars="238"/>
        <w:rPr>
          <w:rFonts w:hint="eastAsia" w:ascii="宋体" w:hAnsi="宋体" w:eastAsia="宋体" w:cs="宋体"/>
          <w:b/>
          <w:bCs/>
          <w:color w:val="auto"/>
          <w:sz w:val="24"/>
          <w:szCs w:val="24"/>
        </w:rPr>
      </w:pPr>
      <w:bookmarkStart w:id="25" w:name="_Toc346306750"/>
      <w:bookmarkStart w:id="26" w:name="_Toc346372897"/>
      <w:bookmarkStart w:id="27" w:name="_Toc352332871"/>
      <w:r>
        <w:rPr>
          <w:rFonts w:hint="eastAsia" w:ascii="宋体" w:hAnsi="宋体" w:cs="宋体"/>
          <w:b/>
          <w:bCs/>
          <w:color w:val="auto"/>
          <w:sz w:val="24"/>
          <w:szCs w:val="24"/>
          <w:lang w:val="en-US" w:eastAsia="zh-CN"/>
        </w:rPr>
        <w:t>9</w:t>
      </w:r>
      <w:r>
        <w:rPr>
          <w:rFonts w:hint="eastAsia" w:ascii="宋体" w:hAnsi="宋体" w:cs="宋体"/>
          <w:b/>
          <w:bCs/>
          <w:color w:val="auto"/>
          <w:sz w:val="24"/>
          <w:szCs w:val="24"/>
        </w:rPr>
        <w:t>、</w:t>
      </w:r>
      <w:r>
        <w:rPr>
          <w:rFonts w:hint="eastAsia" w:ascii="宋体" w:hAnsi="宋体" w:eastAsia="宋体" w:cs="宋体"/>
          <w:b/>
          <w:bCs/>
          <w:color w:val="auto"/>
          <w:sz w:val="24"/>
          <w:szCs w:val="24"/>
        </w:rPr>
        <w:t>投标文件签收</w:t>
      </w:r>
      <w:bookmarkEnd w:id="25"/>
      <w:bookmarkEnd w:id="26"/>
      <w:bookmarkEnd w:id="27"/>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9.1本项目只接受现场递交书面形式的投标，其他形式的投标不予接收。</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9.2投标截止时间后对投标人已提交的投标文件不予退还。</w:t>
      </w:r>
      <w:bookmarkStart w:id="28" w:name="_Toc346306751"/>
      <w:bookmarkStart w:id="29" w:name="_Toc352332872"/>
      <w:bookmarkStart w:id="30" w:name="_Toc346372898"/>
    </w:p>
    <w:p>
      <w:pPr>
        <w:spacing w:line="360" w:lineRule="auto"/>
        <w:ind w:left="124" w:leftChars="59" w:firstLine="487" w:firstLineChars="202"/>
        <w:rPr>
          <w:rFonts w:ascii="宋体" w:hAnsi="宋体"/>
          <w:b/>
          <w:bCs/>
          <w:sz w:val="24"/>
          <w:szCs w:val="24"/>
        </w:rPr>
      </w:pPr>
      <w:r>
        <w:rPr>
          <w:rFonts w:ascii="宋体" w:hAnsi="宋体" w:cs="宋体"/>
          <w:b/>
          <w:bCs/>
          <w:sz w:val="24"/>
          <w:szCs w:val="24"/>
        </w:rPr>
        <w:t>1</w:t>
      </w:r>
      <w:r>
        <w:rPr>
          <w:rFonts w:hint="eastAsia" w:ascii="宋体" w:hAnsi="宋体" w:cs="宋体"/>
          <w:b/>
          <w:bCs/>
          <w:sz w:val="24"/>
          <w:szCs w:val="24"/>
          <w:lang w:val="en-US" w:eastAsia="zh-CN"/>
        </w:rPr>
        <w:t>0</w:t>
      </w:r>
      <w:r>
        <w:rPr>
          <w:rFonts w:hint="eastAsia" w:ascii="宋体" w:hAnsi="宋体" w:cs="宋体"/>
          <w:b/>
          <w:bCs/>
          <w:sz w:val="24"/>
          <w:szCs w:val="24"/>
        </w:rPr>
        <w:t>、投标文件修改与撤回</w:t>
      </w:r>
      <w:bookmarkEnd w:id="28"/>
      <w:bookmarkEnd w:id="29"/>
      <w:bookmarkEnd w:id="30"/>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10.1投标人在招标文件要求提交投标文件的截止时间前，可以修改或者撤回已提交的投标文件，按并书面形式通知招标人。</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注：该行为触碰投标保证金条款的，按投标保证金相关条款执行。</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10.3投标截止时间后不允许对投标文件做实质性修改。</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10.4投标有效期内不得撤回投标。</w:t>
      </w:r>
    </w:p>
    <w:p>
      <w:pPr>
        <w:spacing w:line="360" w:lineRule="auto"/>
        <w:ind w:left="124" w:leftChars="59" w:firstLine="487" w:firstLineChars="202"/>
        <w:rPr>
          <w:rFonts w:ascii="宋体" w:hAnsi="宋体" w:cs="宋体"/>
          <w:b/>
          <w:bCs/>
          <w:sz w:val="24"/>
          <w:szCs w:val="24"/>
        </w:rPr>
      </w:pPr>
      <w:bookmarkStart w:id="31" w:name="_Toc48665528"/>
      <w:r>
        <w:rPr>
          <w:rFonts w:hint="eastAsia" w:ascii="宋体" w:hAnsi="宋体" w:cs="宋体"/>
          <w:b/>
          <w:bCs/>
          <w:sz w:val="24"/>
          <w:szCs w:val="24"/>
          <w:lang w:val="en-US" w:eastAsia="zh-CN"/>
        </w:rPr>
        <w:t>三</w:t>
      </w:r>
      <w:r>
        <w:rPr>
          <w:rFonts w:hint="eastAsia" w:ascii="宋体" w:hAnsi="宋体" w:cs="宋体"/>
          <w:b/>
          <w:bCs/>
          <w:sz w:val="24"/>
          <w:szCs w:val="24"/>
        </w:rPr>
        <w:t>、开标与评标</w:t>
      </w:r>
      <w:bookmarkEnd w:id="31"/>
    </w:p>
    <w:p>
      <w:pPr>
        <w:spacing w:line="360" w:lineRule="auto"/>
        <w:ind w:left="124" w:leftChars="59" w:firstLine="487" w:firstLineChars="202"/>
        <w:rPr>
          <w:rFonts w:hint="eastAsia" w:ascii="宋体" w:hAnsi="宋体" w:cs="宋体"/>
          <w:b/>
          <w:bCs/>
          <w:sz w:val="24"/>
          <w:szCs w:val="24"/>
        </w:rPr>
      </w:pPr>
      <w:bookmarkStart w:id="32" w:name="_Toc212369527"/>
      <w:r>
        <w:rPr>
          <w:rFonts w:hint="eastAsia" w:ascii="宋体" w:hAnsi="宋体" w:cs="宋体"/>
          <w:b/>
          <w:bCs/>
          <w:sz w:val="24"/>
          <w:szCs w:val="24"/>
        </w:rPr>
        <w:t>1</w:t>
      </w:r>
      <w:r>
        <w:rPr>
          <w:rFonts w:hint="eastAsia" w:ascii="宋体" w:hAnsi="宋体" w:cs="宋体"/>
          <w:b/>
          <w:bCs/>
          <w:sz w:val="24"/>
          <w:szCs w:val="24"/>
          <w:lang w:val="en-US" w:eastAsia="zh-CN"/>
        </w:rPr>
        <w:t>1</w:t>
      </w:r>
      <w:r>
        <w:rPr>
          <w:rFonts w:hint="eastAsia" w:ascii="宋体" w:hAnsi="宋体" w:cs="宋体"/>
          <w:b/>
          <w:bCs/>
          <w:sz w:val="24"/>
          <w:szCs w:val="24"/>
        </w:rPr>
        <w:t>、开标</w:t>
      </w:r>
      <w:bookmarkEnd w:id="32"/>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11.1本次招标的开标、评标由招标人依法组织实施。</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11.2本项目开标时间和地点见投标人须知。开标会议由招标人组织并主持。招标人和各投标人派员参加开标会议。投标人未参加开标的，视同认可开标结果。</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11.3开标程序</w:t>
      </w:r>
      <w:bookmarkStart w:id="33" w:name="_Toc92678127"/>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（1）投标人、专家组人员签到。</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（2）宣布开标会议开始。</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（3）宣读评标纪律，并确认。</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（4）投标人或投标人推选的代表对投标文件密封情况进行检查（投标人未参加现场开标会议的，视同认可投标文件密封完好）。</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（5）经确认无误后，由工作人员当众拆封，拆启投标人资格证明文件进行核验，再拆启技术标书，商务标书、开标一览表暂时不拆启，由招标人指定专人保管。</w:t>
      </w:r>
    </w:p>
    <w:p>
      <w:pPr>
        <w:pStyle w:val="13"/>
        <w:spacing w:line="360" w:lineRule="auto"/>
        <w:ind w:firstLine="480" w:firstLineChars="200"/>
        <w:rPr>
          <w:rFonts w:hint="eastAsia" w:ascii="宋体" w:hAnsi="宋体"/>
          <w:spacing w:val="4"/>
          <w:sz w:val="24"/>
        </w:rPr>
      </w:pPr>
      <w:r>
        <w:rPr>
          <w:rFonts w:hint="eastAsia" w:cs="仿宋" w:asciiTheme="minorEastAsia" w:hAnsiTheme="minorEastAsia" w:eastAsiaTheme="minorEastAsia"/>
          <w:sz w:val="24"/>
          <w:szCs w:val="24"/>
          <w:lang w:val="en-US" w:eastAsia="zh-CN"/>
        </w:rPr>
        <w:t>（6）由评标专家组对所有投标方的技术方案进行综合评定和打分，确定进入商务标</w:t>
      </w:r>
      <w:r>
        <w:rPr>
          <w:rFonts w:hint="eastAsia" w:ascii="宋体" w:hAnsi="宋体"/>
          <w:spacing w:val="4"/>
          <w:sz w:val="24"/>
        </w:rPr>
        <w:t>评阶段的投标方。</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根据技术标评审结果，通知未进入商务标评标资格的投标方离场，商务投标书不可带走。经进入商务标的投标方对投标一览表、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（8）根据技术标及商务标综合得分，形成专家意见汇总，确定投标人排序及入围方。</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（9）招标人有权根据项目情况，采取多级评标模式，最终确定中标人。</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（10）投标前请各投标方按照招标文件要求对项目方案进行充分准备，投标单位已默认认可上述开标、评标过程，无异议。招标人无义务对未入围投标方及未中标方做任何解释。</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（11）开标结束后，招标方仍可组织对投标人的投标资格进行审查，评标委员会对投标人是否实质性响应招标文件要求进行符合性审查。</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12）对招标文件的实质性要求和条件做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做出澄清或说明，但不接受投标人主动提出的澄清和说明。</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11.4投标文件及评标过程出现（但不限于）下列情况之一的，由评标委员会评审后有权拒绝其投标或作无效投标处理：</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（1）超出经营范围投标的；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（2）不具备招标文件规定的资格条件及未按招标文件规定的要求提供资格证明文件的；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（3）无法定代表人（或负责人）签字或盖章的，签字人无法定代表人（或负责人）有效授权的，应加盖投标人公章而未盖章的，未按照招标文件要求密封的；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（4）投标人名称或组织结构与资格预审时不一致的；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（5）投标有效期不足的；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（6）同一投标人提交两个及以上投标报价的；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（7）投标报价不合理，低于成本的；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（8）重要内容或关键字迹模糊不清无法辨认的；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（9）其他未对招标文件实质性要求和条件做出响应的；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（10）不同投标人投标文件相互混装的；不同投标人投标文件中的项目相关人员出现同一人的；不同投标人的投标文件内容出现非正常一致的；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（11）故意哄抬价格或压价等其他恶意串通投标的；有损害招标方和用户利益的规定的。</w:t>
      </w:r>
    </w:p>
    <w:p>
      <w:pPr>
        <w:spacing w:line="360" w:lineRule="auto"/>
        <w:ind w:left="124" w:leftChars="59" w:firstLine="487" w:firstLineChars="202"/>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2</w:t>
      </w:r>
      <w:r>
        <w:rPr>
          <w:rFonts w:hint="eastAsia" w:ascii="宋体" w:hAnsi="宋体" w:cs="宋体"/>
          <w:b/>
          <w:bCs/>
          <w:sz w:val="24"/>
          <w:szCs w:val="24"/>
        </w:rPr>
        <w:t>、评标</w:t>
      </w:r>
      <w:bookmarkEnd w:id="33"/>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12.1评标委员会</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招标人将根据本项目的特点组建评标委员会，评标委员会负责对投标文件进行审查、质疑、评标，提出书面评标报告，并向招标人推荐中标候选人排序名单。</w:t>
      </w:r>
    </w:p>
    <w:p>
      <w:pPr>
        <w:spacing w:line="360" w:lineRule="auto"/>
        <w:ind w:left="124" w:leftChars="59" w:firstLine="487" w:firstLineChars="202"/>
        <w:rPr>
          <w:rFonts w:hint="eastAsia" w:ascii="宋体" w:hAnsi="宋体" w:cs="宋体"/>
          <w:b/>
          <w:bCs/>
          <w:sz w:val="24"/>
          <w:szCs w:val="24"/>
          <w:highlight w:val="none"/>
        </w:rPr>
      </w:pPr>
      <w:bookmarkStart w:id="34" w:name="_Toc92678128"/>
      <w:bookmarkStart w:id="35" w:name="_Toc212369528"/>
      <w:r>
        <w:rPr>
          <w:rFonts w:hint="eastAsia" w:ascii="宋体" w:hAnsi="宋体" w:cs="宋体"/>
          <w:b/>
          <w:bCs/>
          <w:sz w:val="24"/>
          <w:szCs w:val="24"/>
          <w:highlight w:val="none"/>
          <w:lang w:val="en-US" w:eastAsia="zh-CN"/>
        </w:rPr>
        <w:t>12.2</w:t>
      </w:r>
      <w:r>
        <w:rPr>
          <w:rFonts w:hint="eastAsia" w:ascii="宋体" w:hAnsi="宋体" w:cs="宋体"/>
          <w:b/>
          <w:bCs/>
          <w:sz w:val="24"/>
          <w:szCs w:val="24"/>
          <w:highlight w:val="none"/>
        </w:rPr>
        <w:t>评标原则</w:t>
      </w:r>
      <w:bookmarkEnd w:id="34"/>
      <w:bookmarkEnd w:id="35"/>
    </w:p>
    <w:p>
      <w:pPr>
        <w:pStyle w:val="13"/>
        <w:spacing w:line="360" w:lineRule="auto"/>
        <w:ind w:firstLine="480" w:firstLineChars="200"/>
        <w:rPr>
          <w:rFonts w:hint="eastAsia" w:cs="仿宋" w:asciiTheme="minorEastAsia" w:hAnsiTheme="minorEastAsia" w:eastAsiaTheme="minorEastAsia"/>
          <w:sz w:val="24"/>
          <w:szCs w:val="24"/>
          <w:lang w:val="en-US" w:eastAsia="zh-CN"/>
        </w:rPr>
      </w:pPr>
      <w:bookmarkStart w:id="36" w:name="_Toc212369529"/>
      <w:r>
        <w:rPr>
          <w:rFonts w:hint="eastAsia" w:cs="仿宋" w:asciiTheme="minorEastAsia" w:hAnsiTheme="minorEastAsia" w:eastAsiaTheme="minorEastAsia"/>
          <w:sz w:val="24"/>
          <w:szCs w:val="24"/>
          <w:lang w:val="en-US" w:eastAsia="zh-CN"/>
        </w:rPr>
        <w:t>“公平、公正、科学、择优”为本次评标的基本原则，评标委员会按照这一原则的要求，公正、平等地对待各投标人。同时，在评标过程中恪守以下原则：</w:t>
      </w:r>
      <w:bookmarkEnd w:id="36"/>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（1）客观性原则：评标委员会将严格按照招标文件要求的内容，对投标人的投标文件进行认真评审；评标委员会对投标文件的评审仅依据投标文件本身，而不依靠投标文件以外的任何因素；</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（2）统一性原则：评标委员会将按照统一的评标原则和评标办法，用同一标准进行评审。</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（3）独立性原则：评标工作在评标委员会内部独立进行，不受外界任何因素的干扰和影响。评标委员会成员对出具的评审意见承担个人责任。</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（4）保密性原则：招标人应当采取必要的措施，保证评标在严格保密的情况下进行。</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（5）综合性原则：评标委员会将综合分析、评审投标人的各项指标，而不以单项指标的优劣评定出中标人。</w:t>
      </w:r>
    </w:p>
    <w:p>
      <w:pPr>
        <w:spacing w:line="360" w:lineRule="auto"/>
        <w:ind w:left="124" w:leftChars="59" w:firstLine="487" w:firstLineChars="202"/>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12.3评审方法</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（1）开标顺序</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按照资质标、技术标、商务标顺序开标、评标。待前项标评完后再开后项标。</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（2）综合评审推荐中标人</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评标委员会采用“综合实力最强，投标人的社会信誉好，能够最大限度满足招标文件中规定的各项标准，并且投标报价合理”的方法依次对各投标人进行综合评审，并进行打分，形成推荐中标人。</w:t>
      </w:r>
    </w:p>
    <w:p>
      <w:pPr>
        <w:spacing w:line="360" w:lineRule="auto"/>
        <w:ind w:left="124" w:leftChars="59" w:firstLine="487" w:firstLineChars="202"/>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综合评审评分细则（满分100分）</w:t>
      </w:r>
    </w:p>
    <w:tbl>
      <w:tblPr>
        <w:tblStyle w:val="29"/>
        <w:tblpPr w:leftFromText="180" w:rightFromText="180" w:vertAnchor="text" w:horzAnchor="page" w:tblpX="1043" w:tblpY="427"/>
        <w:tblOverlap w:val="never"/>
        <w:tblW w:w="10024" w:type="dxa"/>
        <w:tblInd w:w="0" w:type="dxa"/>
        <w:tblLayout w:type="fixed"/>
        <w:tblCellMar>
          <w:top w:w="0" w:type="dxa"/>
          <w:left w:w="0" w:type="dxa"/>
          <w:bottom w:w="0" w:type="dxa"/>
          <w:right w:w="0" w:type="dxa"/>
        </w:tblCellMar>
      </w:tblPr>
      <w:tblGrid>
        <w:gridCol w:w="642"/>
        <w:gridCol w:w="1185"/>
        <w:gridCol w:w="7358"/>
        <w:gridCol w:w="839"/>
      </w:tblGrid>
      <w:tr>
        <w:tblPrEx>
          <w:tblCellMar>
            <w:top w:w="0" w:type="dxa"/>
            <w:left w:w="0" w:type="dxa"/>
            <w:bottom w:w="0" w:type="dxa"/>
            <w:right w:w="0" w:type="dxa"/>
          </w:tblCellMar>
        </w:tblPrEx>
        <w:tc>
          <w:tcPr>
            <w:tcW w:w="642"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分类</w:t>
            </w:r>
          </w:p>
        </w:tc>
        <w:tc>
          <w:tcPr>
            <w:tcW w:w="1185" w:type="dxa"/>
            <w:tcBorders>
              <w:top w:val="single" w:color="000000"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评分因素</w:t>
            </w:r>
          </w:p>
        </w:tc>
        <w:tc>
          <w:tcPr>
            <w:tcW w:w="7358" w:type="dxa"/>
            <w:tcBorders>
              <w:top w:val="single" w:color="000000" w:sz="4" w:space="0"/>
              <w:left w:val="single" w:color="000000" w:sz="4" w:space="0"/>
              <w:bottom w:val="single" w:color="000000" w:sz="4" w:space="0"/>
              <w:right w:val="single" w:color="000000" w:sz="4" w:space="0"/>
            </w:tcBorders>
            <w:vAlign w:val="center"/>
          </w:tcPr>
          <w:p>
            <w:pPr>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评分内容</w:t>
            </w:r>
            <w:r>
              <w:rPr>
                <w:rFonts w:hint="eastAsia" w:ascii="宋体" w:hAnsi="宋体" w:cs="Calibri"/>
                <w:bCs/>
                <w:sz w:val="24"/>
                <w:szCs w:val="24"/>
              </w:rPr>
              <w:t>(100分)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满分</w:t>
            </w:r>
          </w:p>
        </w:tc>
      </w:tr>
      <w:tr>
        <w:tblPrEx>
          <w:tblCellMar>
            <w:top w:w="0" w:type="dxa"/>
            <w:left w:w="0" w:type="dxa"/>
            <w:bottom w:w="0" w:type="dxa"/>
            <w:right w:w="0" w:type="dxa"/>
          </w:tblCellMar>
        </w:tblPrEx>
        <w:tc>
          <w:tcPr>
            <w:tcW w:w="642"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cs="Calibri"/>
                <w:bCs/>
                <w:sz w:val="24"/>
                <w:szCs w:val="24"/>
                <w:lang w:val="en-US" w:eastAsia="zh-CN"/>
              </w:rPr>
            </w:pPr>
          </w:p>
          <w:p>
            <w:pPr>
              <w:spacing w:line="340" w:lineRule="exact"/>
              <w:jc w:val="center"/>
              <w:rPr>
                <w:rFonts w:hint="eastAsia" w:ascii="宋体" w:hAnsi="宋体" w:cs="Calibri"/>
                <w:bCs/>
                <w:sz w:val="24"/>
                <w:szCs w:val="24"/>
              </w:rPr>
            </w:pPr>
            <w:r>
              <w:rPr>
                <w:rFonts w:hint="eastAsia" w:ascii="宋体" w:hAnsi="宋体" w:cs="Calibri"/>
                <w:bCs/>
                <w:sz w:val="24"/>
                <w:szCs w:val="24"/>
                <w:lang w:val="en-US" w:eastAsia="zh-CN"/>
              </w:rPr>
              <w:t>技术</w:t>
            </w:r>
            <w:r>
              <w:rPr>
                <w:rFonts w:hint="eastAsia" w:ascii="宋体" w:hAnsi="宋体" w:cs="Calibri"/>
                <w:bCs/>
                <w:sz w:val="24"/>
                <w:szCs w:val="24"/>
              </w:rPr>
              <w:t>部分</w:t>
            </w:r>
          </w:p>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25分</w:t>
            </w:r>
            <w:r>
              <w:rPr>
                <w:rFonts w:hint="eastAsia" w:asciiTheme="minorEastAsia" w:hAnsiTheme="minorEastAsia" w:eastAsiaTheme="minorEastAsia"/>
                <w:sz w:val="24"/>
                <w:szCs w:val="24"/>
                <w:lang w:eastAsia="zh-CN"/>
              </w:rPr>
              <w:t>）</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sz w:val="24"/>
                <w:szCs w:val="24"/>
                <w:lang w:val="en-US" w:eastAsia="zh-CN"/>
              </w:rPr>
            </w:pPr>
          </w:p>
          <w:p>
            <w:pPr>
              <w:jc w:val="center"/>
              <w:rPr>
                <w:rFonts w:hint="eastAsia" w:asciiTheme="minorEastAsia" w:hAnsiTheme="minorEastAsia" w:eastAsiaTheme="minorEastAsia"/>
                <w:sz w:val="24"/>
                <w:szCs w:val="24"/>
                <w:lang w:val="en-US" w:eastAsia="zh-CN"/>
              </w:rPr>
            </w:pPr>
          </w:p>
          <w:p>
            <w:pPr>
              <w:jc w:val="center"/>
              <w:rPr>
                <w:rFonts w:hint="eastAsia" w:asciiTheme="minorEastAsia" w:hAnsiTheme="minorEastAsia" w:eastAsiaTheme="minorEastAsia"/>
                <w:sz w:val="24"/>
                <w:szCs w:val="24"/>
                <w:lang w:val="en-US" w:eastAsia="zh-CN"/>
              </w:rPr>
            </w:pPr>
          </w:p>
          <w:p>
            <w:pPr>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方案措施</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25</w:t>
            </w:r>
            <w:r>
              <w:rPr>
                <w:rFonts w:asciiTheme="minorEastAsia" w:hAnsiTheme="minorEastAsia" w:eastAsiaTheme="minorEastAsia"/>
                <w:sz w:val="24"/>
                <w:szCs w:val="24"/>
              </w:rPr>
              <w:t>分</w:t>
            </w:r>
          </w:p>
        </w:tc>
        <w:tc>
          <w:tcPr>
            <w:tcW w:w="7358" w:type="dxa"/>
            <w:tcBorders>
              <w:top w:val="single" w:color="000000" w:sz="4" w:space="0"/>
              <w:left w:val="single" w:color="auto" w:sz="4" w:space="0"/>
              <w:bottom w:val="single" w:color="000000" w:sz="4" w:space="0"/>
              <w:right w:val="single" w:color="000000" w:sz="4" w:space="0"/>
            </w:tcBorders>
          </w:tcPr>
          <w:p>
            <w:pPr>
              <w:rPr>
                <w:rFonts w:asciiTheme="minorEastAsia" w:hAnsiTheme="minorEastAsia" w:eastAsiaTheme="minorEastAsia"/>
                <w:sz w:val="24"/>
                <w:szCs w:val="24"/>
              </w:rPr>
            </w:pPr>
            <w:r>
              <w:rPr>
                <w:rFonts w:asciiTheme="minorEastAsia" w:hAnsiTheme="minorEastAsia" w:eastAsiaTheme="minorEastAsia"/>
                <w:sz w:val="24"/>
                <w:szCs w:val="24"/>
              </w:rPr>
              <w:t>对供应商提供</w:t>
            </w:r>
            <w:r>
              <w:rPr>
                <w:rFonts w:cs="Times New Roman" w:asciiTheme="minorEastAsia" w:hAnsiTheme="minorEastAsia" w:eastAsiaTheme="minorEastAsia"/>
                <w:sz w:val="24"/>
                <w:szCs w:val="24"/>
              </w:rPr>
              <w:t>的</w:t>
            </w:r>
            <w:r>
              <w:rPr>
                <w:rFonts w:hint="eastAsia" w:cs="Times New Roman" w:asciiTheme="minorEastAsia" w:hAnsiTheme="minorEastAsia" w:eastAsiaTheme="minorEastAsia"/>
                <w:sz w:val="24"/>
                <w:szCs w:val="24"/>
                <w:lang w:val="en-US" w:eastAsia="zh-CN"/>
              </w:rPr>
              <w:t>项目</w:t>
            </w:r>
            <w:r>
              <w:rPr>
                <w:rFonts w:cs="Times New Roman" w:asciiTheme="minorEastAsia" w:hAnsiTheme="minorEastAsia" w:eastAsiaTheme="minorEastAsia"/>
                <w:sz w:val="24"/>
                <w:szCs w:val="24"/>
              </w:rPr>
              <w:t>方案</w:t>
            </w:r>
            <w:r>
              <w:rPr>
                <w:rFonts w:hint="eastAsia" w:cs="Times New Roman" w:asciiTheme="minorEastAsia" w:hAnsiTheme="minorEastAsia" w:eastAsiaTheme="minorEastAsia"/>
                <w:sz w:val="24"/>
                <w:szCs w:val="24"/>
                <w:lang w:val="en-US" w:eastAsia="zh-CN"/>
              </w:rPr>
              <w:t>措施</w:t>
            </w:r>
            <w:r>
              <w:rPr>
                <w:rFonts w:cs="Times New Roman" w:asciiTheme="minorEastAsia" w:hAnsiTheme="minorEastAsia" w:eastAsiaTheme="minorEastAsia"/>
                <w:sz w:val="24"/>
                <w:szCs w:val="24"/>
              </w:rPr>
              <w:t>进行综合评估，</w:t>
            </w:r>
            <w:r>
              <w:rPr>
                <w:rFonts w:hint="eastAsia" w:cs="Times New Roman" w:asciiTheme="minorEastAsia" w:hAnsiTheme="minorEastAsia" w:eastAsiaTheme="minorEastAsia"/>
                <w:sz w:val="24"/>
                <w:szCs w:val="24"/>
              </w:rPr>
              <w:t>对招标文件中技术要求的满足程度进行打分评委分三个档次打分：优：15～10分，中：10～5分，差：5～0分。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p>
        </w:tc>
      </w:tr>
      <w:tr>
        <w:tblPrEx>
          <w:tblCellMar>
            <w:top w:w="0" w:type="dxa"/>
            <w:left w:w="0" w:type="dxa"/>
            <w:bottom w:w="0" w:type="dxa"/>
            <w:right w:w="0" w:type="dxa"/>
          </w:tblCellMar>
        </w:tblPrEx>
        <w:tc>
          <w:tcPr>
            <w:tcW w:w="64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p>
        </w:tc>
        <w:tc>
          <w:tcPr>
            <w:tcW w:w="7358" w:type="dxa"/>
            <w:tcBorders>
              <w:top w:val="single" w:color="000000" w:sz="4" w:space="0"/>
              <w:left w:val="single" w:color="auto" w:sz="4" w:space="0"/>
              <w:bottom w:val="single" w:color="000000" w:sz="4" w:space="0"/>
              <w:right w:val="single" w:color="000000" w:sz="4" w:space="0"/>
            </w:tcBorders>
          </w:tcPr>
          <w:p>
            <w:pPr>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综合比较供应商提供的售后服务及质量保障方案，评委分三个档次打分：优：10～7分，中：7～4分，差：4～0分。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r>
      <w:tr>
        <w:tblPrEx>
          <w:tblCellMar>
            <w:top w:w="0" w:type="dxa"/>
            <w:left w:w="0" w:type="dxa"/>
            <w:bottom w:w="0" w:type="dxa"/>
            <w:right w:w="0" w:type="dxa"/>
          </w:tblCellMar>
        </w:tblPrEx>
        <w:tc>
          <w:tcPr>
            <w:tcW w:w="642" w:type="dxa"/>
            <w:vMerge w:val="restart"/>
            <w:tcBorders>
              <w:top w:val="single" w:color="auto" w:sz="4" w:space="0"/>
              <w:left w:val="single" w:color="000000" w:sz="4" w:space="0"/>
              <w:right w:val="single" w:color="000000" w:sz="4" w:space="0"/>
            </w:tcBorders>
            <w:vAlign w:val="center"/>
          </w:tcPr>
          <w:p>
            <w:pPr>
              <w:spacing w:line="340" w:lineRule="exact"/>
              <w:jc w:val="center"/>
              <w:rPr>
                <w:rFonts w:hint="eastAsia" w:ascii="宋体" w:hAnsi="宋体" w:cs="Calibri"/>
                <w:bCs/>
                <w:sz w:val="24"/>
                <w:szCs w:val="24"/>
              </w:rPr>
            </w:pPr>
          </w:p>
          <w:p>
            <w:pPr>
              <w:spacing w:line="340" w:lineRule="exact"/>
              <w:jc w:val="center"/>
              <w:rPr>
                <w:rFonts w:hint="eastAsia" w:ascii="宋体" w:hAnsi="宋体" w:cs="Calibri"/>
                <w:bCs/>
                <w:sz w:val="24"/>
                <w:szCs w:val="24"/>
              </w:rPr>
            </w:pPr>
          </w:p>
          <w:p>
            <w:pPr>
              <w:spacing w:line="340" w:lineRule="exact"/>
              <w:jc w:val="center"/>
              <w:rPr>
                <w:rFonts w:hint="eastAsia" w:ascii="宋体" w:hAnsi="宋体" w:cs="Calibri"/>
                <w:bCs/>
                <w:sz w:val="24"/>
                <w:szCs w:val="24"/>
              </w:rPr>
            </w:pPr>
          </w:p>
          <w:p>
            <w:pPr>
              <w:spacing w:line="340" w:lineRule="exact"/>
              <w:jc w:val="center"/>
              <w:rPr>
                <w:rFonts w:asciiTheme="minorEastAsia" w:hAnsiTheme="minorEastAsia" w:eastAsiaTheme="minorEastAsia"/>
                <w:sz w:val="24"/>
                <w:szCs w:val="24"/>
              </w:rPr>
            </w:pPr>
            <w:r>
              <w:rPr>
                <w:rFonts w:hint="eastAsia" w:ascii="宋体" w:hAnsi="宋体" w:cs="Calibri"/>
                <w:bCs/>
                <w:sz w:val="24"/>
                <w:szCs w:val="24"/>
              </w:rPr>
              <w:t>商务部分</w:t>
            </w:r>
            <w:r>
              <w:rPr>
                <w:rFonts w:hint="eastAsia" w:ascii="宋体" w:hAnsi="宋体" w:cs="Calibri"/>
                <w:bCs/>
                <w:sz w:val="24"/>
                <w:szCs w:val="24"/>
                <w:lang w:eastAsia="zh-CN"/>
              </w:rPr>
              <w:t>（</w:t>
            </w:r>
            <w:r>
              <w:rPr>
                <w:rFonts w:hint="eastAsia" w:ascii="宋体" w:hAnsi="宋体" w:cs="Calibri"/>
                <w:bCs/>
                <w:sz w:val="24"/>
                <w:szCs w:val="24"/>
                <w:lang w:val="en-US" w:eastAsia="zh-CN"/>
              </w:rPr>
              <w:t>75</w:t>
            </w:r>
            <w:r>
              <w:rPr>
                <w:rFonts w:hint="eastAsia" w:ascii="宋体" w:hAnsi="宋体" w:cs="Calibri"/>
                <w:bCs/>
                <w:sz w:val="24"/>
                <w:szCs w:val="24"/>
              </w:rPr>
              <w:t>分</w:t>
            </w:r>
            <w:r>
              <w:rPr>
                <w:rFonts w:hint="eastAsia" w:ascii="宋体" w:hAnsi="宋体" w:cs="Calibri"/>
                <w:bCs/>
                <w:sz w:val="24"/>
                <w:szCs w:val="24"/>
                <w:lang w:eastAsia="zh-CN"/>
              </w:rPr>
              <w:t>）</w:t>
            </w:r>
          </w:p>
        </w:tc>
        <w:tc>
          <w:tcPr>
            <w:tcW w:w="1185" w:type="dxa"/>
            <w:tcBorders>
              <w:top w:val="single" w:color="auto"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价格</w:t>
            </w:r>
          </w:p>
          <w:p>
            <w:pPr>
              <w:jc w:val="center"/>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60</w:t>
            </w:r>
            <w:r>
              <w:rPr>
                <w:rFonts w:asciiTheme="minorEastAsia" w:hAnsiTheme="minorEastAsia" w:eastAsiaTheme="minorEastAsia"/>
                <w:sz w:val="24"/>
                <w:szCs w:val="24"/>
              </w:rPr>
              <w:t>分</w:t>
            </w:r>
          </w:p>
        </w:tc>
        <w:tc>
          <w:tcPr>
            <w:tcW w:w="7358" w:type="dxa"/>
            <w:tcBorders>
              <w:top w:val="single" w:color="000000" w:sz="4" w:space="0"/>
              <w:left w:val="single" w:color="000000" w:sz="4" w:space="0"/>
              <w:bottom w:val="single" w:color="000000" w:sz="4" w:space="0"/>
              <w:right w:val="single" w:color="000000" w:sz="4" w:space="0"/>
            </w:tcBorders>
            <w:vAlign w:val="top"/>
          </w:tcPr>
          <w:p>
            <w:pPr>
              <w:rPr>
                <w:rFonts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满足招标文件要求且投标报价最低的投标报价为评标基准价，其价格分为60分（标准分）。其他投标人的价格分统一按照下列公式计算：投标报价得分=(评标基准价／投标报价)×60分。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60</w:t>
            </w:r>
          </w:p>
        </w:tc>
      </w:tr>
      <w:tr>
        <w:tblPrEx>
          <w:tblCellMar>
            <w:top w:w="0" w:type="dxa"/>
            <w:left w:w="0" w:type="dxa"/>
            <w:bottom w:w="0" w:type="dxa"/>
            <w:right w:w="0" w:type="dxa"/>
          </w:tblCellMar>
        </w:tblPrEx>
        <w:tc>
          <w:tcPr>
            <w:tcW w:w="642" w:type="dxa"/>
            <w:vMerge w:val="continue"/>
            <w:tcBorders>
              <w:left w:val="single" w:color="000000" w:sz="4" w:space="0"/>
              <w:right w:val="single" w:color="000000" w:sz="4" w:space="0"/>
            </w:tcBorders>
            <w:vAlign w:val="center"/>
          </w:tcPr>
          <w:p>
            <w:pPr>
              <w:jc w:val="center"/>
              <w:rPr>
                <w:rFonts w:hint="eastAsia" w:asciiTheme="minorEastAsia" w:hAnsiTheme="minorEastAsia" w:eastAsiaTheme="minorEastAsia"/>
                <w:sz w:val="24"/>
                <w:szCs w:val="24"/>
              </w:rPr>
            </w:pPr>
          </w:p>
        </w:tc>
        <w:tc>
          <w:tcPr>
            <w:tcW w:w="1185" w:type="dxa"/>
            <w:tcBorders>
              <w:top w:val="single" w:color="000000" w:sz="4" w:space="0"/>
              <w:left w:val="single" w:color="000000" w:sz="4" w:space="0"/>
              <w:bottom w:val="single" w:color="auto" w:sz="4" w:space="0"/>
              <w:right w:val="single" w:color="000000" w:sz="4" w:space="0"/>
            </w:tcBorders>
            <w:vAlign w:val="center"/>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val="zh-CN"/>
              </w:rPr>
              <w:t>供应商实力</w:t>
            </w:r>
            <w:r>
              <w:rPr>
                <w:rFonts w:cs="Times New Roman" w:asciiTheme="minorEastAsia" w:hAnsiTheme="minorEastAsia" w:eastAsiaTheme="minorEastAsia"/>
                <w:sz w:val="24"/>
                <w:szCs w:val="24"/>
                <w:lang w:val="zh-CN"/>
              </w:rPr>
              <w:t>10</w:t>
            </w:r>
            <w:r>
              <w:rPr>
                <w:rFonts w:hint="eastAsia" w:cs="Times New Roman" w:asciiTheme="minorEastAsia" w:hAnsiTheme="minorEastAsia" w:eastAsiaTheme="minorEastAsia"/>
                <w:sz w:val="24"/>
                <w:szCs w:val="24"/>
                <w:lang w:val="zh-CN"/>
              </w:rPr>
              <w:t>分</w:t>
            </w:r>
          </w:p>
        </w:tc>
        <w:tc>
          <w:tcPr>
            <w:tcW w:w="7358" w:type="dxa"/>
            <w:tcBorders>
              <w:top w:val="single" w:color="000000" w:sz="4" w:space="0"/>
              <w:left w:val="single" w:color="000000" w:sz="4" w:space="0"/>
              <w:bottom w:val="single" w:color="auto" w:sz="4" w:space="0"/>
              <w:right w:val="single" w:color="000000" w:sz="4" w:space="0"/>
            </w:tcBorders>
          </w:tcPr>
          <w:p>
            <w:pPr>
              <w:jc w:val="center"/>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综合比较供应商公司规模、财务状况等方面的供应商企业综合实力，评委分三个档次打分：优：1</w:t>
            </w:r>
            <w:r>
              <w:rPr>
                <w:rFonts w:cs="Times New Roman" w:asciiTheme="minorEastAsia" w:hAnsiTheme="minorEastAsia" w:eastAsiaTheme="minorEastAsia"/>
                <w:sz w:val="24"/>
                <w:szCs w:val="24"/>
              </w:rPr>
              <w:t>0</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分，中：</w:t>
            </w: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分，差：</w:t>
            </w:r>
            <w:r>
              <w:rPr>
                <w:rFonts w:cs="Times New Roman" w:asciiTheme="minorEastAsia" w:hAnsiTheme="minorEastAsia" w:eastAsiaTheme="minorEastAsia"/>
                <w:sz w:val="24"/>
                <w:szCs w:val="24"/>
              </w:rPr>
              <w:t>4</w:t>
            </w:r>
            <w:r>
              <w:rPr>
                <w:rFonts w:hint="eastAsia" w:cs="Times New Roman" w:asciiTheme="minorEastAsia" w:hAnsiTheme="minorEastAsia" w:eastAsiaTheme="minorEastAsia"/>
                <w:sz w:val="24"/>
                <w:szCs w:val="24"/>
              </w:rPr>
              <w:t>～0分。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10</w:t>
            </w:r>
          </w:p>
        </w:tc>
      </w:tr>
      <w:tr>
        <w:tblPrEx>
          <w:tblCellMar>
            <w:top w:w="0" w:type="dxa"/>
            <w:left w:w="0" w:type="dxa"/>
            <w:bottom w:w="0" w:type="dxa"/>
            <w:right w:w="0" w:type="dxa"/>
          </w:tblCellMar>
        </w:tblPrEx>
        <w:tc>
          <w:tcPr>
            <w:tcW w:w="642" w:type="dxa"/>
            <w:vMerge w:val="continue"/>
            <w:tcBorders>
              <w:left w:val="single" w:color="000000" w:sz="4" w:space="0"/>
              <w:bottom w:val="single" w:color="000000" w:sz="4" w:space="0"/>
              <w:right w:val="single" w:color="000000" w:sz="4" w:space="0"/>
            </w:tcBorders>
            <w:vAlign w:val="center"/>
          </w:tcPr>
          <w:p>
            <w:pPr>
              <w:ind w:firstLine="480" w:firstLineChars="200"/>
              <w:jc w:val="center"/>
              <w:rPr>
                <w:rFonts w:asciiTheme="minorEastAsia" w:hAnsiTheme="minorEastAsia" w:eastAsiaTheme="minorEastAsia"/>
                <w:sz w:val="24"/>
                <w:szCs w:val="24"/>
              </w:rPr>
            </w:pPr>
          </w:p>
        </w:tc>
        <w:tc>
          <w:tcPr>
            <w:tcW w:w="1185"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答疑</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分</w:t>
            </w:r>
          </w:p>
        </w:tc>
        <w:tc>
          <w:tcPr>
            <w:tcW w:w="7358" w:type="dxa"/>
            <w:tcBorders>
              <w:top w:val="single" w:color="auto" w:sz="4" w:space="0"/>
              <w:left w:val="single" w:color="000000" w:sz="4" w:space="0"/>
              <w:bottom w:val="single" w:color="000000" w:sz="4" w:space="0"/>
              <w:right w:val="single" w:color="000000" w:sz="4" w:space="0"/>
            </w:tcBorders>
          </w:tcPr>
          <w:p>
            <w:pPr>
              <w:rPr>
                <w:rFonts w:asciiTheme="minorEastAsia" w:hAnsiTheme="minorEastAsia" w:eastAsiaTheme="minorEastAsia"/>
                <w:sz w:val="24"/>
                <w:szCs w:val="24"/>
              </w:rPr>
            </w:pPr>
            <w:r>
              <w:rPr>
                <w:rFonts w:asciiTheme="minorEastAsia" w:hAnsiTheme="minorEastAsia" w:eastAsiaTheme="minorEastAsia"/>
                <w:sz w:val="24"/>
                <w:szCs w:val="24"/>
              </w:rPr>
              <w:t>对响应文件制作及答疑情况进行比较评价：响应制作是否规范，内容是否完整，文字是否清晰，</w:t>
            </w:r>
            <w:r>
              <w:rPr>
                <w:rFonts w:hint="eastAsia" w:asciiTheme="minorEastAsia" w:hAnsiTheme="minorEastAsia" w:eastAsiaTheme="minorEastAsia"/>
                <w:sz w:val="24"/>
                <w:szCs w:val="24"/>
              </w:rPr>
              <w:t>报价文件</w:t>
            </w:r>
            <w:r>
              <w:rPr>
                <w:rFonts w:asciiTheme="minorEastAsia" w:hAnsiTheme="minorEastAsia" w:eastAsiaTheme="minorEastAsia"/>
                <w:sz w:val="24"/>
                <w:szCs w:val="24"/>
              </w:rPr>
              <w:t>中对技术等各部分的描述是否准确，询标答疑过程对</w:t>
            </w:r>
            <w:r>
              <w:rPr>
                <w:rFonts w:hint="eastAsia" w:asciiTheme="minorEastAsia" w:hAnsiTheme="minorEastAsia" w:eastAsiaTheme="minorEastAsia"/>
                <w:sz w:val="24"/>
                <w:szCs w:val="24"/>
              </w:rPr>
              <w:t>磋商小组</w:t>
            </w:r>
            <w:r>
              <w:rPr>
                <w:rFonts w:asciiTheme="minorEastAsia" w:hAnsiTheme="minorEastAsia" w:eastAsiaTheme="minorEastAsia"/>
                <w:sz w:val="24"/>
                <w:szCs w:val="24"/>
              </w:rPr>
              <w:t>提出需澄清确认的问题答复是否完整、准确。得0-</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分。</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r>
      <w:tr>
        <w:tblPrEx>
          <w:tblCellMar>
            <w:top w:w="0" w:type="dxa"/>
            <w:left w:w="0" w:type="dxa"/>
            <w:bottom w:w="0" w:type="dxa"/>
            <w:right w:w="0" w:type="dxa"/>
          </w:tblCellMar>
        </w:tblPrEx>
        <w:tc>
          <w:tcPr>
            <w:tcW w:w="642"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4"/>
                <w:szCs w:val="24"/>
              </w:rPr>
            </w:pPr>
          </w:p>
        </w:tc>
        <w:tc>
          <w:tcPr>
            <w:tcW w:w="854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合计</w:t>
            </w:r>
          </w:p>
        </w:tc>
        <w:tc>
          <w:tcPr>
            <w:tcW w:w="839"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100</w:t>
            </w:r>
          </w:p>
        </w:tc>
      </w:tr>
    </w:tbl>
    <w:p>
      <w:pPr>
        <w:pStyle w:val="13"/>
        <w:spacing w:line="360" w:lineRule="auto"/>
        <w:ind w:firstLine="470" w:firstLineChars="196"/>
        <w:rPr>
          <w:rFonts w:asciiTheme="minorEastAsia" w:hAnsiTheme="minorEastAsia" w:eastAsiaTheme="minorEastAsia"/>
          <w:color w:val="000000"/>
          <w:sz w:val="24"/>
          <w:szCs w:val="24"/>
        </w:rPr>
      </w:pP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注1：投标人综合评审得分取所有评委对该投标人计分之和的算术平均值。</w:t>
      </w:r>
    </w:p>
    <w:p>
      <w:pPr>
        <w:pStyle w:val="13"/>
        <w:spacing w:line="360" w:lineRule="auto"/>
        <w:ind w:firstLine="480" w:firstLineChars="200"/>
        <w:rPr>
          <w:rFonts w:hint="eastAsia" w:cs="仿宋" w:asciiTheme="minorEastAsia" w:hAnsiTheme="minorEastAsia" w:eastAsiaTheme="minorEastAsia"/>
          <w:sz w:val="24"/>
          <w:szCs w:val="24"/>
          <w:u w:val="single"/>
          <w:lang w:val="en-US" w:eastAsia="zh-CN"/>
        </w:rPr>
      </w:pPr>
      <w:r>
        <w:rPr>
          <w:rFonts w:hint="eastAsia" w:cs="仿宋" w:asciiTheme="minorEastAsia" w:hAnsiTheme="minorEastAsia" w:eastAsiaTheme="minorEastAsia"/>
          <w:sz w:val="24"/>
          <w:szCs w:val="24"/>
          <w:u w:val="single"/>
          <w:lang w:val="en-US" w:eastAsia="zh-CN"/>
        </w:rPr>
        <w:t>注2：最终得分小数点后保留2位有效数字。</w:t>
      </w:r>
    </w:p>
    <w:p>
      <w:pPr>
        <w:spacing w:line="360" w:lineRule="auto"/>
        <w:ind w:firstLine="498" w:firstLineChars="200"/>
        <w:rPr>
          <w:rFonts w:ascii="宋体" w:hAnsi="宋体"/>
          <w:b/>
          <w:spacing w:val="4"/>
          <w:sz w:val="24"/>
        </w:rPr>
      </w:pPr>
      <w:r>
        <w:rPr>
          <w:rFonts w:hint="eastAsia" w:ascii="宋体" w:hAnsi="宋体"/>
          <w:b/>
          <w:spacing w:val="4"/>
          <w:sz w:val="24"/>
          <w:lang w:val="en-US" w:eastAsia="zh-CN"/>
        </w:rPr>
        <w:t>12.4</w:t>
      </w:r>
      <w:r>
        <w:rPr>
          <w:rFonts w:hint="eastAsia" w:ascii="宋体" w:hAnsi="宋体"/>
          <w:b/>
          <w:spacing w:val="4"/>
          <w:sz w:val="24"/>
        </w:rPr>
        <w:t xml:space="preserve">投标文件有下列情形之一的，由评标委员会按不响应招标文件或无效投标处理： </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（1）超出经营范围投标的；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 xml:space="preserve">（2）货物、服务不满足招标文件规定的； </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（3）无投标人盖章、无法定代表人（或负责人）或授权的委托代理人签字的，未按照招标文件要求密封的；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（4）投标人名称或组织结构与资格预审时不一致的；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（5）投标有效期不足的；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（6）投标报价不合理，低于成本的；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（7）重要技术指标和参数不满足招标要求的；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（8）投标文件内容不全或者关键内容字迹模糊，无法辨认的；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（9）投标人递交两份或多份内容不同的报价文件，或者在一份报价文件中对同一采购项目报有两个或多个报价且未声明哪一个有效的（按招标文件规定提交备选方案的除外）；</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（10）投标人名称或组织结构与资格审查不一致的；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（11）不同投标人的投标文件内容存在非正常一致的；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（12）不同投标人的投标文件相互混装的；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（13）不同投标人委托同一人投标的；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（14）不同投标人使用同一个人或者企业资金交纳投标保证金的；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（15）不同投标人投标文件相互混装的；不同投标人投标文件中的项目相关人员出现同一人的；不同投标人的投标文件内容出现非正常一致的；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（16）不响应招标文件服务形式、供货时间、质量要求、质保期等实质性内容的；其他未对招标文件实质性要求和条件做出响应的；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 xml:space="preserve">（17）提供虚假材料谋取中标的； </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（18）故意哄抬价格或压价等其他恶意串通投标的；有损害招标方和用户利益的规定的，其他任何有企图影响招标结果公正性的活动；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（19）违反法律法规对招投标其他要求、规定的。</w:t>
      </w:r>
    </w:p>
    <w:p>
      <w:pPr>
        <w:spacing w:line="360" w:lineRule="auto"/>
        <w:ind w:firstLine="498" w:firstLineChars="200"/>
        <w:rPr>
          <w:rFonts w:hint="eastAsia" w:ascii="宋体" w:hAnsi="宋体" w:cs="Times New Roman"/>
          <w:b/>
          <w:spacing w:val="4"/>
          <w:sz w:val="24"/>
          <w:szCs w:val="22"/>
          <w:lang w:val="en-US" w:eastAsia="zh-CN"/>
        </w:rPr>
      </w:pPr>
      <w:bookmarkStart w:id="37" w:name="_Toc48665529"/>
      <w:r>
        <w:rPr>
          <w:rFonts w:hint="eastAsia" w:ascii="宋体" w:hAnsi="宋体" w:cs="Times New Roman"/>
          <w:b/>
          <w:spacing w:val="4"/>
          <w:sz w:val="24"/>
          <w:szCs w:val="22"/>
          <w:lang w:val="en-US" w:eastAsia="zh-CN"/>
        </w:rPr>
        <w:t>四、中标和合同</w:t>
      </w:r>
      <w:bookmarkEnd w:id="37"/>
    </w:p>
    <w:p>
      <w:pPr>
        <w:spacing w:line="360" w:lineRule="auto"/>
        <w:ind w:firstLine="498" w:firstLineChars="200"/>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13、定标</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13.1评标委员会按照得分高低顺序对投标人进行排列。得分相同的，按投标报价由低到高顺序排列。得分最高且排名第一的投标人将被推荐为中标候选人或者直接被确定为中标人。</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13.2评标委员会认为所有投标报价均不合理或所有投标方案均不能满足招标方要求时，有权否决所有投标，评标委员会也没有义务必须接受最低报价的投标。</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13.3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（1）投标人提供的有关资格、资质证明文件不合格、不真实或提供虚假投标材料；</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（2）投标人在报价有效期内撤回投标；</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（3）在整个评标过程中，投标人有企图影响评标结果公正性的任何活动；</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（4）投标过程中被查实有串标、围标、陪标，采取不正当手段诋毁、排挤其他投标人等违规违法行为的；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（5）以他人名义投标或者以其他方式弄虚作假，骗取中标的；</w:t>
      </w:r>
    </w:p>
    <w:p>
      <w:pPr>
        <w:pStyle w:val="13"/>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（6）法律、法规规定的其他情况。</w:t>
      </w:r>
    </w:p>
    <w:p>
      <w:pPr>
        <w:spacing w:line="360" w:lineRule="auto"/>
        <w:ind w:firstLine="624" w:firstLineChars="252"/>
        <w:rPr>
          <w:rFonts w:hint="eastAsia" w:ascii="宋体" w:hAnsi="宋体"/>
          <w:spacing w:val="4"/>
          <w:sz w:val="24"/>
        </w:rPr>
      </w:pPr>
      <w:r>
        <w:rPr>
          <w:rFonts w:hint="eastAsia" w:ascii="宋体" w:hAnsi="宋体"/>
          <w:spacing w:val="4"/>
          <w:sz w:val="24"/>
          <w:lang w:val="en-US" w:eastAsia="zh-CN"/>
        </w:rPr>
        <w:t>13</w:t>
      </w:r>
      <w:r>
        <w:rPr>
          <w:rFonts w:hint="eastAsia" w:ascii="宋体" w:hAnsi="宋体"/>
          <w:spacing w:val="4"/>
          <w:sz w:val="24"/>
        </w:rPr>
        <w:t>.4出现下列情形之一的，应予废标：</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（1）发生影响招标公平、公正的违法、违规行为的；</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（2）符合条件的投标人或者对招标文件做实质响应的投标人不足2家的；</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（3）因重大变故，采购任务取消的。</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13.5对未中标的投标人，招标方不做未中标解释。招标人对评标委员会推荐的中标候选人进行审查。</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13.6通过对中标候选人的最终审查确定中标人：</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最终审查的内容是对中标候选人所报货物与服务的产品性能及性价比、安装方案、调试方案、技术状况、生产方案、生产条件、产品质量、交付时间、投标人信誉以及招标人认为有必要了解的其它问题作进一步的审查或了解。</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（2）最终审查的方式：对中标候选人进行询问或对中标候选人进行实地考察。</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 xml:space="preserve">（3）接受最终审查的中标候选人，必须如实回答和受理招标人的询问或考察。 </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14</w:t>
      </w:r>
      <w:r>
        <w:rPr>
          <w:rFonts w:hint="eastAsia" w:ascii="宋体" w:hAnsi="宋体"/>
          <w:b/>
          <w:spacing w:val="4"/>
          <w:sz w:val="24"/>
        </w:rPr>
        <w:t>、招标人权利</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（1）在向投标人授予中标通知书时，在保证采购装备、设备、货物、服务规格型号等内容不变的前提下招标人有变更数量的权利。</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（2）招标人在中标通知书发出之前任何时候仍有选择或拒绝任何投标人中标或宣布招标无效的权利。对受影响的投标人不承担任何责任，也无义务向受影响的投标人解释采取这一行动的理由。</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15</w:t>
      </w:r>
      <w:r>
        <w:rPr>
          <w:rFonts w:hint="eastAsia" w:ascii="宋体" w:hAnsi="宋体"/>
          <w:b/>
          <w:spacing w:val="4"/>
          <w:sz w:val="24"/>
        </w:rPr>
        <w:t>、中标人瑕疵滞后发现的处理原则</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16</w:t>
      </w:r>
      <w:r>
        <w:rPr>
          <w:rFonts w:hint="eastAsia" w:ascii="宋体" w:hAnsi="宋体"/>
          <w:b/>
          <w:spacing w:val="4"/>
          <w:sz w:val="24"/>
        </w:rPr>
        <w:t>、中标通知</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16.1确定中标结果后，招标人向中标人签发中标（成交）通知书。</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16.2中标人收到中标通知书后，应在30日内按照招标人管理流程签订合同与招标方签订合同，过期视为放弃中标。由此给招标人造成损失的，招标人有索赔的权利，投标人应予以赔偿。</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16.3如投标人中标后悔标，招标方将取消该投标人本次中标资格及今后3年内的投标资格，给招标人造成损失的，招标人有索赔的权利，投标人应予以赔偿。</w:t>
      </w:r>
    </w:p>
    <w:p>
      <w:pPr>
        <w:spacing w:line="360" w:lineRule="auto"/>
        <w:ind w:left="124" w:leftChars="59" w:firstLine="503" w:firstLineChars="202"/>
        <w:rPr>
          <w:rFonts w:hint="eastAsia" w:ascii="宋体" w:hAnsi="宋体"/>
          <w:b/>
          <w:spacing w:val="4"/>
          <w:sz w:val="24"/>
        </w:rPr>
      </w:pPr>
      <w:r>
        <w:rPr>
          <w:rFonts w:hint="eastAsia" w:ascii="宋体" w:hAnsi="宋体"/>
          <w:b/>
          <w:spacing w:val="4"/>
          <w:sz w:val="24"/>
          <w:lang w:val="en-US" w:eastAsia="zh-CN"/>
        </w:rPr>
        <w:t>17</w:t>
      </w:r>
      <w:r>
        <w:rPr>
          <w:rFonts w:hint="eastAsia" w:ascii="宋体" w:hAnsi="宋体"/>
          <w:b/>
          <w:spacing w:val="4"/>
          <w:sz w:val="24"/>
        </w:rPr>
        <w:t>、签订合同</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17.1招标人根据评标工作小组的评标结果按相关法律法规的规定及公司相关制度要求，确定中标人。中标人承诺无条件服从招标人针对该项目的后续所有安排。招标人不承诺将合同授予报价最低的投标人，也不对未中标人做任何解释。</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17.2本招标文件和中标人的投标文件包括中标人所做出的各种书面承诺将作为招标方与中标人双方签订合同的依据，并作为合同的附件与合同具有同等法律效力。</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17.3中标人应在保证质量的前提下完成中标项目，不得将中标项目整体转包或分包给他人，否则视为违约，招标人或相关单位有权解除合同。</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17.4如在签订采购合同前后，中标方因产品价格、质量、交货期、不具备履行能力、信用有严重缺陷等原因不能正常履约，招标方有权重新组织招标并重新确定中标方；</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17.5中标人应认可招标人由于招标人上级集团公司政策变化引起的随时终止项目或合同的要求。</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17.6合同履行过程中投标人所供产品技术参数与投标书或合同中存在偏离的，将对投标方进行经济追偿（具体索赔方式及金额按照合同中相关规定执行）。</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17.7招标人有权指定招标人的关联单位作为合同签订人，与中标人签署相关合同，且具体权利义务以双方最终签署的合同为准。</w:t>
      </w:r>
    </w:p>
    <w:p>
      <w:pPr>
        <w:spacing w:line="360" w:lineRule="auto"/>
        <w:ind w:left="124" w:leftChars="59" w:firstLine="503" w:firstLineChars="202"/>
        <w:rPr>
          <w:rFonts w:hint="eastAsia" w:ascii="宋体" w:hAnsi="宋体" w:cs="Times New Roman"/>
          <w:b/>
          <w:spacing w:val="4"/>
          <w:sz w:val="24"/>
          <w:szCs w:val="22"/>
          <w:lang w:val="en-US" w:eastAsia="zh-CN"/>
        </w:rPr>
      </w:pPr>
      <w:bookmarkStart w:id="38" w:name="_Toc48665530"/>
      <w:r>
        <w:rPr>
          <w:rFonts w:hint="eastAsia" w:ascii="宋体" w:hAnsi="宋体" w:cs="Times New Roman"/>
          <w:b/>
          <w:spacing w:val="4"/>
          <w:sz w:val="24"/>
          <w:szCs w:val="22"/>
          <w:lang w:val="en-US" w:eastAsia="zh-CN"/>
        </w:rPr>
        <w:t>五、相关费用</w:t>
      </w:r>
      <w:bookmarkEnd w:id="38"/>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18、本项目招标无相关费用</w:t>
      </w:r>
    </w:p>
    <w:p>
      <w:pPr>
        <w:spacing w:line="360" w:lineRule="auto"/>
        <w:ind w:left="124" w:leftChars="59" w:firstLine="503" w:firstLineChars="202"/>
        <w:rPr>
          <w:rFonts w:hint="eastAsia" w:ascii="宋体" w:hAnsi="宋体" w:cs="Times New Roman"/>
          <w:b/>
          <w:spacing w:val="4"/>
          <w:sz w:val="24"/>
          <w:szCs w:val="22"/>
          <w:lang w:val="en-US" w:eastAsia="zh-CN"/>
        </w:rPr>
      </w:pPr>
      <w:bookmarkStart w:id="39" w:name="_Toc48665531"/>
      <w:r>
        <w:rPr>
          <w:rFonts w:hint="eastAsia" w:ascii="宋体" w:hAnsi="宋体" w:cs="Times New Roman"/>
          <w:b/>
          <w:spacing w:val="4"/>
          <w:sz w:val="24"/>
          <w:szCs w:val="22"/>
          <w:lang w:val="en-US" w:eastAsia="zh-CN"/>
        </w:rPr>
        <w:t>六、解释权</w:t>
      </w:r>
      <w:bookmarkEnd w:id="39"/>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19、本招标文件的最终解释权归招标人</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当对一个问题有多种解释时以招标人的书面解释为准。招标文件未做明示，而又有相关法律、法规规定的，招标人对此所做解释以相关的法律、法规规定为依据。</w:t>
      </w:r>
    </w:p>
    <w:p>
      <w:pPr>
        <w:spacing w:line="360" w:lineRule="auto"/>
        <w:ind w:left="124" w:leftChars="59" w:firstLine="503" w:firstLineChars="202"/>
        <w:rPr>
          <w:rFonts w:hint="eastAsia" w:ascii="宋体" w:hAnsi="宋体" w:cs="Times New Roman"/>
          <w:b/>
          <w:spacing w:val="4"/>
          <w:sz w:val="24"/>
          <w:szCs w:val="22"/>
          <w:lang w:val="en-US" w:eastAsia="zh-CN"/>
        </w:rPr>
      </w:pPr>
      <w:bookmarkStart w:id="40" w:name="_Toc48665532"/>
      <w:r>
        <w:rPr>
          <w:rFonts w:hint="eastAsia" w:ascii="宋体" w:hAnsi="宋体" w:cs="Times New Roman"/>
          <w:b/>
          <w:spacing w:val="4"/>
          <w:sz w:val="24"/>
          <w:szCs w:val="22"/>
          <w:lang w:val="en-US" w:eastAsia="zh-CN"/>
        </w:rPr>
        <w:t>七、</w:t>
      </w:r>
      <w:bookmarkStart w:id="41" w:name="_Toc352332854"/>
      <w:bookmarkStart w:id="42" w:name="_Toc346372880"/>
      <w:bookmarkStart w:id="43" w:name="_Toc346306733"/>
      <w:r>
        <w:rPr>
          <w:rFonts w:hint="eastAsia" w:ascii="宋体" w:hAnsi="宋体" w:cs="Times New Roman"/>
          <w:b/>
          <w:spacing w:val="4"/>
          <w:sz w:val="24"/>
          <w:szCs w:val="22"/>
          <w:lang w:val="en-US" w:eastAsia="zh-CN"/>
        </w:rPr>
        <w:t>投标费用</w:t>
      </w:r>
      <w:bookmarkEnd w:id="41"/>
      <w:bookmarkEnd w:id="42"/>
      <w:bookmarkEnd w:id="43"/>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20、投标人自行承担参加招标有关费用</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无论投标过程中的方法和结果如何，投标人自行承担所有与参加招标有关费用。</w:t>
      </w:r>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八、其他</w:t>
      </w:r>
      <w:bookmarkEnd w:id="40"/>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21、合同价款的结算方式</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21.1付款方式：银行承兑汇票</w:t>
      </w:r>
    </w:p>
    <w:p>
      <w:pPr>
        <w:spacing w:line="360" w:lineRule="auto"/>
        <w:ind w:firstLine="624" w:firstLineChars="252"/>
        <w:rPr>
          <w:rFonts w:hint="eastAsia" w:ascii="宋体" w:hAnsi="宋体" w:cs="Times New Roman"/>
          <w:spacing w:val="4"/>
          <w:sz w:val="24"/>
          <w:szCs w:val="22"/>
          <w:highlight w:val="none"/>
          <w:lang w:val="en-US" w:eastAsia="zh-CN"/>
        </w:rPr>
      </w:pPr>
      <w:r>
        <w:rPr>
          <w:rFonts w:hint="eastAsia" w:ascii="宋体" w:hAnsi="宋体" w:cs="Times New Roman"/>
          <w:spacing w:val="4"/>
          <w:sz w:val="24"/>
          <w:szCs w:val="22"/>
          <w:lang w:val="en-US" w:eastAsia="zh-CN"/>
        </w:rPr>
        <w:t>21.2先服务后付款，施工完成验收合格后，卖方提交金额为合同价款100%的增值税专用发票，经买方依照财务制度审核无误后30个工作日内支付合同款97%。其余3%为质保金，质保到期</w:t>
      </w:r>
      <w:r>
        <w:rPr>
          <w:rFonts w:hint="eastAsia" w:ascii="宋体" w:hAnsi="宋体" w:cs="Times New Roman"/>
          <w:spacing w:val="4"/>
          <w:sz w:val="24"/>
          <w:szCs w:val="22"/>
          <w:highlight w:val="none"/>
          <w:lang w:val="en-US" w:eastAsia="zh-CN"/>
        </w:rPr>
        <w:t>后支付，质保期为2年。</w:t>
      </w:r>
    </w:p>
    <w:p>
      <w:pPr>
        <w:spacing w:line="360" w:lineRule="auto"/>
        <w:ind w:left="124" w:leftChars="59" w:firstLine="503" w:firstLineChars="202"/>
        <w:rPr>
          <w:rFonts w:hint="eastAsia" w:ascii="宋体" w:hAnsi="宋体" w:cs="Times New Roman"/>
          <w:b/>
          <w:spacing w:val="4"/>
          <w:sz w:val="24"/>
          <w:szCs w:val="22"/>
          <w:lang w:val="en-US" w:eastAsia="zh-CN"/>
        </w:rPr>
      </w:pPr>
      <w:r>
        <w:rPr>
          <w:rFonts w:hint="eastAsia" w:ascii="宋体" w:hAnsi="宋体" w:cs="Times New Roman"/>
          <w:b/>
          <w:spacing w:val="4"/>
          <w:sz w:val="24"/>
          <w:szCs w:val="22"/>
          <w:lang w:val="en-US" w:eastAsia="zh-CN"/>
        </w:rPr>
        <w:t>22、合同价款的其他约束</w:t>
      </w:r>
    </w:p>
    <w:p>
      <w:pPr>
        <w:spacing w:line="360" w:lineRule="auto"/>
        <w:ind w:left="124" w:leftChars="59" w:firstLine="484" w:firstLineChars="202"/>
        <w:rPr>
          <w:rFonts w:hint="eastAsia" w:ascii="宋体" w:hAnsi="宋体" w:eastAsia="宋体" w:cs="宋体"/>
          <w:bCs/>
          <w:kern w:val="0"/>
          <w:sz w:val="24"/>
          <w:szCs w:val="24"/>
        </w:rPr>
      </w:pPr>
      <w:r>
        <w:rPr>
          <w:rFonts w:hint="eastAsia" w:ascii="宋体" w:hAnsi="宋体" w:eastAsia="宋体" w:cs="宋体"/>
          <w:bCs/>
          <w:kern w:val="0"/>
          <w:sz w:val="24"/>
          <w:szCs w:val="24"/>
        </w:rPr>
        <w:t>无。</w:t>
      </w:r>
    </w:p>
    <w:p>
      <w:pPr>
        <w:pStyle w:val="13"/>
        <w:spacing w:line="360" w:lineRule="auto"/>
        <w:jc w:val="center"/>
        <w:rPr>
          <w:rFonts w:hint="eastAsia" w:cs="宋体" w:asciiTheme="minorEastAsia" w:hAnsiTheme="minorEastAsia" w:eastAsiaTheme="minorEastAsia"/>
          <w:b/>
          <w:bCs/>
          <w:color w:val="000000"/>
          <w:sz w:val="24"/>
          <w:szCs w:val="24"/>
        </w:rPr>
      </w:pPr>
    </w:p>
    <w:p>
      <w:pPr>
        <w:pStyle w:val="13"/>
        <w:spacing w:line="360" w:lineRule="auto"/>
        <w:jc w:val="center"/>
        <w:rPr>
          <w:rFonts w:hint="eastAsia"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lang w:val="en-US" w:eastAsia="zh-CN"/>
        </w:rPr>
        <w:t xml:space="preserve">第四部分 </w:t>
      </w:r>
      <w:r>
        <w:rPr>
          <w:rFonts w:hint="eastAsia" w:cs="宋体" w:asciiTheme="minorEastAsia" w:hAnsiTheme="minorEastAsia" w:eastAsiaTheme="minorEastAsia"/>
          <w:b/>
          <w:bCs/>
          <w:color w:val="000000"/>
          <w:sz w:val="36"/>
          <w:szCs w:val="36"/>
        </w:rPr>
        <w:t>附件（投标文件格式）</w:t>
      </w:r>
    </w:p>
    <w:p>
      <w:pPr>
        <w:spacing w:line="360" w:lineRule="auto"/>
        <w:ind w:firstLine="624" w:firstLineChars="252"/>
        <w:rPr>
          <w:rFonts w:hint="eastAsia" w:ascii="宋体" w:hAnsi="宋体" w:cs="Times New Roman"/>
          <w:spacing w:val="4"/>
          <w:sz w:val="24"/>
          <w:szCs w:val="22"/>
          <w:lang w:val="en-US" w:eastAsia="zh-CN"/>
        </w:rPr>
      </w:pP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说明：</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1、投标人须认真填写和提交本部分中的附件文件；</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2、对附件文件中所要求的内容应给予明确的答复；</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3、附件文件的签字人应保证其对一切问题的答复、所做的声明及出具的资格资质文件、资料等具有真实性和准确性；</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4、招标人将对投标人提交的文件、资料等内容予以保密，但不退还；</w:t>
      </w:r>
    </w:p>
    <w:p>
      <w:pPr>
        <w:spacing w:line="360" w:lineRule="auto"/>
        <w:ind w:firstLine="624" w:firstLineChars="252"/>
        <w:rPr>
          <w:rFonts w:hint="eastAsia" w:ascii="宋体" w:hAnsi="宋体" w:cs="Times New Roman"/>
          <w:spacing w:val="4"/>
          <w:sz w:val="24"/>
          <w:szCs w:val="22"/>
          <w:lang w:val="en-US" w:eastAsia="zh-CN"/>
        </w:rPr>
      </w:pPr>
      <w:r>
        <w:rPr>
          <w:rFonts w:hint="eastAsia" w:ascii="宋体" w:hAnsi="宋体" w:cs="Times New Roman"/>
          <w:spacing w:val="4"/>
          <w:sz w:val="24"/>
          <w:szCs w:val="22"/>
          <w:lang w:val="en-US" w:eastAsia="zh-CN"/>
        </w:rPr>
        <w:t>5、所有附件文件应以中文书写，作为投标文件的组成部分。</w:t>
      </w: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keepNext w:val="0"/>
        <w:keepLines w:val="0"/>
        <w:pageBreakBefore w:val="0"/>
        <w:widowControl w:val="0"/>
        <w:kinsoku/>
        <w:wordWrap/>
        <w:overflowPunct/>
        <w:topLinePunct w:val="0"/>
        <w:autoSpaceDE/>
        <w:autoSpaceDN/>
        <w:bidi w:val="0"/>
        <w:spacing w:line="360" w:lineRule="auto"/>
        <w:jc w:val="center"/>
        <w:textAlignment w:val="auto"/>
        <w:rPr>
          <w:rFonts w:hint="eastAsia" w:cs="宋体" w:asciiTheme="minorEastAsia" w:hAnsiTheme="minorEastAsia" w:eastAsiaTheme="minorEastAsia"/>
          <w:b/>
          <w:bCs/>
          <w:color w:val="000000"/>
          <w:sz w:val="24"/>
          <w:szCs w:val="24"/>
        </w:rPr>
      </w:pPr>
    </w:p>
    <w:p>
      <w:pPr>
        <w:pStyle w:val="13"/>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1</w:t>
      </w:r>
    </w:p>
    <w:p>
      <w:pPr>
        <w:pStyle w:val="13"/>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投标书</w:t>
      </w:r>
    </w:p>
    <w:p>
      <w:pPr>
        <w:spacing w:line="360" w:lineRule="auto"/>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致</w:t>
      </w:r>
      <w:r>
        <w:rPr>
          <w:rFonts w:hint="eastAsia" w:asciiTheme="minorEastAsia" w:hAnsiTheme="minorEastAsia" w:eastAsiaTheme="minorEastAsia"/>
          <w:color w:val="000000"/>
          <w:sz w:val="24"/>
          <w:szCs w:val="24"/>
          <w:u w:val="single"/>
        </w:rPr>
        <w:t>（招标人名称）                            ：</w:t>
      </w:r>
    </w:p>
    <w:p>
      <w:pPr>
        <w:spacing w:line="360" w:lineRule="auto"/>
        <w:ind w:firstLine="64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根据贵方为（</w:t>
      </w:r>
      <w:r>
        <w:rPr>
          <w:rFonts w:hint="eastAsia" w:asciiTheme="minorEastAsia" w:hAnsiTheme="minorEastAsia" w:eastAsiaTheme="minorEastAsia"/>
          <w:color w:val="000000"/>
          <w:sz w:val="24"/>
          <w:szCs w:val="24"/>
          <w:u w:val="single"/>
        </w:rPr>
        <w:t xml:space="preserve">项目名称）                         </w:t>
      </w:r>
      <w:r>
        <w:rPr>
          <w:rFonts w:hint="eastAsia" w:asciiTheme="minorEastAsia" w:hAnsiTheme="minorEastAsia" w:eastAsiaTheme="minorEastAsia"/>
          <w:color w:val="000000"/>
          <w:sz w:val="24"/>
          <w:szCs w:val="24"/>
        </w:rPr>
        <w:t>招标项目的投标</w:t>
      </w:r>
      <w:r>
        <w:rPr>
          <w:rFonts w:hint="eastAsia" w:asciiTheme="minorEastAsia" w:hAnsiTheme="minorEastAsia" w:eastAsiaTheme="minorEastAsia"/>
          <w:color w:val="000000"/>
          <w:sz w:val="24"/>
          <w:szCs w:val="24"/>
          <w:lang w:val="en-US" w:eastAsia="zh-CN"/>
        </w:rPr>
        <w:t>公示</w:t>
      </w:r>
      <w:r>
        <w:rPr>
          <w:rFonts w:hint="eastAsia" w:asciiTheme="minorEastAsia" w:hAnsiTheme="minorEastAsia" w:eastAsiaTheme="minorEastAsia"/>
          <w:color w:val="000000"/>
          <w:sz w:val="24"/>
          <w:szCs w:val="24"/>
        </w:rPr>
        <w:t>，签字代表</w:t>
      </w:r>
      <w:r>
        <w:rPr>
          <w:rFonts w:hint="eastAsia" w:asciiTheme="minorEastAsia" w:hAnsiTheme="minorEastAsia" w:eastAsiaTheme="minorEastAsia"/>
          <w:color w:val="000000"/>
          <w:sz w:val="24"/>
          <w:szCs w:val="24"/>
          <w:u w:val="single"/>
        </w:rPr>
        <w:t xml:space="preserve">（全名、职务）           </w:t>
      </w:r>
      <w:r>
        <w:rPr>
          <w:rFonts w:hint="eastAsia" w:asciiTheme="minorEastAsia" w:hAnsiTheme="minorEastAsia" w:eastAsiaTheme="minorEastAsia"/>
          <w:color w:val="000000"/>
          <w:sz w:val="24"/>
          <w:szCs w:val="24"/>
        </w:rPr>
        <w:t>经正式授权并代表投标人</w:t>
      </w:r>
      <w:r>
        <w:rPr>
          <w:rFonts w:hint="eastAsia" w:asciiTheme="minorEastAsia" w:hAnsiTheme="minorEastAsia" w:eastAsiaTheme="minorEastAsia"/>
          <w:color w:val="000000"/>
          <w:sz w:val="24"/>
          <w:szCs w:val="24"/>
          <w:u w:val="single"/>
        </w:rPr>
        <w:t xml:space="preserve">（投标人名称、地址）              </w:t>
      </w:r>
      <w:r>
        <w:rPr>
          <w:rFonts w:hint="eastAsia" w:asciiTheme="minorEastAsia" w:hAnsiTheme="minorEastAsia" w:eastAsiaTheme="minorEastAsia"/>
          <w:color w:val="000000"/>
          <w:sz w:val="24"/>
          <w:szCs w:val="24"/>
        </w:rPr>
        <w:t>提交下述文件：</w:t>
      </w:r>
    </w:p>
    <w:p>
      <w:pPr>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rPr>
        <w:t>资质证明文件（正本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lang w:eastAsia="zh-CN"/>
        </w:rPr>
        <w:t>，</w:t>
      </w:r>
    </w:p>
    <w:p>
      <w:pPr>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技术</w:t>
      </w:r>
      <w:r>
        <w:rPr>
          <w:rFonts w:hint="eastAsia" w:asciiTheme="minorEastAsia" w:hAnsiTheme="minorEastAsia" w:eastAsiaTheme="minorEastAsia"/>
          <w:color w:val="000000"/>
          <w:sz w:val="24"/>
          <w:szCs w:val="24"/>
        </w:rPr>
        <w:t>标书（正本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份和副本</w:t>
      </w: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lang w:eastAsia="zh-CN"/>
        </w:rPr>
        <w:t>，</w:t>
      </w:r>
    </w:p>
    <w:p>
      <w:pPr>
        <w:spacing w:line="360" w:lineRule="auto"/>
        <w:ind w:firstLine="480" w:firstLineChars="200"/>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商务</w:t>
      </w:r>
      <w:r>
        <w:rPr>
          <w:rFonts w:hint="eastAsia" w:asciiTheme="minorEastAsia" w:hAnsiTheme="minorEastAsia" w:eastAsiaTheme="minorEastAsia"/>
          <w:color w:val="000000"/>
          <w:sz w:val="24"/>
          <w:szCs w:val="24"/>
        </w:rPr>
        <w:t>标书（正本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份和副本</w:t>
      </w: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份）</w:t>
      </w:r>
      <w:r>
        <w:rPr>
          <w:rFonts w:hint="eastAsia" w:asciiTheme="minorEastAsia" w:hAnsiTheme="minorEastAsia" w:eastAsiaTheme="minorEastAsia"/>
          <w:color w:val="000000"/>
          <w:sz w:val="24"/>
          <w:szCs w:val="24"/>
          <w:lang w:eastAsia="zh-CN"/>
        </w:rPr>
        <w:t>，</w:t>
      </w:r>
    </w:p>
    <w:p>
      <w:pPr>
        <w:spacing w:line="360" w:lineRule="auto"/>
        <w:ind w:firstLine="480" w:firstLineChars="200"/>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开标一览表（一式三份）。</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据此，签字代表宣布同意如下：</w:t>
      </w:r>
    </w:p>
    <w:p>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.投标人将按招标文件的规定履行合同责任和义务。</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2</w:t>
      </w:r>
      <w:r>
        <w:rPr>
          <w:rFonts w:hint="eastAsia" w:asciiTheme="minorEastAsia" w:hAnsiTheme="minorEastAsia" w:eastAsiaTheme="minorEastAsia"/>
          <w:color w:val="000000"/>
          <w:sz w:val="24"/>
          <w:szCs w:val="24"/>
        </w:rPr>
        <w:t>.投标人已详细审查全部招标文件，包括修改文件（如有的话）以及全部参考资料和有关附件，我们完全理解并同意放弃对这方面有不明及误解的权利。</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.投标有效期：自投标截止之日起30个日历日内有效。</w:t>
      </w:r>
    </w:p>
    <w:p>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rPr>
        <w:t>.投标人同意提供贵方要求的可能与投标有关的一切数据和资料，完全理解贵方不一定要接受最低价的投标或收到的任何投标。</w:t>
      </w:r>
    </w:p>
    <w:p>
      <w:pPr>
        <w:spacing w:line="360" w:lineRule="auto"/>
        <w:ind w:left="43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5</w:t>
      </w:r>
      <w:r>
        <w:rPr>
          <w:rFonts w:hint="eastAsia" w:asciiTheme="minorEastAsia" w:hAnsiTheme="minorEastAsia" w:eastAsiaTheme="minorEastAsia"/>
          <w:color w:val="000000"/>
          <w:sz w:val="24"/>
          <w:szCs w:val="24"/>
        </w:rPr>
        <w:t>.与本投标有关的一切正式往来通讯请寄：</w:t>
      </w: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地址：                                   邮编：</w:t>
      </w: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电话：                                   传真：</w:t>
      </w:r>
    </w:p>
    <w:p>
      <w:pPr>
        <w:spacing w:line="360" w:lineRule="auto"/>
        <w:ind w:left="795"/>
        <w:rPr>
          <w:rFonts w:asciiTheme="minorEastAsia" w:hAnsiTheme="minorEastAsia" w:eastAsiaTheme="minorEastAsia"/>
          <w:color w:val="000000"/>
          <w:sz w:val="24"/>
          <w:szCs w:val="24"/>
        </w:rPr>
      </w:pP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投标人代表签字：                 职务：                 日期：</w:t>
      </w: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投标人代表姓名、职务（印刷体）：</w:t>
      </w: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投标人名称（及公章）：</w:t>
      </w:r>
    </w:p>
    <w:p>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        年       月       日</w:t>
      </w: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br w:type="page"/>
      </w:r>
    </w:p>
    <w:p>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2</w:t>
      </w:r>
    </w:p>
    <w:p>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投标文件主要内容</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652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主要内容</w:t>
            </w:r>
          </w:p>
        </w:tc>
        <w:tc>
          <w:tcPr>
            <w:tcW w:w="1276"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rFonts w:asciiTheme="minorEastAsia" w:hAnsiTheme="minorEastAsia" w:eastAsiaTheme="minorEastAsia"/>
                <w:color w:val="000000"/>
                <w:sz w:val="24"/>
                <w:szCs w:val="24"/>
              </w:rPr>
            </w:pPr>
          </w:p>
        </w:tc>
        <w:tc>
          <w:tcPr>
            <w:tcW w:w="6520" w:type="dxa"/>
            <w:vAlign w:val="center"/>
          </w:tcPr>
          <w:p>
            <w:pPr>
              <w:jc w:val="center"/>
              <w:rPr>
                <w:rFonts w:asciiTheme="minorEastAsia" w:hAnsiTheme="minorEastAsia" w:eastAsiaTheme="minorEastAsia"/>
                <w:color w:val="000000"/>
                <w:sz w:val="24"/>
                <w:szCs w:val="24"/>
              </w:rPr>
            </w:pPr>
          </w:p>
        </w:tc>
        <w:tc>
          <w:tcPr>
            <w:tcW w:w="1276" w:type="dxa"/>
            <w:vAlign w:val="center"/>
          </w:tcPr>
          <w:p>
            <w:pPr>
              <w:jc w:val="center"/>
              <w:rPr>
                <w:rFonts w:asciiTheme="minorEastAsia" w:hAnsiTheme="minorEastAsia" w:eastAsiaTheme="minorEastAsia"/>
                <w:color w:val="000000"/>
                <w:sz w:val="24"/>
                <w:szCs w:val="24"/>
              </w:rPr>
            </w:pPr>
          </w:p>
        </w:tc>
      </w:tr>
    </w:tbl>
    <w:p>
      <w:pPr>
        <w:ind w:firstLine="240" w:firstLineChars="100"/>
        <w:rPr>
          <w:rFonts w:hint="eastAsia" w:asciiTheme="minorEastAsia" w:hAnsiTheme="minorEastAsia" w:eastAsiaTheme="minorEastAsia"/>
          <w:color w:val="000000"/>
          <w:sz w:val="24"/>
          <w:szCs w:val="24"/>
        </w:rPr>
      </w:pPr>
    </w:p>
    <w:p>
      <w:pPr>
        <w:ind w:firstLine="240" w:firstLineChars="100"/>
        <w:rPr>
          <w:rFonts w:hint="eastAsia" w:asciiTheme="minorEastAsia" w:hAnsiTheme="minorEastAsia" w:eastAsiaTheme="minorEastAsia"/>
          <w:color w:val="000000"/>
          <w:sz w:val="24"/>
          <w:szCs w:val="24"/>
        </w:rPr>
      </w:pPr>
    </w:p>
    <w:p>
      <w:pPr>
        <w:ind w:firstLine="240" w:firstLineChars="1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投标人授权代表签字：        </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rPr>
        <w:t xml:space="preserve">                 日期： </w:t>
      </w:r>
      <w:r>
        <w:rPr>
          <w:rFonts w:hint="eastAsia" w:asciiTheme="minorEastAsia" w:hAnsiTheme="minorEastAsia" w:eastAsiaTheme="minorEastAsia"/>
          <w:color w:val="000000"/>
          <w:sz w:val="24"/>
          <w:szCs w:val="24"/>
          <w:lang w:val="en-US" w:eastAsia="zh-CN"/>
        </w:rPr>
        <w:t xml:space="preserve">    </w:t>
      </w:r>
      <w:r>
        <w:rPr>
          <w:rFonts w:hint="eastAsia" w:asciiTheme="minorEastAsia" w:hAnsiTheme="minorEastAsia" w:eastAsiaTheme="minorEastAsia"/>
          <w:color w:val="000000"/>
          <w:sz w:val="24"/>
          <w:szCs w:val="24"/>
        </w:rPr>
        <w:t>年  月  日</w:t>
      </w:r>
    </w:p>
    <w:p>
      <w:pPr>
        <w:ind w:firstLine="240" w:firstLineChars="100"/>
        <w:rPr>
          <w:rFonts w:hint="eastAsia" w:asciiTheme="minorEastAsia" w:hAnsiTheme="minorEastAsia" w:eastAsiaTheme="minorEastAsia"/>
          <w:color w:val="000000"/>
          <w:sz w:val="24"/>
          <w:szCs w:val="24"/>
        </w:rPr>
      </w:pPr>
    </w:p>
    <w:p>
      <w:pPr>
        <w:ind w:firstLine="240" w:firstLineChars="100"/>
        <w:rPr>
          <w:rFonts w:hint="eastAsia" w:asciiTheme="minorEastAsia" w:hAnsiTheme="minorEastAsia" w:eastAsiaTheme="minorEastAsia"/>
          <w:color w:val="000000"/>
          <w:sz w:val="24"/>
          <w:szCs w:val="24"/>
        </w:rPr>
      </w:pPr>
    </w:p>
    <w:p>
      <w:pPr>
        <w:ind w:firstLine="234" w:firstLineChars="97"/>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.本表填写投标文件主要内容，以用于开标宣读。</w:t>
      </w:r>
    </w:p>
    <w:p>
      <w:pPr>
        <w:ind w:firstLine="720" w:firstLineChars="3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．“索引”一栏填写该主要内容对应于投标文件的“条款号/页号”。</w:t>
      </w:r>
    </w:p>
    <w:p>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3</w:t>
      </w:r>
    </w:p>
    <w:p>
      <w:pPr>
        <w:rPr>
          <w:rFonts w:hint="eastAsia"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《开标一览表》单独封存，以备唱标使用</w:t>
      </w:r>
    </w:p>
    <w:p>
      <w:pPr>
        <w:rPr>
          <w:rFonts w:hint="eastAsia" w:cs="宋体" w:asciiTheme="minorEastAsia" w:hAnsiTheme="minorEastAsia" w:eastAsiaTheme="minorEastAsia"/>
          <w:b/>
          <w:bCs/>
          <w:color w:val="000000"/>
          <w:sz w:val="24"/>
          <w:szCs w:val="24"/>
        </w:rPr>
      </w:pPr>
    </w:p>
    <w:p>
      <w:pPr>
        <w:jc w:val="center"/>
        <w:rPr>
          <w:rFonts w:hint="eastAsia"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开标一览表</w:t>
      </w:r>
    </w:p>
    <w:p>
      <w:pPr>
        <w:rPr>
          <w:rFonts w:hint="eastAsia" w:asciiTheme="minorEastAsia" w:hAnsiTheme="minorEastAsia" w:eastAsiaTheme="minorEastAsia"/>
          <w:b/>
          <w:color w:val="000000"/>
          <w:sz w:val="24"/>
          <w:szCs w:val="24"/>
        </w:rPr>
      </w:pPr>
    </w:p>
    <w:tbl>
      <w:tblPr>
        <w:tblStyle w:val="29"/>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投标人名称</w:t>
            </w:r>
          </w:p>
        </w:tc>
        <w:tc>
          <w:tcPr>
            <w:tcW w:w="61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sz w:val="24"/>
                <w:szCs w:val="24"/>
              </w:rPr>
            </w:pPr>
            <w:r>
              <w:rPr>
                <w:rFonts w:hint="eastAsia" w:ascii="Times New Roman" w:hAnsi="Times New Roman" w:eastAsia="宋体" w:cs="宋体"/>
                <w:sz w:val="24"/>
                <w:szCs w:val="24"/>
              </w:rPr>
              <w:t>总价格（元，含税）</w:t>
            </w:r>
          </w:p>
        </w:tc>
        <w:tc>
          <w:tcPr>
            <w:tcW w:w="6156"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120" w:type="dxa"/>
            <w:gridSpan w:val="2"/>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Times New Roman" w:hAnsi="Times New Roman" w:eastAsia="宋体" w:cs="宋体"/>
                <w:szCs w:val="21"/>
              </w:rPr>
            </w:pPr>
            <w:r>
              <w:rPr>
                <w:rFonts w:hint="eastAsia" w:ascii="Times New Roman" w:hAnsi="Times New Roman" w:eastAsia="宋体" w:cs="宋体"/>
                <w:sz w:val="24"/>
                <w:szCs w:val="24"/>
              </w:rPr>
              <w:t>分项报价清单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64" w:type="dxa"/>
            <w:tcBorders>
              <w:top w:val="single" w:color="auto" w:sz="4" w:space="0"/>
              <w:left w:val="single" w:color="auto" w:sz="4" w:space="0"/>
              <w:bottom w:val="single" w:color="auto" w:sz="4" w:space="0"/>
              <w:right w:val="single" w:color="auto" w:sz="4" w:space="0"/>
              <w:tl2br w:val="single" w:color="auto" w:sz="4" w:space="0"/>
            </w:tcBorders>
          </w:tcPr>
          <w:p>
            <w:pPr>
              <w:jc w:val="right"/>
              <w:rPr>
                <w:rFonts w:ascii="Times New Roman" w:hAnsi="Times New Roman" w:eastAsia="宋体" w:cs="宋体"/>
                <w:sz w:val="24"/>
                <w:szCs w:val="24"/>
              </w:rPr>
            </w:pPr>
            <w:r>
              <w:rPr>
                <w:rFonts w:hint="eastAsia" w:ascii="Times New Roman" w:hAnsi="Times New Roman" w:eastAsia="宋体" w:cs="宋体"/>
                <w:sz w:val="24"/>
                <w:szCs w:val="24"/>
              </w:rPr>
              <w:t>报价</w:t>
            </w:r>
          </w:p>
          <w:p>
            <w:pPr>
              <w:rPr>
                <w:rFonts w:ascii="Times New Roman" w:hAnsi="Times New Roman" w:eastAsia="宋体" w:cs="宋体"/>
                <w:sz w:val="24"/>
                <w:szCs w:val="24"/>
              </w:rPr>
            </w:pPr>
            <w:r>
              <w:rPr>
                <w:rFonts w:hint="eastAsia" w:ascii="Times New Roman" w:hAnsi="Times New Roman" w:eastAsia="宋体" w:cs="宋体"/>
                <w:sz w:val="24"/>
                <w:szCs w:val="24"/>
              </w:rPr>
              <w:t>主要分项</w:t>
            </w:r>
          </w:p>
        </w:tc>
        <w:tc>
          <w:tcPr>
            <w:tcW w:w="61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宋体"/>
                <w:b/>
                <w:color w:val="FF0000"/>
                <w:szCs w:val="21"/>
              </w:rPr>
            </w:pPr>
            <w:r>
              <w:rPr>
                <w:rFonts w:hint="eastAsia" w:cs="宋体"/>
                <w:b/>
                <w:szCs w:val="21"/>
                <w:lang w:val="en-US" w:eastAsia="zh-CN"/>
              </w:rPr>
              <w:t>价格</w:t>
            </w:r>
            <w:r>
              <w:rPr>
                <w:rFonts w:hint="eastAsia" w:ascii="Times New Roman" w:hAnsi="Times New Roman" w:eastAsia="宋体" w:cs="宋体"/>
                <w:b/>
                <w:szCs w:val="21"/>
              </w:rPr>
              <w:t>（元</w:t>
            </w:r>
            <w:r>
              <w:rPr>
                <w:rFonts w:hint="eastAsia" w:ascii="Times New Roman" w:hAnsi="Times New Roman" w:eastAsia="宋体" w:cs="宋体"/>
                <w:b/>
                <w:kern w:val="0"/>
                <w:szCs w:val="21"/>
              </w:rPr>
              <w:t>，请写含税价</w:t>
            </w:r>
            <w:r>
              <w:rPr>
                <w:rFonts w:hint="eastAsia" w:cs="宋体"/>
                <w:b/>
                <w:kern w:val="0"/>
                <w:szCs w:val="21"/>
                <w:lang w:eastAsia="zh-CN"/>
              </w:rPr>
              <w:t>，</w:t>
            </w:r>
            <w:r>
              <w:rPr>
                <w:rFonts w:hint="eastAsia" w:ascii="Times New Roman" w:hAnsi="Times New Roman" w:eastAsia="宋体" w:cs="宋体"/>
                <w:b/>
                <w:kern w:val="0"/>
                <w:szCs w:val="21"/>
              </w:rPr>
              <w:t>并注明税率）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Times New Roman" w:hAnsi="Times New Roman" w:eastAsia="宋体" w:cs="宋体"/>
                <w:bCs/>
                <w:color w:val="FF0000"/>
                <w:sz w:val="24"/>
                <w:szCs w:val="24"/>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color w:val="FF0000"/>
                <w:kern w:val="0"/>
                <w:sz w:val="24"/>
                <w:szCs w:val="24"/>
                <w:u w:val="none"/>
                <w:lang w:val="en-US" w:eastAsia="zh-CN" w:bidi="ar"/>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宋体"/>
                <w:bCs/>
                <w:color w:val="FF0000"/>
                <w:sz w:val="24"/>
                <w:szCs w:val="24"/>
                <w:lang w:val="en-US" w:eastAsia="zh-CN"/>
              </w:rPr>
            </w:pPr>
          </w:p>
        </w:tc>
        <w:tc>
          <w:tcPr>
            <w:tcW w:w="615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64"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税率</w:t>
            </w:r>
          </w:p>
        </w:tc>
        <w:tc>
          <w:tcPr>
            <w:tcW w:w="6156"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i w:val="0"/>
                <w:color w:val="000000"/>
                <w:kern w:val="0"/>
                <w:sz w:val="24"/>
                <w:szCs w:val="24"/>
                <w:u w:val="none"/>
                <w:lang w:val="en-US" w:eastAsia="zh-CN" w:bidi="ar"/>
              </w:rPr>
            </w:pPr>
          </w:p>
        </w:tc>
      </w:tr>
    </w:tbl>
    <w:p>
      <w:pPr>
        <w:rPr>
          <w:rFonts w:ascii="Times New Roman" w:hAnsi="Times New Roman" w:eastAsia="宋体" w:cs="宋体"/>
          <w:szCs w:val="21"/>
        </w:rPr>
      </w:pPr>
    </w:p>
    <w:p>
      <w:pPr>
        <w:rPr>
          <w:rFonts w:hint="eastAsia" w:ascii="Times New Roman" w:hAnsi="Times New Roman" w:eastAsia="宋体" w:cs="宋体"/>
          <w:sz w:val="24"/>
          <w:szCs w:val="24"/>
        </w:rPr>
      </w:pPr>
    </w:p>
    <w:p>
      <w:pPr>
        <w:rPr>
          <w:rFonts w:hint="eastAsia" w:asciiTheme="minorEastAsia" w:hAnsiTheme="minorEastAsia" w:eastAsiaTheme="minorEastAsia"/>
          <w:b/>
          <w:color w:val="000000"/>
          <w:sz w:val="24"/>
          <w:szCs w:val="24"/>
        </w:rPr>
      </w:pPr>
      <w:r>
        <w:rPr>
          <w:rFonts w:hint="eastAsia" w:ascii="Times New Roman" w:hAnsi="Times New Roman" w:eastAsia="宋体" w:cs="宋体"/>
          <w:sz w:val="24"/>
          <w:szCs w:val="24"/>
        </w:rPr>
        <w:t>投标人名称：                   授权代表签字：            日期：</w:t>
      </w:r>
    </w:p>
    <w:p>
      <w:pPr>
        <w:rPr>
          <w:rFonts w:hint="eastAsia" w:asciiTheme="minorEastAsia" w:hAnsiTheme="minorEastAsia" w:eastAsiaTheme="minorEastAsia"/>
          <w:b/>
          <w:color w:val="000000"/>
          <w:sz w:val="24"/>
          <w:szCs w:val="24"/>
        </w:rPr>
      </w:pPr>
    </w:p>
    <w:p>
      <w:pPr>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该表“序号”栏应根据该设备分项的序号填写。</w:t>
      </w:r>
    </w:p>
    <w:p>
      <w:pPr>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投标总价为各投标设备的合计价之和。</w:t>
      </w:r>
    </w:p>
    <w:p>
      <w:pPr>
        <w:ind w:firstLine="48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3.本表用于开标宣读用，请单独封存。</w:t>
      </w:r>
    </w:p>
    <w:p>
      <w:pPr>
        <w:ind w:firstLine="480"/>
        <w:rPr>
          <w:rFonts w:hint="eastAsia" w:asciiTheme="minorEastAsia" w:hAnsiTheme="minorEastAsia" w:eastAsiaTheme="minorEastAsia"/>
          <w:color w:val="000000"/>
          <w:sz w:val="24"/>
          <w:szCs w:val="24"/>
        </w:rPr>
      </w:pPr>
    </w:p>
    <w:p>
      <w:pPr>
        <w:ind w:firstLine="480"/>
        <w:rPr>
          <w:rFonts w:hint="eastAsia" w:asciiTheme="minorEastAsia" w:hAnsiTheme="minorEastAsia" w:eastAsiaTheme="minorEastAsia"/>
          <w:color w:val="000000"/>
          <w:sz w:val="24"/>
          <w:szCs w:val="24"/>
        </w:rPr>
      </w:pPr>
    </w:p>
    <w:p>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4</w:t>
      </w:r>
    </w:p>
    <w:p>
      <w:pPr>
        <w:ind w:firstLine="480"/>
        <w:rPr>
          <w:rFonts w:hint="eastAsia" w:asciiTheme="minorEastAsia" w:hAnsiTheme="minorEastAsia" w:eastAsiaTheme="minorEastAsia"/>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(XX项目)</w:t>
      </w:r>
    </w:p>
    <w:p>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法人授权委托书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（招标人名称）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本授权委托书声明：我</w:t>
      </w:r>
      <w:r>
        <w:rPr>
          <w:rFonts w:hint="eastAsia" w:ascii="宋体" w:hAnsi="宋体" w:eastAsia="宋体" w:cs="宋体"/>
          <w:kern w:val="0"/>
          <w:sz w:val="24"/>
          <w:szCs w:val="24"/>
          <w:u w:val="single"/>
        </w:rPr>
        <w:t xml:space="preserve">（法人姓名）       </w:t>
      </w:r>
      <w:r>
        <w:rPr>
          <w:rFonts w:hint="eastAsia" w:ascii="宋体" w:hAnsi="宋体" w:eastAsia="宋体" w:cs="宋体"/>
          <w:kern w:val="0"/>
          <w:sz w:val="24"/>
          <w:szCs w:val="24"/>
        </w:rPr>
        <w:t>系</w:t>
      </w:r>
      <w:r>
        <w:rPr>
          <w:rFonts w:hint="eastAsia" w:ascii="宋体" w:hAnsi="宋体" w:eastAsia="宋体" w:cs="宋体"/>
          <w:sz w:val="24"/>
          <w:szCs w:val="24"/>
          <w:u w:val="single"/>
        </w:rPr>
        <w:t>（投标人名称）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的法定代表人，现授权委托</w:t>
      </w:r>
      <w:r>
        <w:rPr>
          <w:rFonts w:hint="eastAsia" w:ascii="宋体" w:hAnsi="宋体" w:eastAsia="宋体" w:cs="宋体"/>
          <w:sz w:val="24"/>
          <w:szCs w:val="24"/>
          <w:u w:val="single"/>
        </w:rPr>
        <w:t>（投标人名称）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w:t>
      </w:r>
      <w:r>
        <w:rPr>
          <w:rFonts w:hint="eastAsia" w:ascii="宋体" w:hAnsi="宋体" w:eastAsia="宋体" w:cs="宋体"/>
          <w:kern w:val="0"/>
          <w:sz w:val="24"/>
          <w:szCs w:val="24"/>
          <w:u w:val="single"/>
        </w:rPr>
        <w:t xml:space="preserve"> （授权委托代理人姓名）        </w:t>
      </w:r>
      <w:r>
        <w:rPr>
          <w:rFonts w:hint="eastAsia" w:ascii="宋体" w:hAnsi="宋体" w:eastAsia="宋体" w:cs="宋体"/>
          <w:kern w:val="0"/>
          <w:sz w:val="24"/>
          <w:szCs w:val="24"/>
        </w:rPr>
        <w:t>为我公司参加贵方组织的</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XX项目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委托期限：</w:t>
      </w:r>
      <w:r>
        <w:rPr>
          <w:rFonts w:hint="eastAsia" w:ascii="宋体" w:hAnsi="宋体" w:eastAsia="宋体" w:cs="宋体"/>
          <w:kern w:val="0"/>
          <w:sz w:val="24"/>
          <w:szCs w:val="24"/>
          <w:u w:val="single"/>
        </w:rPr>
        <w:t>20XX  年X 月 X 日至 20XX  年 X 月 X 日</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代理人无转委托权，特此委托。</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代理人姓名：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 </w:t>
      </w:r>
      <w:r>
        <w:rPr>
          <w:rFonts w:hint="eastAsia" w:ascii="宋体" w:hAnsi="宋体" w:eastAsia="宋体" w:cs="宋体"/>
          <w:kern w:val="0"/>
          <w:sz w:val="24"/>
          <w:szCs w:val="24"/>
          <w:u w:val="single"/>
        </w:rPr>
        <w:t xml:space="preserve">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投标人名称：（盖单位公章）</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法定代表人：（签字）</w:t>
      </w:r>
    </w:p>
    <w:p>
      <w:pPr>
        <w:spacing w:line="360" w:lineRule="auto"/>
        <w:ind w:firstLine="480" w:firstLineChars="200"/>
        <w:rPr>
          <w:rFonts w:hint="eastAsia" w:ascii="宋体" w:hAnsi="宋体" w:eastAsia="宋体" w:cs="宋体"/>
          <w:kern w:val="0"/>
          <w:sz w:val="24"/>
          <w:szCs w:val="24"/>
        </w:rPr>
      </w:pPr>
    </w:p>
    <w:p>
      <w:pPr>
        <w:adjustRightInd w:val="0"/>
        <w:spacing w:line="480" w:lineRule="exact"/>
        <w:jc w:val="left"/>
        <w:textAlignment w:val="baseline"/>
        <w:rPr>
          <w:rFonts w:hint="eastAsia" w:ascii="宋体" w:hAnsi="宋体" w:eastAsia="宋体" w:cs="宋体"/>
          <w:b/>
          <w:kern w:val="0"/>
          <w:sz w:val="24"/>
          <w:szCs w:val="24"/>
        </w:rPr>
      </w:pPr>
      <w:r>
        <w:rPr>
          <w:rFonts w:hint="eastAsia" w:ascii="宋体" w:hAnsi="宋体" w:eastAsia="宋体" w:cs="宋体"/>
          <w:b/>
          <w:kern w:val="0"/>
          <w:sz w:val="24"/>
          <w:szCs w:val="24"/>
        </w:rPr>
        <w:t>附被授权人有效的身份证正反两面复印件</w:t>
      </w:r>
    </w:p>
    <w:p>
      <w:pPr>
        <w:spacing w:line="360" w:lineRule="auto"/>
        <w:rPr>
          <w:rFonts w:hint="eastAsia" w:ascii="宋体" w:hAnsi="宋体" w:eastAsia="宋体" w:cs="宋体"/>
          <w:kern w:val="0"/>
          <w:szCs w:val="21"/>
        </w:rPr>
      </w:pPr>
    </w:p>
    <w:p>
      <w:pPr>
        <w:spacing w:line="360" w:lineRule="auto"/>
        <w:rPr>
          <w:rFonts w:hint="eastAsia" w:ascii="宋体" w:hAnsi="宋体" w:eastAsia="宋体" w:cs="宋体"/>
          <w:kern w:val="0"/>
          <w:szCs w:val="21"/>
        </w:rPr>
      </w:pPr>
    </w:p>
    <w:p>
      <w:pPr>
        <w:rPr>
          <w:rFonts w:cs="宋体" w:asciiTheme="minorEastAsia" w:hAnsiTheme="minorEastAsia" w:eastAsiaTheme="minorEastAsia"/>
          <w:b/>
          <w:bCs/>
          <w:color w:val="FF0000"/>
          <w:sz w:val="24"/>
          <w:szCs w:val="24"/>
        </w:rPr>
      </w:pPr>
      <w:r>
        <w:rPr>
          <w:rFonts w:hint="eastAsia" w:cs="宋体" w:asciiTheme="minorEastAsia" w:hAnsiTheme="minorEastAsia" w:eastAsiaTheme="minorEastAsia"/>
          <w:b/>
          <w:bCs/>
          <w:color w:val="FF0000"/>
          <w:sz w:val="24"/>
          <w:szCs w:val="24"/>
        </w:rPr>
        <w:br w:type="page"/>
      </w:r>
    </w:p>
    <w:p>
      <w:pPr>
        <w:rPr>
          <w:rFonts w:cs="宋体" w:asciiTheme="minorEastAsia" w:hAnsiTheme="minorEastAsia" w:eastAsiaTheme="minorEastAsia"/>
          <w:b/>
          <w:bCs/>
          <w:color w:val="000000"/>
          <w:sz w:val="24"/>
          <w:szCs w:val="24"/>
        </w:rPr>
      </w:pPr>
    </w:p>
    <w:p>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5</w:t>
      </w:r>
    </w:p>
    <w:p>
      <w:pPr>
        <w:pStyle w:val="13"/>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商务条款偏离表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4140" w:type="dxa"/>
            <w:gridSpan w:val="2"/>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554" w:type="dxa"/>
            <w:gridSpan w:val="2"/>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Theme="minorEastAsia" w:hAnsiTheme="minorEastAsia" w:eastAsiaTheme="minorEastAsia"/>
                <w:color w:val="000000"/>
                <w:sz w:val="24"/>
                <w:szCs w:val="24"/>
              </w:rPr>
            </w:pPr>
          </w:p>
        </w:tc>
        <w:tc>
          <w:tcPr>
            <w:tcW w:w="108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306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c>
          <w:tcPr>
            <w:tcW w:w="108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2474"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3060" w:type="dxa"/>
            <w:vAlign w:val="center"/>
          </w:tcPr>
          <w:p>
            <w:pP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474" w:type="dxa"/>
            <w:vAlign w:val="center"/>
          </w:tcPr>
          <w:p>
            <w:pPr>
              <w:rPr>
                <w:rFonts w:asciiTheme="minorEastAsia" w:hAnsiTheme="minorEastAsia" w:eastAsiaTheme="minorEastAsia"/>
                <w:color w:val="000000"/>
                <w:sz w:val="24"/>
                <w:szCs w:val="24"/>
              </w:rPr>
            </w:pPr>
          </w:p>
        </w:tc>
      </w:tr>
    </w:tbl>
    <w:p>
      <w:pPr>
        <w:ind w:firstLine="240" w:firstLineChars="100"/>
        <w:rPr>
          <w:rFonts w:hint="eastAsia" w:asciiTheme="minorEastAsia" w:hAnsiTheme="minorEastAsia" w:eastAsiaTheme="minorEastAsia"/>
          <w:color w:val="000000"/>
          <w:sz w:val="24"/>
          <w:szCs w:val="24"/>
        </w:rPr>
      </w:pPr>
    </w:p>
    <w:p>
      <w:pPr>
        <w:ind w:firstLine="240" w:firstLineChars="1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pPr>
        <w:ind w:firstLine="240" w:firstLineChars="100"/>
        <w:rPr>
          <w:rFonts w:hint="eastAsia" w:asciiTheme="minorEastAsia" w:hAnsiTheme="minorEastAsia" w:eastAsiaTheme="minorEastAsia"/>
          <w:color w:val="000000"/>
          <w:sz w:val="24"/>
          <w:szCs w:val="24"/>
        </w:rPr>
      </w:pPr>
    </w:p>
    <w:p>
      <w:pPr>
        <w:ind w:left="235" w:leftChars="112"/>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为避免歧义，无偏离也应要提报该表，并注明“无”字。如无该表则即使在其它部分已反映，将也被视为“无偏离”。</w:t>
      </w:r>
    </w:p>
    <w:p>
      <w:pPr>
        <w:rPr>
          <w:rFonts w:asciiTheme="minorEastAsia" w:hAnsiTheme="minorEastAsia" w:eastAsiaTheme="minorEastAsia"/>
          <w:b/>
          <w:bCs/>
          <w:color w:val="000000"/>
          <w:sz w:val="24"/>
          <w:szCs w:val="24"/>
        </w:rPr>
      </w:pPr>
    </w:p>
    <w:p>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p>
    <w:p>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6</w:t>
      </w:r>
    </w:p>
    <w:p>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技术规格、参数偏离表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3971" w:type="dxa"/>
            <w:gridSpan w:val="2"/>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723" w:type="dxa"/>
            <w:gridSpan w:val="2"/>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Theme="minorEastAsia" w:hAnsiTheme="minorEastAsia" w:eastAsiaTheme="minorEastAsia"/>
                <w:color w:val="000000"/>
                <w:sz w:val="24"/>
                <w:szCs w:val="24"/>
              </w:rPr>
            </w:pPr>
          </w:p>
        </w:tc>
        <w:tc>
          <w:tcPr>
            <w:tcW w:w="108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891"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c>
          <w:tcPr>
            <w:tcW w:w="1110"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613"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Theme="minorEastAsia" w:hAnsiTheme="minorEastAsia" w:eastAsiaTheme="minorEastAsia"/>
                <w:color w:val="000000"/>
                <w:sz w:val="24"/>
                <w:szCs w:val="24"/>
              </w:rPr>
            </w:pPr>
          </w:p>
        </w:tc>
        <w:tc>
          <w:tcPr>
            <w:tcW w:w="1080" w:type="dxa"/>
            <w:vAlign w:val="center"/>
          </w:tcPr>
          <w:p>
            <w:pPr>
              <w:rPr>
                <w:rFonts w:asciiTheme="minorEastAsia" w:hAnsiTheme="minorEastAsia" w:eastAsiaTheme="minorEastAsia"/>
                <w:color w:val="000000"/>
                <w:sz w:val="24"/>
                <w:szCs w:val="24"/>
              </w:rPr>
            </w:pPr>
          </w:p>
        </w:tc>
        <w:tc>
          <w:tcPr>
            <w:tcW w:w="2891" w:type="dxa"/>
            <w:vAlign w:val="center"/>
          </w:tcPr>
          <w:p>
            <w:pPr>
              <w:rPr>
                <w:rFonts w:asciiTheme="minorEastAsia" w:hAnsiTheme="minorEastAsia" w:eastAsiaTheme="minorEastAsia"/>
                <w:color w:val="000000"/>
                <w:sz w:val="24"/>
                <w:szCs w:val="24"/>
              </w:rPr>
            </w:pPr>
          </w:p>
        </w:tc>
        <w:tc>
          <w:tcPr>
            <w:tcW w:w="1110" w:type="dxa"/>
            <w:vAlign w:val="center"/>
          </w:tcPr>
          <w:p>
            <w:pPr>
              <w:rPr>
                <w:rFonts w:asciiTheme="minorEastAsia" w:hAnsiTheme="minorEastAsia" w:eastAsiaTheme="minorEastAsia"/>
                <w:color w:val="000000"/>
                <w:sz w:val="24"/>
                <w:szCs w:val="24"/>
              </w:rPr>
            </w:pPr>
          </w:p>
        </w:tc>
        <w:tc>
          <w:tcPr>
            <w:tcW w:w="2613" w:type="dxa"/>
            <w:vAlign w:val="center"/>
          </w:tcPr>
          <w:p>
            <w:pPr>
              <w:rPr>
                <w:rFonts w:asciiTheme="minorEastAsia" w:hAnsiTheme="minorEastAsia" w:eastAsiaTheme="minorEastAsia"/>
                <w:color w:val="000000"/>
                <w:sz w:val="24"/>
                <w:szCs w:val="24"/>
              </w:rPr>
            </w:pPr>
          </w:p>
        </w:tc>
      </w:tr>
    </w:tbl>
    <w:p>
      <w:pPr>
        <w:ind w:firstLine="240" w:firstLineChars="100"/>
        <w:rPr>
          <w:rFonts w:hint="eastAsia" w:asciiTheme="minorEastAsia" w:hAnsiTheme="minorEastAsia" w:eastAsiaTheme="minorEastAsia"/>
          <w:color w:val="000000"/>
          <w:sz w:val="24"/>
          <w:szCs w:val="24"/>
        </w:rPr>
      </w:pPr>
    </w:p>
    <w:p>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pPr>
        <w:rPr>
          <w:rFonts w:asciiTheme="minorEastAsia" w:hAnsiTheme="minorEastAsia" w:eastAsiaTheme="minorEastAsia"/>
          <w:b/>
          <w:color w:val="000000"/>
          <w:sz w:val="24"/>
          <w:szCs w:val="24"/>
        </w:rPr>
      </w:pPr>
    </w:p>
    <w:p>
      <w:pPr>
        <w:ind w:left="235" w:leftChars="112"/>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即使投标人在《技术性能、参数的详细描述》中进行了描述，也要提报该表，</w:t>
      </w:r>
      <w:r>
        <w:rPr>
          <w:rFonts w:hint="eastAsia" w:asciiTheme="minorEastAsia" w:hAnsiTheme="minorEastAsia" w:eastAsiaTheme="minorEastAsia"/>
          <w:b/>
          <w:color w:val="000000"/>
          <w:sz w:val="24"/>
          <w:szCs w:val="24"/>
        </w:rPr>
        <w:t>无该表则被视为“无偏离”。</w:t>
      </w:r>
      <w:r>
        <w:rPr>
          <w:rFonts w:hint="eastAsia" w:asciiTheme="minorEastAsia" w:hAnsiTheme="minorEastAsia" w:eastAsiaTheme="minorEastAsia"/>
          <w:color w:val="000000"/>
          <w:sz w:val="24"/>
          <w:szCs w:val="24"/>
        </w:rPr>
        <w:t>如无偏离注明“无”字。</w:t>
      </w: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asciiTheme="minorEastAsia" w:hAnsiTheme="minorEastAsia" w:eastAsiaTheme="minorEastAsia"/>
          <w:color w:val="000000"/>
          <w:sz w:val="24"/>
          <w:szCs w:val="24"/>
        </w:rPr>
      </w:pPr>
    </w:p>
    <w:p>
      <w:pPr>
        <w:rPr>
          <w:rFonts w:cs="宋体" w:asciiTheme="minorEastAsia" w:hAnsiTheme="minorEastAsia" w:eastAsiaTheme="minorEastAsia"/>
          <w:b/>
          <w:bCs/>
          <w:color w:val="000000"/>
          <w:sz w:val="24"/>
          <w:szCs w:val="24"/>
        </w:rPr>
      </w:pPr>
    </w:p>
    <w:p>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rPr>
        <w:t>7</w:t>
      </w:r>
    </w:p>
    <w:p>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免费增值服务</w:t>
      </w:r>
    </w:p>
    <w:tbl>
      <w:tblPr>
        <w:tblStyle w:val="29"/>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099" w:type="dxa"/>
          </w:tcPr>
          <w:p>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格式自拟</w:t>
            </w: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p>
            <w:pPr>
              <w:rPr>
                <w:rFonts w:hint="eastAsia" w:asciiTheme="minorEastAsia" w:hAnsiTheme="minorEastAsia" w:eastAsiaTheme="minorEastAsia"/>
                <w:sz w:val="24"/>
                <w:szCs w:val="24"/>
              </w:rPr>
            </w:pPr>
          </w:p>
        </w:tc>
      </w:tr>
    </w:tbl>
    <w:p>
      <w:pPr>
        <w:rPr>
          <w:rFonts w:asciiTheme="minorEastAsia" w:hAnsiTheme="minorEastAsia" w:eastAsiaTheme="minorEastAsia"/>
          <w:sz w:val="24"/>
          <w:szCs w:val="24"/>
        </w:rPr>
      </w:pPr>
    </w:p>
    <w:p>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                   授权代表签字：                  日期：</w:t>
      </w:r>
    </w:p>
    <w:p>
      <w:pPr>
        <w:ind w:firstLine="1928" w:firstLineChars="800"/>
        <w:outlineLvl w:val="0"/>
        <w:rPr>
          <w:rFonts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pStyle w:val="13"/>
        <w:spacing w:line="360" w:lineRule="auto"/>
        <w:jc w:val="center"/>
        <w:rPr>
          <w:rFonts w:cs="宋体" w:asciiTheme="minorEastAsia" w:hAnsiTheme="minorEastAsia" w:eastAsiaTheme="minorEastAsia"/>
          <w:b/>
          <w:bCs/>
          <w:color w:val="000000"/>
          <w:sz w:val="24"/>
          <w:szCs w:val="24"/>
        </w:rPr>
      </w:pPr>
    </w:p>
    <w:p>
      <w:pPr>
        <w:rPr>
          <w:rFonts w:asciiTheme="minorEastAsia" w:hAnsiTheme="minorEastAsia" w:eastAsiaTheme="minorEastAsia"/>
          <w:color w:val="000000"/>
          <w:sz w:val="24"/>
          <w:szCs w:val="24"/>
        </w:rPr>
      </w:pPr>
    </w:p>
    <w:p>
      <w:pPr>
        <w:pStyle w:val="13"/>
        <w:spacing w:line="360" w:lineRule="auto"/>
        <w:rPr>
          <w:rFonts w:asciiTheme="minorEastAsia" w:hAnsiTheme="minorEastAsia" w:eastAsiaTheme="minorEastAsia"/>
          <w:b/>
          <w:bCs/>
          <w:color w:val="000000"/>
          <w:sz w:val="24"/>
          <w:szCs w:val="24"/>
        </w:rPr>
      </w:pPr>
    </w:p>
    <w:p>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p>
    <w:p>
      <w:pPr>
        <w:pStyle w:val="13"/>
        <w:spacing w:line="360" w:lineRule="auto"/>
        <w:jc w:val="center"/>
        <w:rPr>
          <w:rFonts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rPr>
        <w:t>第</w:t>
      </w:r>
      <w:r>
        <w:rPr>
          <w:rFonts w:hint="eastAsia" w:cs="宋体" w:asciiTheme="minorEastAsia" w:hAnsiTheme="minorEastAsia" w:eastAsiaTheme="minorEastAsia"/>
          <w:b/>
          <w:bCs/>
          <w:color w:val="000000"/>
          <w:sz w:val="36"/>
          <w:szCs w:val="36"/>
          <w:lang w:val="en-US" w:eastAsia="zh-CN"/>
        </w:rPr>
        <w:t>五</w:t>
      </w:r>
      <w:r>
        <w:rPr>
          <w:rFonts w:hint="eastAsia" w:cs="宋体" w:asciiTheme="minorEastAsia" w:hAnsiTheme="minorEastAsia" w:eastAsiaTheme="minorEastAsia"/>
          <w:b/>
          <w:bCs/>
          <w:color w:val="000000"/>
          <w:sz w:val="36"/>
          <w:szCs w:val="36"/>
        </w:rPr>
        <w:t xml:space="preserve">部分 </w:t>
      </w:r>
      <w:r>
        <w:rPr>
          <w:rFonts w:hint="eastAsia" w:cs="宋体" w:asciiTheme="minorEastAsia" w:hAnsiTheme="minorEastAsia" w:eastAsiaTheme="minorEastAsia"/>
          <w:b/>
          <w:bCs/>
          <w:color w:val="000000"/>
          <w:sz w:val="36"/>
          <w:szCs w:val="36"/>
          <w:lang w:val="en-US" w:eastAsia="zh-CN"/>
        </w:rPr>
        <w:t>项目合同及</w:t>
      </w:r>
      <w:r>
        <w:rPr>
          <w:rFonts w:hint="eastAsia" w:cs="宋体" w:asciiTheme="minorEastAsia" w:hAnsiTheme="minorEastAsia" w:eastAsiaTheme="minorEastAsia"/>
          <w:b/>
          <w:bCs/>
          <w:color w:val="000000"/>
          <w:sz w:val="36"/>
          <w:szCs w:val="36"/>
        </w:rPr>
        <w:t>技术协议书</w:t>
      </w:r>
    </w:p>
    <w:p>
      <w:pPr>
        <w:ind w:right="-189" w:rightChars="-9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sz w:val="36"/>
          <w:szCs w:val="36"/>
        </w:rPr>
        <w:t>施工工程合同</w:t>
      </w:r>
    </w:p>
    <w:p>
      <w:pPr>
        <w:autoSpaceDE w:val="0"/>
        <w:autoSpaceDN w:val="0"/>
        <w:adjustRightInd w:val="0"/>
        <w:spacing w:line="440" w:lineRule="exact"/>
        <w:rPr>
          <w:rFonts w:hint="eastAsia" w:ascii="仿宋_GB2312" w:hAnsi="仿宋_GB2312" w:eastAsia="仿宋_GB2312" w:cs="仿宋_GB2312"/>
          <w:color w:val="000000"/>
          <w:kern w:val="0"/>
          <w:szCs w:val="21"/>
        </w:rPr>
      </w:pPr>
    </w:p>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发包人（全称）：中国重汽集团济南动力有限公司【以下可称：发包人、发包方</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甲方</w:t>
      </w:r>
      <w:r>
        <w:rPr>
          <w:rFonts w:hint="eastAsia" w:ascii="仿宋_GB2312" w:hAnsi="仿宋_GB2312" w:eastAsia="仿宋_GB2312" w:cs="仿宋_GB2312"/>
          <w:color w:val="000000"/>
          <w:kern w:val="0"/>
          <w:szCs w:val="21"/>
          <w:lang w:val="en-US" w:eastAsia="zh-CN"/>
        </w:rPr>
        <w:t>或动力公司</w:t>
      </w:r>
      <w:r>
        <w:rPr>
          <w:rFonts w:hint="eastAsia" w:ascii="仿宋_GB2312" w:hAnsi="仿宋_GB2312" w:eastAsia="仿宋_GB2312" w:cs="仿宋_GB2312"/>
          <w:color w:val="000000"/>
          <w:kern w:val="0"/>
          <w:szCs w:val="21"/>
        </w:rPr>
        <w:t>】</w:t>
      </w:r>
    </w:p>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承包人（全称）：</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【以下可称：承包人、承包方、施工方</w:t>
      </w:r>
      <w:r>
        <w:rPr>
          <w:rFonts w:hint="eastAsia" w:ascii="仿宋_GB2312" w:hAnsi="仿宋_GB2312" w:eastAsia="仿宋_GB2312" w:cs="仿宋_GB2312"/>
          <w:color w:val="000000"/>
          <w:kern w:val="0"/>
          <w:szCs w:val="21"/>
          <w:lang w:eastAsia="zh-CN"/>
        </w:rPr>
        <w:t>、</w:t>
      </w:r>
      <w:r>
        <w:rPr>
          <w:rFonts w:hint="eastAsia" w:ascii="仿宋_GB2312" w:hAnsi="仿宋_GB2312" w:eastAsia="仿宋_GB2312" w:cs="仿宋_GB2312"/>
          <w:color w:val="000000"/>
          <w:kern w:val="0"/>
          <w:szCs w:val="21"/>
        </w:rPr>
        <w:t>乙方</w:t>
      </w:r>
      <w:r>
        <w:rPr>
          <w:rFonts w:hint="eastAsia" w:ascii="仿宋_GB2312" w:hAnsi="仿宋_GB2312" w:eastAsia="仿宋_GB2312" w:cs="仿宋_GB2312"/>
          <w:color w:val="000000"/>
          <w:kern w:val="0"/>
          <w:szCs w:val="21"/>
          <w:lang w:val="en-US" w:eastAsia="zh-CN"/>
        </w:rPr>
        <w:t>或xx公司</w:t>
      </w:r>
      <w:r>
        <w:rPr>
          <w:rFonts w:hint="eastAsia" w:ascii="仿宋_GB2312" w:hAnsi="仿宋_GB2312" w:eastAsia="仿宋_GB2312" w:cs="仿宋_GB2312"/>
          <w:color w:val="000000"/>
          <w:kern w:val="0"/>
          <w:szCs w:val="21"/>
        </w:rPr>
        <w:t>】</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依据《中华人民共和国合同法》、《中华人民共和国建筑法》及有关法律、行政法规，遵循平等、自愿、公平和诚实信用的原则，双方就本工程施工事项协商一致，订立本合同。</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1.工程概况</w:t>
      </w:r>
    </w:p>
    <w:p>
      <w:pPr>
        <w:autoSpaceDE w:val="0"/>
        <w:autoSpaceDN w:val="0"/>
        <w:adjustRightInd w:val="0"/>
        <w:spacing w:line="440" w:lineRule="exact"/>
        <w:ind w:left="-180" w:firstLine="422" w:firstLineChars="200"/>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Cs w:val="21"/>
        </w:rPr>
        <w:t>1.1工程名称</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u w:val="single"/>
          <w:lang w:val="en-US" w:eastAsia="zh-CN"/>
        </w:rPr>
        <w:t xml:space="preserve">             </w:t>
      </w:r>
    </w:p>
    <w:p>
      <w:pPr>
        <w:autoSpaceDE w:val="0"/>
        <w:autoSpaceDN w:val="0"/>
        <w:adjustRightInd w:val="0"/>
        <w:spacing w:line="440" w:lineRule="exact"/>
        <w:ind w:left="-180" w:firstLine="422" w:firstLineChars="200"/>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b/>
          <w:bCs/>
          <w:color w:val="000000"/>
          <w:kern w:val="0"/>
          <w:szCs w:val="21"/>
        </w:rPr>
        <w:t>1.2工程地点</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u w:val="single"/>
          <w:lang w:val="en-US" w:eastAsia="zh-CN"/>
        </w:rPr>
        <w:t xml:space="preserve">             </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2.工程承包范围</w:t>
      </w:r>
    </w:p>
    <w:p>
      <w:pPr>
        <w:autoSpaceDE w:val="0"/>
        <w:autoSpaceDN w:val="0"/>
        <w:adjustRightInd w:val="0"/>
        <w:spacing w:line="440" w:lineRule="exact"/>
        <w:ind w:left="-180" w:firstLine="422" w:firstLineChars="200"/>
        <w:rPr>
          <w:rFonts w:hint="default" w:ascii="仿宋_GB2312" w:hAnsi="仿宋_GB2312" w:eastAsia="仿宋_GB2312" w:cs="仿宋_GB2312"/>
          <w:color w:val="000000"/>
          <w:kern w:val="0"/>
          <w:szCs w:val="21"/>
          <w:u w:val="single"/>
          <w:lang w:val="en-US" w:eastAsia="zh-CN"/>
        </w:rPr>
      </w:pPr>
      <w:r>
        <w:rPr>
          <w:rFonts w:hint="eastAsia" w:ascii="仿宋_GB2312" w:hAnsi="仿宋_GB2312" w:eastAsia="仿宋_GB2312" w:cs="仿宋_GB2312"/>
          <w:b/>
          <w:bCs/>
          <w:color w:val="000000"/>
          <w:kern w:val="0"/>
          <w:szCs w:val="21"/>
        </w:rPr>
        <w:t>2.1承包范围</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u w:val="single"/>
          <w:lang w:val="en-US" w:eastAsia="zh-CN"/>
        </w:rPr>
        <w:t xml:space="preserve">             </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2.2承包方式</w:t>
      </w:r>
      <w:r>
        <w:rPr>
          <w:rFonts w:hint="eastAsia" w:ascii="仿宋_GB2312" w:hAnsi="仿宋_GB2312" w:eastAsia="仿宋_GB2312" w:cs="仿宋_GB2312"/>
          <w:color w:val="000000"/>
          <w:kern w:val="0"/>
          <w:szCs w:val="21"/>
        </w:rPr>
        <w:t>：承包人包工包料。</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《承揽工程一览表》详见本合同附件1。</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3.合同工期</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计划开工日期</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年</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月</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日</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计划竣工日期</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年</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月</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日。计划工期总日历天数</w:t>
      </w:r>
      <w:r>
        <w:rPr>
          <w:rFonts w:hint="eastAsia" w:ascii="仿宋_GB2312" w:hAnsi="仿宋_GB2312" w:eastAsia="仿宋_GB2312" w:cs="仿宋_GB2312"/>
          <w:color w:val="000000"/>
          <w:kern w:val="0"/>
          <w:szCs w:val="21"/>
          <w:highlight w:val="none"/>
          <w:lang w:val="en-US" w:eastAsia="zh-CN"/>
        </w:rPr>
        <w:t xml:space="preserve">   </w:t>
      </w:r>
      <w:r>
        <w:rPr>
          <w:rFonts w:hint="eastAsia" w:ascii="仿宋_GB2312" w:hAnsi="仿宋_GB2312" w:eastAsia="仿宋_GB2312" w:cs="仿宋_GB2312"/>
          <w:color w:val="000000"/>
          <w:kern w:val="0"/>
          <w:szCs w:val="21"/>
          <w:highlight w:val="none"/>
        </w:rPr>
        <w:t>天。</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4.质量标准</w:t>
      </w:r>
    </w:p>
    <w:p>
      <w:pPr>
        <w:autoSpaceDE w:val="0"/>
        <w:autoSpaceDN w:val="0"/>
        <w:adjustRightInd w:val="0"/>
        <w:spacing w:line="440" w:lineRule="exact"/>
        <w:ind w:left="-180" w:firstLine="422" w:firstLineChars="200"/>
        <w:rPr>
          <w:rFonts w:hint="eastAsia"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4.1工程质量标准：</w:t>
      </w:r>
    </w:p>
    <w:p>
      <w:pPr>
        <w:autoSpaceDE w:val="0"/>
        <w:autoSpaceDN w:val="0"/>
        <w:adjustRightInd w:val="0"/>
        <w:spacing w:line="440" w:lineRule="exact"/>
        <w:ind w:left="-180" w:firstLine="420" w:firstLineChars="200"/>
        <w:rPr>
          <w:rFonts w:hint="default"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严格执行国家、行业、国家电网公司工程建设管理的法律、法规和规章制度，贯彻国家、行业和国家电网公司现行设计技术规范及设计管理规定，保证工程满足国家和行业施工验收规范的要求。</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4.2适用标准、规范</w:t>
      </w:r>
      <w:r>
        <w:rPr>
          <w:rFonts w:hint="eastAsia" w:ascii="仿宋_GB2312" w:hAnsi="仿宋_GB2312" w:eastAsia="仿宋_GB2312" w:cs="仿宋_GB2312"/>
          <w:color w:val="000000"/>
          <w:kern w:val="0"/>
          <w:szCs w:val="21"/>
        </w:rPr>
        <w:t>：国家现行的施工规范和质量检验评定标准以及项目所在地即山东省济南市的相关规定。</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4.3工程质量要求</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（1）承包人向发包人承诺按照合同约定施工、竣工并在质量保修期内承担工程质量保修责任。发包人向承包人承诺按照合同约定的期限和方式支付合同价款及其他应当支付的款项。</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（2）工程质量应当达到协议书约定的质量标准，质量标准的评定以国家或行业的质量检验评定标准为依据。因承包人原因致使工程质量达不到约定的质量标准，承包人承担违约责任。</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（3）双方对工程质量有争议，由双方同意的工程质量检测机构鉴定，所需费用及因此造成的损失，由责任方承担。双方均有责任，由双方根据其责任分别承担。</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4.4检查和返工约定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（1）承包人应认真按照标准、规范和设计图纸要求以及工程师依据合同发出的指令施工，随时接受发包人的检查检验，为检查检验提供便利条件。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工程质量达不到约定标准的部分，发包人一经发现，应要求承包人拆除和重新施工，承包人应按发包人的要求拆除和重新施工，直到符合约定标准。因承包人原因达不到约定标准，由承包人承担拆除和重新施工的费用，工期不予顺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（3）发包人的检查检验不应影响施工正常进行。如影响施工正常进行，检查检验不合格时，影响正常施工的费用由承包人承担。除此之外影响正常施工的追加合同价款由发包人承担，相应顺延工期。</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（4）因发包人指令失误或其他非承包人原因发生的追加合同价款，由发包人承担。</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5.合同价款及支付</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highlight w:val="none"/>
          <w:u w:val="single"/>
        </w:rPr>
      </w:pPr>
      <w:r>
        <w:rPr>
          <w:rFonts w:hint="eastAsia" w:ascii="仿宋_GB2312" w:hAnsi="仿宋_GB2312" w:eastAsia="仿宋_GB2312" w:cs="仿宋_GB2312"/>
          <w:b/>
          <w:bCs/>
          <w:color w:val="000000"/>
          <w:kern w:val="0"/>
          <w:szCs w:val="21"/>
          <w:highlight w:val="none"/>
        </w:rPr>
        <w:t>5.1合同总金额：</w:t>
      </w:r>
      <w:r>
        <w:rPr>
          <w:rFonts w:hint="eastAsia" w:ascii="仿宋_GB2312" w:hAnsi="仿宋_GB2312" w:eastAsia="仿宋_GB2312" w:cs="仿宋_GB2312"/>
          <w:b/>
          <w:color w:val="000000"/>
          <w:kern w:val="0"/>
          <w:szCs w:val="21"/>
          <w:highlight w:val="none"/>
          <w:u w:val="single"/>
        </w:rPr>
        <w:t>人民币</w:t>
      </w:r>
      <w:r>
        <w:rPr>
          <w:rFonts w:hint="eastAsia" w:ascii="仿宋_GB2312" w:hAnsi="仿宋_GB2312" w:eastAsia="仿宋_GB2312" w:cs="仿宋_GB2312"/>
          <w:b/>
          <w:color w:val="000000"/>
          <w:kern w:val="0"/>
          <w:szCs w:val="21"/>
          <w:highlight w:val="none"/>
          <w:u w:val="single"/>
          <w:lang w:val="en-US" w:eastAsia="zh-CN"/>
        </w:rPr>
        <w:t xml:space="preserve">    </w:t>
      </w:r>
      <w:r>
        <w:rPr>
          <w:rFonts w:hint="eastAsia" w:ascii="仿宋_GB2312" w:hAnsi="仿宋_GB2312" w:eastAsia="仿宋_GB2312" w:cs="仿宋_GB2312"/>
          <w:b/>
          <w:color w:val="000000"/>
          <w:kern w:val="0"/>
          <w:szCs w:val="21"/>
          <w:highlight w:val="none"/>
          <w:u w:val="single"/>
        </w:rPr>
        <w:t>元（大写：</w:t>
      </w:r>
      <w:r>
        <w:rPr>
          <w:rFonts w:hint="eastAsia" w:ascii="仿宋_GB2312" w:hAnsi="仿宋_GB2312" w:eastAsia="仿宋_GB2312" w:cs="仿宋_GB2312"/>
          <w:b/>
          <w:color w:val="000000"/>
          <w:kern w:val="0"/>
          <w:szCs w:val="21"/>
          <w:highlight w:val="none"/>
          <w:u w:val="single"/>
          <w:lang w:val="en-US" w:eastAsia="zh-CN"/>
        </w:rPr>
        <w:t xml:space="preserve">     </w:t>
      </w:r>
      <w:r>
        <w:rPr>
          <w:rFonts w:hint="eastAsia" w:ascii="仿宋_GB2312" w:hAnsi="仿宋_GB2312" w:eastAsia="仿宋_GB2312" w:cs="仿宋_GB2312"/>
          <w:b/>
          <w:color w:val="000000"/>
          <w:kern w:val="0"/>
          <w:szCs w:val="21"/>
          <w:highlight w:val="none"/>
          <w:u w:val="single"/>
        </w:rPr>
        <w:t>圆整，</w:t>
      </w:r>
      <w:r>
        <w:rPr>
          <w:rFonts w:hint="eastAsia" w:ascii="仿宋_GB2312" w:hAnsi="仿宋_GB2312" w:eastAsia="仿宋_GB2312" w:cs="仿宋_GB2312"/>
          <w:color w:val="000000"/>
          <w:kern w:val="0"/>
          <w:szCs w:val="21"/>
          <w:highlight w:val="none"/>
        </w:rPr>
        <w:t>税率为</w:t>
      </w:r>
      <w:r>
        <w:rPr>
          <w:rFonts w:hint="eastAsia" w:ascii="仿宋_GB2312" w:hAnsi="仿宋_GB2312" w:eastAsia="仿宋_GB2312" w:cs="仿宋_GB2312"/>
          <w:b/>
          <w:color w:val="000000"/>
          <w:kern w:val="0"/>
          <w:szCs w:val="21"/>
          <w:highlight w:val="none"/>
          <w:u w:val="single"/>
          <w:lang w:val="en-US" w:eastAsia="zh-CN"/>
        </w:rPr>
        <w:t xml:space="preserve">   </w:t>
      </w:r>
      <w:r>
        <w:rPr>
          <w:rFonts w:hint="eastAsia" w:ascii="仿宋_GB2312" w:hAnsi="仿宋_GB2312" w:eastAsia="仿宋_GB2312" w:cs="仿宋_GB2312"/>
          <w:b/>
          <w:color w:val="000000"/>
          <w:kern w:val="0"/>
          <w:szCs w:val="21"/>
          <w:highlight w:val="none"/>
          <w:u w:val="single"/>
        </w:rPr>
        <w:t>%）</w:t>
      </w:r>
      <w:r>
        <w:rPr>
          <w:rFonts w:hint="eastAsia" w:ascii="仿宋_GB2312" w:hAnsi="仿宋_GB2312" w:eastAsia="仿宋_GB2312" w:cs="仿宋_GB2312"/>
          <w:color w:val="000000"/>
          <w:kern w:val="0"/>
          <w:szCs w:val="21"/>
          <w:highlight w:val="none"/>
        </w:rPr>
        <w:t>。不含税价为</w:t>
      </w:r>
      <w:r>
        <w:rPr>
          <w:rFonts w:hint="eastAsia" w:ascii="仿宋_GB2312" w:hAnsi="仿宋_GB2312" w:eastAsia="仿宋_GB2312" w:cs="仿宋_GB2312"/>
          <w:color w:val="000000"/>
          <w:kern w:val="0"/>
          <w:szCs w:val="21"/>
          <w:highlight w:val="none"/>
          <w:u w:val="single"/>
          <w:lang w:val="en-US" w:eastAsia="zh-CN"/>
        </w:rPr>
        <w:t xml:space="preserve">     </w:t>
      </w:r>
      <w:r>
        <w:rPr>
          <w:rFonts w:hint="eastAsia" w:ascii="仿宋_GB2312" w:hAnsi="仿宋_GB2312" w:eastAsia="仿宋_GB2312" w:cs="仿宋_GB2312"/>
          <w:color w:val="000000"/>
          <w:kern w:val="0"/>
          <w:szCs w:val="21"/>
          <w:highlight w:val="none"/>
          <w:u w:val="single"/>
        </w:rPr>
        <w:t>元</w:t>
      </w:r>
      <w:r>
        <w:rPr>
          <w:rFonts w:hint="eastAsia" w:ascii="仿宋_GB2312" w:hAnsi="仿宋_GB2312" w:eastAsia="仿宋_GB2312" w:cs="仿宋_GB2312"/>
          <w:color w:val="000000"/>
          <w:kern w:val="0"/>
          <w:szCs w:val="21"/>
          <w:highlight w:val="none"/>
        </w:rPr>
        <w:t>，若遇国家税率调整，不含税价不变，按最新税率执行。</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highlight w:val="none"/>
        </w:rPr>
      </w:pPr>
      <w:r>
        <w:rPr>
          <w:rFonts w:hint="eastAsia" w:ascii="仿宋_GB2312" w:hAnsi="仿宋_GB2312" w:eastAsia="仿宋_GB2312" w:cs="仿宋_GB2312"/>
          <w:b/>
          <w:bCs/>
          <w:color w:val="000000"/>
          <w:kern w:val="0"/>
          <w:szCs w:val="21"/>
          <w:highlight w:val="none"/>
        </w:rPr>
        <w:t>5.2合同价款调整</w:t>
      </w:r>
      <w:r>
        <w:rPr>
          <w:rFonts w:hint="eastAsia" w:ascii="仿宋_GB2312" w:hAnsi="仿宋_GB2312" w:eastAsia="仿宋_GB2312" w:cs="仿宋_GB2312"/>
          <w:color w:val="000000"/>
          <w:kern w:val="0"/>
          <w:szCs w:val="21"/>
          <w:highlight w:val="none"/>
        </w:rPr>
        <w:t>：本合同采用固定合同总价方式，合同价款非因发包方原因调整双方已确定工程施工范围，合同总价款不再做任何调整。</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highlight w:val="none"/>
        </w:rPr>
        <w:t>5.3付款进度约定：</w:t>
      </w:r>
      <w:r>
        <w:rPr>
          <w:rFonts w:hint="eastAsia" w:ascii="仿宋_GB2312" w:hAnsi="仿宋_GB2312" w:eastAsia="仿宋_GB2312" w:cs="仿宋_GB2312"/>
          <w:color w:val="000000"/>
          <w:kern w:val="0"/>
          <w:szCs w:val="21"/>
          <w:highlight w:val="none"/>
          <w:u w:val="single"/>
        </w:rPr>
        <w:t>本合同无预付款支付，工程竣工验收合格后发包人向承包人支付合同总价款的</w:t>
      </w:r>
      <w:r>
        <w:rPr>
          <w:rFonts w:hint="eastAsia" w:ascii="仿宋_GB2312" w:hAnsi="仿宋_GB2312" w:eastAsia="仿宋_GB2312" w:cs="仿宋_GB2312"/>
          <w:color w:val="000000"/>
          <w:kern w:val="0"/>
          <w:szCs w:val="21"/>
          <w:highlight w:val="none"/>
          <w:u w:val="single"/>
          <w:lang w:val="en-US" w:eastAsia="zh-CN"/>
        </w:rPr>
        <w:t xml:space="preserve">  </w:t>
      </w:r>
      <w:r>
        <w:rPr>
          <w:rFonts w:hint="eastAsia" w:ascii="仿宋_GB2312" w:hAnsi="仿宋_GB2312" w:eastAsia="仿宋_GB2312" w:cs="仿宋_GB2312"/>
          <w:color w:val="000000"/>
          <w:kern w:val="0"/>
          <w:szCs w:val="21"/>
          <w:highlight w:val="none"/>
          <w:u w:val="single"/>
        </w:rPr>
        <w:t>%计为</w:t>
      </w:r>
      <w:r>
        <w:rPr>
          <w:rFonts w:hint="eastAsia" w:ascii="仿宋_GB2312" w:hAnsi="仿宋_GB2312" w:eastAsia="仿宋_GB2312" w:cs="仿宋_GB2312"/>
          <w:color w:val="000000"/>
          <w:kern w:val="0"/>
          <w:szCs w:val="21"/>
          <w:highlight w:val="none"/>
          <w:u w:val="single"/>
          <w:lang w:val="en-US" w:eastAsia="zh-CN"/>
        </w:rPr>
        <w:t xml:space="preserve">      </w:t>
      </w:r>
      <w:r>
        <w:rPr>
          <w:rFonts w:hint="eastAsia" w:ascii="仿宋_GB2312" w:hAnsi="仿宋_GB2312" w:eastAsia="仿宋_GB2312" w:cs="仿宋_GB2312"/>
          <w:color w:val="000000"/>
          <w:kern w:val="0"/>
          <w:szCs w:val="21"/>
          <w:highlight w:val="none"/>
          <w:u w:val="single"/>
        </w:rPr>
        <w:t>元，合同总价款的</w:t>
      </w:r>
      <w:r>
        <w:rPr>
          <w:rFonts w:hint="eastAsia" w:ascii="仿宋_GB2312" w:hAnsi="仿宋_GB2312" w:eastAsia="仿宋_GB2312" w:cs="仿宋_GB2312"/>
          <w:color w:val="000000"/>
          <w:kern w:val="0"/>
          <w:szCs w:val="21"/>
          <w:highlight w:val="none"/>
          <w:u w:val="single"/>
          <w:lang w:val="en-US" w:eastAsia="zh-CN"/>
        </w:rPr>
        <w:t xml:space="preserve">   </w:t>
      </w:r>
      <w:r>
        <w:rPr>
          <w:rFonts w:hint="eastAsia" w:ascii="仿宋_GB2312" w:hAnsi="仿宋_GB2312" w:eastAsia="仿宋_GB2312" w:cs="仿宋_GB2312"/>
          <w:color w:val="000000"/>
          <w:kern w:val="0"/>
          <w:szCs w:val="21"/>
          <w:highlight w:val="none"/>
          <w:u w:val="single"/>
        </w:rPr>
        <w:t>%计为</w:t>
      </w:r>
      <w:r>
        <w:rPr>
          <w:rFonts w:hint="eastAsia" w:ascii="仿宋_GB2312" w:hAnsi="仿宋_GB2312" w:eastAsia="仿宋_GB2312" w:cs="仿宋_GB2312"/>
          <w:color w:val="000000"/>
          <w:kern w:val="0"/>
          <w:szCs w:val="21"/>
          <w:highlight w:val="none"/>
          <w:u w:val="single"/>
          <w:lang w:val="en-US" w:eastAsia="zh-CN"/>
        </w:rPr>
        <w:t xml:space="preserve">      </w:t>
      </w:r>
      <w:r>
        <w:rPr>
          <w:rFonts w:hint="eastAsia" w:ascii="仿宋_GB2312" w:hAnsi="仿宋_GB2312" w:eastAsia="仿宋_GB2312" w:cs="仿宋_GB2312"/>
          <w:color w:val="000000"/>
          <w:kern w:val="0"/>
          <w:szCs w:val="21"/>
          <w:highlight w:val="none"/>
          <w:u w:val="single"/>
        </w:rPr>
        <w:t>元作为工程质量保修金</w:t>
      </w:r>
      <w:r>
        <w:rPr>
          <w:rFonts w:hint="eastAsia" w:ascii="仿宋_GB2312" w:hAnsi="仿宋_GB2312" w:eastAsia="仿宋_GB2312" w:cs="仿宋_GB2312"/>
          <w:color w:val="000000"/>
          <w:kern w:val="0"/>
          <w:szCs w:val="21"/>
        </w:rPr>
        <w:t>，质量保修金的支付按照本合同附件2《工程质量保修书》中的规定执行。</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5.4合同付款方式</w:t>
      </w:r>
      <w:r>
        <w:rPr>
          <w:rFonts w:hint="eastAsia" w:ascii="仿宋_GB2312" w:hAnsi="仿宋_GB2312" w:eastAsia="仿宋_GB2312" w:cs="仿宋_GB2312"/>
          <w:b/>
          <w:bCs/>
          <w:color w:val="000000"/>
          <w:kern w:val="0"/>
          <w:szCs w:val="21"/>
          <w:highlight w:val="none"/>
        </w:rPr>
        <w:t>：</w:t>
      </w:r>
      <w:r>
        <w:rPr>
          <w:rFonts w:hint="eastAsia" w:ascii="仿宋_GB2312" w:hAnsi="仿宋_GB2312" w:eastAsia="仿宋_GB2312" w:cs="仿宋_GB2312"/>
          <w:color w:val="000000"/>
          <w:kern w:val="0"/>
          <w:szCs w:val="21"/>
          <w:highlight w:val="none"/>
          <w:u w:val="single"/>
          <w:lang w:val="en-US" w:eastAsia="zh-CN"/>
        </w:rPr>
        <w:t>银行承兑汇票</w:t>
      </w:r>
      <w:r>
        <w:rPr>
          <w:rFonts w:hint="eastAsia" w:ascii="仿宋_GB2312" w:hAnsi="仿宋_GB2312" w:eastAsia="仿宋_GB2312" w:cs="仿宋_GB2312"/>
          <w:color w:val="000000"/>
          <w:kern w:val="0"/>
          <w:szCs w:val="21"/>
          <w:highlight w:val="none"/>
        </w:rPr>
        <w:t>。</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5.5关于发票及其他事项的约定</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u w:val="single"/>
        </w:rPr>
        <w:t>甲方所有款项的支付均需乙方持当批付款金额一致的符合国家要求的增值税专用发票、收据、授权委托书、经办人身份证明原件及复印件等其他甲方财务制度要求的资料</w:t>
      </w:r>
      <w:r>
        <w:rPr>
          <w:rFonts w:hint="eastAsia" w:ascii="仿宋_GB2312" w:hAnsi="仿宋_GB2312" w:eastAsia="仿宋_GB2312" w:cs="仿宋_GB2312"/>
          <w:color w:val="000000"/>
          <w:kern w:val="0"/>
          <w:szCs w:val="21"/>
        </w:rPr>
        <w:t>。</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6、组成合同的文件</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6.1 组成本合同的文件</w:t>
      </w:r>
      <w:r>
        <w:rPr>
          <w:rFonts w:hint="eastAsia" w:ascii="仿宋_GB2312" w:hAnsi="仿宋_GB2312" w:eastAsia="仿宋_GB2312" w:cs="仿宋_GB2312"/>
          <w:color w:val="000000"/>
          <w:kern w:val="0"/>
          <w:szCs w:val="21"/>
        </w:rPr>
        <w:t>：</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本施工工程合同；（2）中标通知书（如果有）；（3）招标文件及答疑（如果有）;（4）标准、规范及有关技术文件；（5）图纸；（6）工程量清单；（7）工程报价单或预算书；（8）投标书及其附件（如果有）。</w:t>
      </w:r>
    </w:p>
    <w:p>
      <w:pPr>
        <w:autoSpaceDE w:val="0"/>
        <w:autoSpaceDN w:val="0"/>
        <w:adjustRightInd w:val="0"/>
        <w:spacing w:line="440" w:lineRule="exact"/>
        <w:ind w:left="-180" w:firstLine="422" w:firstLineChars="200"/>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6.2合同组成文件说明：</w:t>
      </w:r>
      <w:r>
        <w:rPr>
          <w:rFonts w:hint="eastAsia" w:ascii="仿宋_GB2312" w:hAnsi="仿宋_GB2312" w:eastAsia="仿宋_GB2312" w:cs="仿宋_GB2312"/>
          <w:color w:val="000000"/>
          <w:kern w:val="0"/>
          <w:szCs w:val="21"/>
        </w:rPr>
        <w:t>合同双方有关工程的洽商、变更等书面协议视为本合同的组成部分。</w:t>
      </w:r>
    </w:p>
    <w:p>
      <w:pPr>
        <w:autoSpaceDE w:val="0"/>
        <w:autoSpaceDN w:val="0"/>
        <w:adjustRightInd w:val="0"/>
        <w:spacing w:line="440" w:lineRule="exact"/>
        <w:ind w:left="-180" w:firstLine="422" w:firstLineChars="200"/>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6.3图纸的约定</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6.3.1</w:t>
      </w:r>
      <w:r>
        <w:rPr>
          <w:rFonts w:ascii="仿宋_GB2312" w:hAnsi="仿宋_GB2312" w:eastAsia="仿宋_GB2312" w:cs="仿宋_GB2312"/>
          <w:color w:val="auto"/>
          <w:kern w:val="0"/>
          <w:szCs w:val="21"/>
        </w:rPr>
        <w:t>发包人向承包人提供图纸日期和套数：合同生效后</w:t>
      </w:r>
      <w:r>
        <w:rPr>
          <w:rFonts w:hint="eastAsia" w:ascii="仿宋_GB2312" w:hAnsi="仿宋_GB2312" w:eastAsia="仿宋_GB2312" w:cs="仿宋_GB2312"/>
          <w:color w:val="auto"/>
          <w:kern w:val="0"/>
          <w:szCs w:val="21"/>
          <w:u w:val="single"/>
          <w:lang w:val="en-US" w:eastAsia="zh-CN"/>
        </w:rPr>
        <w:t xml:space="preserve">   </w:t>
      </w:r>
      <w:r>
        <w:rPr>
          <w:rFonts w:ascii="仿宋_GB2312" w:hAnsi="仿宋_GB2312" w:eastAsia="仿宋_GB2312" w:cs="仿宋_GB2312"/>
          <w:color w:val="auto"/>
          <w:kern w:val="0"/>
          <w:szCs w:val="21"/>
        </w:rPr>
        <w:t>日内提供施工图纸</w:t>
      </w:r>
      <w:r>
        <w:rPr>
          <w:rFonts w:hint="eastAsia" w:ascii="仿宋_GB2312" w:hAnsi="仿宋_GB2312" w:eastAsia="仿宋_GB2312" w:cs="仿宋_GB2312"/>
          <w:color w:val="auto"/>
          <w:kern w:val="0"/>
          <w:szCs w:val="21"/>
          <w:u w:val="single"/>
          <w:lang w:val="en-US" w:eastAsia="zh-CN"/>
        </w:rPr>
        <w:t xml:space="preserve">   </w:t>
      </w:r>
      <w:r>
        <w:rPr>
          <w:rFonts w:ascii="仿宋_GB2312" w:hAnsi="仿宋_GB2312" w:eastAsia="仿宋_GB2312" w:cs="仿宋_GB2312"/>
          <w:color w:val="auto"/>
          <w:kern w:val="0"/>
          <w:szCs w:val="21"/>
        </w:rPr>
        <w:t>套。承包人需要的图纸超过六套的，发包人可以代为复制，承包人也可以自行复制，图纸超过专用条款约定数量部分的复制费由承包人承担。</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6.3.2</w:t>
      </w:r>
      <w:r>
        <w:rPr>
          <w:rFonts w:ascii="仿宋_GB2312" w:hAnsi="仿宋_GB2312" w:eastAsia="仿宋_GB2312" w:cs="仿宋_GB2312"/>
          <w:color w:val="auto"/>
          <w:kern w:val="0"/>
          <w:szCs w:val="21"/>
        </w:rPr>
        <w:t>发包人对图纸的保密要求：由发包人提供的图纸、规范和其它文件，未经发包人代表书面许可，承包人不得以任何形式泄露、转让或使用于第三方。承包人对图纸保密工作中所需支出的保密措施费用已包含在合同价款中。</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ascii="仿宋_GB2312" w:hAnsi="仿宋_GB2312" w:eastAsia="仿宋_GB2312" w:cs="仿宋_GB2312"/>
          <w:color w:val="auto"/>
          <w:kern w:val="0"/>
          <w:szCs w:val="21"/>
        </w:rPr>
        <w:t>4.3图纸的返还期限：</w:t>
      </w:r>
      <w:r>
        <w:rPr>
          <w:rFonts w:hint="eastAsia" w:ascii="仿宋_GB2312" w:hAnsi="仿宋_GB2312" w:eastAsia="仿宋_GB2312" w:cs="仿宋_GB2312"/>
          <w:color w:val="auto"/>
          <w:kern w:val="0"/>
          <w:szCs w:val="21"/>
        </w:rPr>
        <w:t>工程竣工验收合格之日起30日日内，除承包人存档需要的图纸外，应将全部图纸退还给发包人。</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6.3.4承包人应在施工现场保留一套完整图纸，供工程师及有关人员进行工程检查时使用。</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7.双方的权利和义务</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7.1关于发包人派驻工程师的约定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职权：发包人代表和监理方可根据承包人的所有不利于本工程的行为做出罚款处罚通知，罚金最低1000元/次，上不设限，累计罚金超过1万元，发包人可终止协议，承包人负违约责任。协议终止后所造成的损失由承包人赔付，结算办法由发包人确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（2）合同履行中，发生影响发包人承包人双方权利或义务的事件时，负责监理的工程师应依据合同在其职权范围内客观公正地进行处理。一方对工程师的处理有异议时，按本合同争议的约定处理。</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（3）除合同内有明确约定或经发包人同意外，负责监理的工程师无权解除本合同约定的承包人的任何权利与义务。</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（4）本施工工程合同不实行监理，工程师的职权：全权。</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（7）如需更换工程师，发包人应至少提前7天以书面形式通知承包人，后任继续行使合同文件约定的前任的职权，履行前任的义务。</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7.2关于承包人项目经理的约定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承包人进场前，须将投标文件或其他有关文件中提供的本工程项目经理、主要施工管理人员及配属队伍情况报发包人和总监理工程师考察、认可后，方可进场施工。施工中如更换施工队伍，必须经发包人和总监理工程师批准后方可进场施工。项目经理一经确定，除发包人要求，未经发包人同意，不得擅自调离或更换，项目经理不得兼职其他工程。</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承包人项目经理短期离开施工场地超过3天的，应事先征得发包人同意，并委派代表代行其职责。</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（2）承包人依据合同发出的通知，以书面形式由项目经理签字后送交工程师，工程师在回执上签署姓名和收到时间后生效。</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（4）承包人如需更换项目经理，应至少提前7天以书面形式通知发包人，并征得发包人同意。后任继续行使合同文件约定的前任的职权，履行前任的义务。</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（5）发包人有权更换其认为不称职的项目经理。</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7.3发包人工作</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发包人应按约定的时间和要求完成以下工作：</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（1）施工场地具备施工条件的要求及完成的时间：</w:t>
      </w:r>
      <w:r>
        <w:rPr>
          <w:rFonts w:hint="eastAsia" w:ascii="仿宋_GB2312" w:hAnsi="仿宋_GB2312" w:eastAsia="仿宋_GB2312" w:cs="仿宋_GB2312"/>
          <w:color w:val="000000"/>
          <w:kern w:val="0"/>
          <w:szCs w:val="21"/>
        </w:rPr>
        <w:t>截至合同签订时间，</w:t>
      </w:r>
      <w:r>
        <w:rPr>
          <w:rFonts w:ascii="仿宋_GB2312" w:hAnsi="仿宋_GB2312" w:eastAsia="仿宋_GB2312" w:cs="仿宋_GB2312"/>
          <w:color w:val="000000"/>
          <w:kern w:val="0"/>
          <w:szCs w:val="21"/>
        </w:rPr>
        <w:t>施工场地已具备施工条件。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（2）将施工所需的水、电、电讯线路接至施工场地的时间、地点和供应要求：开工前7日内已将水、电等管线的接口位置明示给承包人，承包人负责接至施工现场范围内并满足施工要求，费用由承包人承担。</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（3）施工场地与公共道路的通道开通时间和要求：</w:t>
      </w:r>
      <w:r>
        <w:rPr>
          <w:rFonts w:hint="eastAsia" w:ascii="仿宋_GB2312" w:hAnsi="仿宋_GB2312" w:eastAsia="仿宋_GB2312" w:cs="仿宋_GB2312"/>
          <w:color w:val="000000"/>
          <w:kern w:val="0"/>
          <w:szCs w:val="21"/>
        </w:rPr>
        <w:t>截至合同签订时间，</w:t>
      </w:r>
      <w:r>
        <w:rPr>
          <w:rFonts w:ascii="仿宋_GB2312" w:hAnsi="仿宋_GB2312" w:eastAsia="仿宋_GB2312" w:cs="仿宋_GB2312"/>
          <w:color w:val="000000"/>
          <w:kern w:val="0"/>
          <w:szCs w:val="21"/>
        </w:rPr>
        <w:t>已开通。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（4）工程地质和地下管线资料的提供时间：合同签订3日内，发包人以书面形式提交承包人，并对资料的真实性负责。</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（5）由发包人办理的施工所需证件、批件的名称和完成时间：</w:t>
      </w:r>
      <w:r>
        <w:rPr>
          <w:rFonts w:hint="eastAsia" w:ascii="仿宋_GB2312" w:hAnsi="仿宋_GB2312" w:eastAsia="仿宋_GB2312" w:cs="仿宋_GB2312"/>
          <w:color w:val="000000"/>
          <w:kern w:val="0"/>
          <w:szCs w:val="21"/>
        </w:rPr>
        <w:t>截至合同签订时间，</w:t>
      </w:r>
      <w:r>
        <w:rPr>
          <w:rFonts w:ascii="仿宋_GB2312" w:hAnsi="仿宋_GB2312" w:eastAsia="仿宋_GB2312" w:cs="仿宋_GB2312"/>
          <w:color w:val="000000"/>
          <w:kern w:val="0"/>
          <w:szCs w:val="21"/>
        </w:rPr>
        <w:t>发包人已完成。</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（6）水准点与座标控制点交验要求：</w:t>
      </w:r>
      <w:r>
        <w:rPr>
          <w:rFonts w:hint="eastAsia" w:ascii="仿宋_GB2312" w:hAnsi="仿宋_GB2312" w:eastAsia="仿宋_GB2312" w:cs="仿宋_GB2312"/>
          <w:color w:val="000000"/>
          <w:kern w:val="0"/>
          <w:szCs w:val="21"/>
        </w:rPr>
        <w:t>承包人</w:t>
      </w:r>
      <w:r>
        <w:rPr>
          <w:rFonts w:ascii="仿宋_GB2312" w:hAnsi="仿宋_GB2312" w:eastAsia="仿宋_GB2312" w:cs="仿宋_GB2312"/>
          <w:color w:val="000000"/>
          <w:kern w:val="0"/>
          <w:szCs w:val="21"/>
        </w:rPr>
        <w:t>进场</w:t>
      </w:r>
      <w:r>
        <w:rPr>
          <w:rFonts w:hint="eastAsia" w:ascii="仿宋_GB2312" w:hAnsi="仿宋_GB2312" w:eastAsia="仿宋_GB2312" w:cs="仿宋_GB2312"/>
          <w:color w:val="000000"/>
          <w:kern w:val="0"/>
          <w:szCs w:val="21"/>
        </w:rPr>
        <w:t>施工</w:t>
      </w:r>
      <w:r>
        <w:rPr>
          <w:rFonts w:ascii="仿宋_GB2312" w:hAnsi="仿宋_GB2312" w:eastAsia="仿宋_GB2312" w:cs="仿宋_GB2312"/>
          <w:color w:val="000000"/>
          <w:kern w:val="0"/>
          <w:szCs w:val="21"/>
        </w:rPr>
        <w:t>后一周内发包人以书面形式提交，并现场书面交验，办理签证，由承包人负责保护，并承担因此发生的费用。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（7）图纸会审和设计交底时间：发包人应在合同签订后7天内负责组织监理单位、设计单位和承包人进行图纸会审，向承包人进行设计交底。</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（8）协调处理施工场地周围地下管线和邻近建筑物、构筑物（含文物保护建筑）、古树名木的保护工作，</w:t>
      </w:r>
      <w:r>
        <w:rPr>
          <w:rFonts w:hint="eastAsia" w:ascii="仿宋_GB2312" w:hAnsi="仿宋_GB2312" w:eastAsia="仿宋_GB2312" w:cs="仿宋_GB2312"/>
          <w:color w:val="000000"/>
          <w:kern w:val="0"/>
          <w:szCs w:val="21"/>
        </w:rPr>
        <w:t>并</w:t>
      </w:r>
      <w:r>
        <w:rPr>
          <w:rFonts w:ascii="仿宋_GB2312" w:hAnsi="仿宋_GB2312" w:eastAsia="仿宋_GB2312" w:cs="仿宋_GB2312"/>
          <w:color w:val="000000"/>
          <w:kern w:val="0"/>
          <w:szCs w:val="21"/>
        </w:rPr>
        <w:t>承担有关费用。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（9）双方约定发包人应做的其它工作：</w:t>
      </w:r>
      <w:r>
        <w:rPr>
          <w:rFonts w:hint="eastAsia" w:ascii="仿宋_GB2312" w:hAnsi="仿宋_GB2312" w:eastAsia="仿宋_GB2312" w:cs="仿宋_GB2312"/>
          <w:color w:val="000000"/>
          <w:kern w:val="0"/>
          <w:szCs w:val="21"/>
        </w:rPr>
        <w:t>暂</w:t>
      </w:r>
      <w:r>
        <w:rPr>
          <w:rFonts w:ascii="仿宋_GB2312" w:hAnsi="仿宋_GB2312" w:eastAsia="仿宋_GB2312" w:cs="仿宋_GB2312"/>
          <w:color w:val="000000"/>
          <w:kern w:val="0"/>
          <w:szCs w:val="21"/>
        </w:rPr>
        <w:t>无。</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发包人可将</w:t>
      </w:r>
      <w:r>
        <w:rPr>
          <w:rFonts w:hint="eastAsia" w:ascii="仿宋_GB2312" w:hAnsi="仿宋_GB2312" w:eastAsia="仿宋_GB2312" w:cs="仿宋_GB2312"/>
          <w:color w:val="000000"/>
          <w:kern w:val="0"/>
          <w:szCs w:val="21"/>
        </w:rPr>
        <w:t>上述</w:t>
      </w:r>
      <w:r>
        <w:rPr>
          <w:rFonts w:ascii="仿宋_GB2312" w:hAnsi="仿宋_GB2312" w:eastAsia="仿宋_GB2312" w:cs="仿宋_GB2312"/>
          <w:color w:val="000000"/>
          <w:kern w:val="0"/>
          <w:szCs w:val="21"/>
        </w:rPr>
        <w:t>部分工作书面委托承包人办理，其费用由双方另行协商。</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发包人未能履行</w:t>
      </w:r>
      <w:r>
        <w:rPr>
          <w:rFonts w:hint="eastAsia" w:ascii="仿宋_GB2312" w:hAnsi="仿宋_GB2312" w:eastAsia="仿宋_GB2312" w:cs="仿宋_GB2312"/>
          <w:color w:val="000000"/>
          <w:kern w:val="0"/>
          <w:szCs w:val="21"/>
        </w:rPr>
        <w:t>上述工作</w:t>
      </w:r>
      <w:r>
        <w:rPr>
          <w:rFonts w:ascii="仿宋_GB2312" w:hAnsi="仿宋_GB2312" w:eastAsia="仿宋_GB2312" w:cs="仿宋_GB2312"/>
          <w:color w:val="000000"/>
          <w:kern w:val="0"/>
          <w:szCs w:val="21"/>
        </w:rPr>
        <w:t>各项义务，导致工期延误或给承包人造成损失的，顺延延误的工期。</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7.4承包人工作</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承包人应确保遵守招标文件或其他有关文件中全部内容，履行投标文件中全部承诺，按时按质按量完成协议书约定的全部内容，应按约定时间和要求，完成以下工作：</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（1）承包人负责管理发包人提供的水源、电源。负责整修施工场地内施工用道路，满足施工及材料、设备运输的需要。承包人应按</w:t>
      </w:r>
      <w:r>
        <w:rPr>
          <w:rFonts w:hint="eastAsia" w:ascii="仿宋_GB2312" w:hAnsi="仿宋_GB2312" w:eastAsia="仿宋_GB2312" w:cs="仿宋_GB2312"/>
          <w:color w:val="000000"/>
          <w:kern w:val="0"/>
          <w:szCs w:val="21"/>
        </w:rPr>
        <w:t>监理人或发包人工程师</w:t>
      </w:r>
      <w:r>
        <w:rPr>
          <w:rFonts w:ascii="仿宋_GB2312" w:hAnsi="仿宋_GB2312" w:eastAsia="仿宋_GB2312" w:cs="仿宋_GB2312"/>
          <w:color w:val="000000"/>
          <w:kern w:val="0"/>
          <w:szCs w:val="21"/>
        </w:rPr>
        <w:t>的指示为他人在施工现场或附近实施与工程有关的其他各项工作提供可能的条件。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（2）应提供计划、报表的名称及完成时间：</w:t>
      </w:r>
      <w:r>
        <w:rPr>
          <w:rFonts w:hint="eastAsia" w:ascii="仿宋_GB2312" w:hAnsi="仿宋_GB2312" w:eastAsia="仿宋_GB2312" w:cs="仿宋_GB2312"/>
          <w:color w:val="000000"/>
          <w:kern w:val="0"/>
          <w:szCs w:val="21"/>
        </w:rPr>
        <w:t>按发包人工程师要求具体执行</w:t>
      </w:r>
      <w:r>
        <w:rPr>
          <w:rFonts w:ascii="仿宋_GB2312" w:hAnsi="仿宋_GB2312" w:eastAsia="仿宋_GB2312" w:cs="仿宋_GB2312"/>
          <w:color w:val="000000"/>
          <w:kern w:val="0"/>
          <w:szCs w:val="21"/>
        </w:rPr>
        <w:t>。</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（3）承担施工安全保卫工作及非夜间施工照明的责任和要求：承包人负责在工程施工、竣工及保修的整个过程中施工现场全部人员的安全。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承包人负责在需要的时间和地点，根据发包人或者有关部门要求，自费提供和维护所有灯光、护板、栅栏、警告信号和警卫，并且对工程进行保护或为公众提供安全和方便。</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（4）向发包人提供的办公和生活房屋及设施的要求：向发包人现场工作人员提供必要的办公条件及相应设施，该项费用已包含在承包人的报价中。</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（5）需承包人办理的有关施工场地交通、环卫和施工噪音管理等手续：对施工场地交通、环卫和施工噪音等管理的要求及费用由承包人负责，并承担因此带来的第三方追责和罚款。</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（6）已完工程成品保护的特殊要求及费用承担：已竣工工程未交付发包人前，承包人负责已完工程的成品保护，保护期间发生损坏，承包人自费修复。因发包人提前使用造成的损坏，发包人承担相应的费用。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7）施工场地周围地下管线和邻近建筑物、构筑物（含文物保护建筑）、古树名木的保护要求：承包人负责做好施工现场周围建筑物、构筑物和地下管线、文物及花木的保护，由于承包人过错导致现场周围建筑物、构筑物和地下管线、文物及花木被破坏的，所造成的损失由承包人承担。</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ascii="仿宋_GB2312" w:hAnsi="仿宋_GB2312" w:eastAsia="仿宋_GB2312" w:cs="仿宋_GB2312"/>
          <w:color w:val="000000"/>
          <w:kern w:val="0"/>
          <w:szCs w:val="21"/>
        </w:rPr>
        <w:t>（8）施工场地清洁卫生的要求：承包人负责施工现场场地清洁，</w:t>
      </w:r>
      <w:r>
        <w:rPr>
          <w:rFonts w:ascii="仿宋_GB2312" w:hAnsi="仿宋_GB2312" w:eastAsia="仿宋_GB2312" w:cs="仿宋_GB2312"/>
          <w:color w:val="auto"/>
          <w:kern w:val="0"/>
          <w:szCs w:val="21"/>
        </w:rPr>
        <w:t>道路及加工场地进行硬化，严格控制扬尘。应严格达到项目所在地对施工现场清洁卫生的要求，并承担由此发生的费用。交工前现场应达到技术规范与合同的要求。承包人负责整修发包人指定的进场道路及场内施工用道，满足施工及材料、设备运输的需要，费用由承包人承担。为满足施工需要的临时设施、辅助设施及安全防护设施所发生的费用，由承包人承担。承包人应文明施工，承担由自身原因违反有关规定造成的损失和罚款。施工安全要严格执行建设部和项目所在地的有关规定，接收项目所在地建筑安全监督站的监督检查，严格执行工程建设标准强制性条文中关于施工质量和施工安全地有关规定，保证安全施工所需资金，不以任何借口减少或取消应当设置的安全措施，确保施工安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auto"/>
          <w:kern w:val="0"/>
          <w:szCs w:val="21"/>
        </w:rPr>
        <w:t>（9）工程竣工后，承包人应按照发包人要求清理所有的临时性工程场地和临时道路，将</w:t>
      </w:r>
      <w:r>
        <w:rPr>
          <w:rFonts w:ascii="仿宋_GB2312" w:hAnsi="仿宋_GB2312" w:eastAsia="仿宋_GB2312" w:cs="仿宋_GB2312"/>
          <w:color w:val="000000"/>
          <w:kern w:val="0"/>
          <w:szCs w:val="21"/>
        </w:rPr>
        <w:t>这些场地恢复到原有状况，至少达到施工开始前的标准。</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（10）对分包的配合：</w:t>
      </w:r>
      <w:r>
        <w:rPr>
          <w:rFonts w:hint="eastAsia" w:ascii="仿宋_GB2312" w:hAnsi="仿宋_GB2312" w:eastAsia="仿宋_GB2312" w:cs="仿宋_GB2312"/>
          <w:color w:val="000000"/>
          <w:kern w:val="0"/>
          <w:szCs w:val="21"/>
        </w:rPr>
        <w:t>本施工合同不允许分包</w:t>
      </w:r>
      <w:r>
        <w:rPr>
          <w:rFonts w:ascii="仿宋_GB2312" w:hAnsi="仿宋_GB2312" w:eastAsia="仿宋_GB2312" w:cs="仿宋_GB2312"/>
          <w:color w:val="000000"/>
          <w:kern w:val="0"/>
          <w:szCs w:val="21"/>
        </w:rPr>
        <w:t>。</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（11）承包人在施工过程中故意刁难发包人或因其他原因给发包人造成的损失，应全额赔偿发包人的损失，发包人有权终止合同并另行选择施工单位。</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（12）承包人自行协调施工现场及周边的社会关系。</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（13）双方约定承包人应做的其它工作：</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①现场的项目经理及所有技术、管理人员必须与投标书及/或承包人承诺一致，确需要更换调整的，承包人需提前7日以书面形式向发包人提出变更请求及代替人员名单简历、管理经验、相关资质证书原件，经发包人书面同意后方可更换。承包人擅自变更或调整现场项目经理及所有管理人员，发包人有权予以经济处罚和追究法律责任直至终止合同。</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②当现场项目经理或某个技术人员不能胜任工作，发包人有权要求承包人更换符合条件的人员，并承担因此给发包人造成的损失。</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③ 所有承包人提交的文件或图纸的修改和撤回，必须得到发包人代表的的认可。承包人为履行合同发出的一切函件均应盖有承包人公章或其授权的项目部章，并由承包人项目经理或其授权代表签字。</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④ 由承包人提供的所有设备、设施和材料一经运至现场，即应被视为是专门供本工程施工使用。承包人除将上述物品在现场各部分之间转移外，如果没有发包人代表的书面同意，不得将上述物品运出现场。除合同另有约定外，发包人无论何时均不对上述承包人的设备、设施和材料的损失或损坏承担任何责任。</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⑤在合同要求范围内的施工、竣工和保修均不应使下述各方遭受不必要的干扰：</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a.公众的便利。</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b.对公用道路、便道的使用和他人财产的占用。</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c.承包人应保证发包人免于受到或承担应由承包人负责的上述事项所引起的与之有关的索赔、诉讼、损害赔偿及其它开支，承包人未能按合同约定完成上述工作时，应承担全部责任及费用，工期不得顺延。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⑥承包人在施工、竣工及保修期间负责协调周边关系，理顺和政府主管部门的关系，确保工程顺利进行，不受这些因素的干扰。承包人未能按合同约定完成此项工作时，应承担全部责任及费用，工期不得顺延。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w:t>
      </w:r>
      <w:r>
        <w:rPr>
          <w:rFonts w:ascii="仿宋_GB2312" w:hAnsi="仿宋_GB2312" w:eastAsia="仿宋_GB2312" w:cs="仿宋_GB2312"/>
          <w:color w:val="000000"/>
          <w:kern w:val="0"/>
          <w:szCs w:val="21"/>
        </w:rPr>
        <w:t>承包人现场查勘：承包人应对施工场地和周围环境进行查勘，并收集有关地质、水文、气象条件、交通条件、风俗习惯以及其他为完成合同工作有关的当地资料，承包人应对自行作出的解释和推断负责。在全部合同履行中，应视为承包人已充分估计了应承担的责任和风险。</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7.5工期延误</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r>
        <w:rPr>
          <w:rFonts w:ascii="仿宋_GB2312" w:hAnsi="仿宋_GB2312" w:eastAsia="仿宋_GB2312" w:cs="仿宋_GB2312"/>
          <w:color w:val="000000"/>
          <w:kern w:val="0"/>
          <w:szCs w:val="21"/>
        </w:rPr>
        <w:t>接到承包人延期开工申请后，经</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工程师确认同意后方可延期开工，工期是否相应顺延由工程师书面认定。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r>
        <w:rPr>
          <w:rFonts w:ascii="仿宋_GB2312" w:hAnsi="仿宋_GB2312" w:eastAsia="仿宋_GB2312" w:cs="仿宋_GB2312"/>
          <w:color w:val="000000"/>
          <w:kern w:val="0"/>
          <w:szCs w:val="21"/>
        </w:rPr>
        <w:t>因发包人的原因或不可抗力造成工期的延误，承包人应在情况发生后14天内，就延误的工期以书面形式向工程师提出报告。经工程师确认后，工期相应顺延。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r>
        <w:rPr>
          <w:rFonts w:ascii="仿宋_GB2312" w:hAnsi="仿宋_GB2312" w:eastAsia="仿宋_GB2312" w:cs="仿宋_GB2312"/>
          <w:color w:val="000000"/>
          <w:kern w:val="0"/>
          <w:szCs w:val="21"/>
        </w:rPr>
        <w:t>因承包人原因不能按合同约定的时间竣工，承包人每日按总造价的0.03 %向发包人支付赔偿费，误期时间从规定竣工日期起直到全部工程的竣工报告的批准日期之间的天数（不足一天的按一天计算），赔偿费总额不超过总造价的5%。发包人可从应向承包人支付的任何金额中扣除此项赔偿费或以其它方式收回此费用，此赔偿费的支付并不能解除承包人应完成工程的责任或合同规定的其他责任。</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r>
        <w:rPr>
          <w:rFonts w:ascii="仿宋_GB2312" w:hAnsi="仿宋_GB2312" w:eastAsia="仿宋_GB2312" w:cs="仿宋_GB2312"/>
          <w:color w:val="000000"/>
          <w:kern w:val="0"/>
          <w:szCs w:val="21"/>
        </w:rPr>
        <w:t>误期赔偿费</w:t>
      </w:r>
      <w:r>
        <w:rPr>
          <w:rFonts w:hint="eastAsia" w:ascii="仿宋_GB2312" w:hAnsi="仿宋_GB2312" w:eastAsia="仿宋_GB2312" w:cs="仿宋_GB2312"/>
          <w:color w:val="000000"/>
          <w:kern w:val="0"/>
          <w:szCs w:val="21"/>
        </w:rPr>
        <w:t>。</w:t>
      </w:r>
      <w:r>
        <w:rPr>
          <w:rFonts w:ascii="仿宋_GB2312" w:hAnsi="仿宋_GB2312" w:eastAsia="仿宋_GB2312" w:cs="仿宋_GB2312"/>
          <w:color w:val="000000"/>
          <w:kern w:val="0"/>
          <w:szCs w:val="21"/>
        </w:rPr>
        <w:t>在本合同中没有其他代替条款的情况下，承包人的误期赔偿费应考虑全部或部分工程金额中已移交的部分工程金额所占的比例予以减少。本款的规定仅适用于误期赔偿费率，而不影响其限额。</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r>
        <w:rPr>
          <w:rFonts w:ascii="仿宋_GB2312" w:hAnsi="仿宋_GB2312" w:eastAsia="仿宋_GB2312" w:cs="仿宋_GB2312"/>
          <w:color w:val="000000"/>
          <w:kern w:val="0"/>
          <w:szCs w:val="21"/>
        </w:rPr>
        <w:t>承包人同意发包人较约定日期延迟20个工作日支付工程款，是可原谅的延迟，不能成为承包人提出工期延期和要求发包人承担延期付款责任的理由；一周内非承包人原因引起的停水、停电、停气造成停工累计不超过8小时不足以成为延长工期的理由。</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7.6关于隐蔽工程的约定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工程具备隐蔽条件，承包人进行自检，并在隐蔽验收前48小时以书面形式通知</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工程师验收。通知包括隐蔽验收的内容、验收时间和地点。承包人准备验收记录，验收合格，工程师在验收记录上签字后，承包人可进行隐蔽和继续施工。验收不合格，承包人在工程师限定的时间内修改后重新验收。</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经</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工程师验收，工程质量符合标准、规范和设计图纸等要求，验收24小时后，工程师不在验收记录上签字，视为工程师已经认可验收记录，承包人可进行隐蔽或继续施工。</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承包人申请隐蔽工程验收的，应当按照以下程序进行：</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（1）承包人递交隐蔽工程申请书，并附自检记录。</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工程师对申请书进行审核，认为可以进行隐蔽工程申请的，进行隐蔽工程验收。认为需要补充材料的，由承包人补充材料后重新申请。认为需要承包人对材料进行澄清和说明的，承包人以书面形式进行澄清和说明。</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承包人未通知</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到场验收，私自将工程隐蔽部位覆盖的，</w:t>
      </w:r>
      <w:r>
        <w:rPr>
          <w:rFonts w:hint="eastAsia" w:ascii="仿宋_GB2312" w:hAnsi="仿宋_GB2312" w:eastAsia="仿宋_GB2312" w:cs="仿宋_GB2312"/>
          <w:color w:val="000000"/>
          <w:kern w:val="0"/>
          <w:szCs w:val="21"/>
        </w:rPr>
        <w:t>发包人</w:t>
      </w:r>
      <w:r>
        <w:rPr>
          <w:rFonts w:ascii="仿宋_GB2312" w:hAnsi="仿宋_GB2312" w:eastAsia="仿宋_GB2312" w:cs="仿宋_GB2312"/>
          <w:color w:val="000000"/>
          <w:kern w:val="0"/>
          <w:szCs w:val="21"/>
        </w:rPr>
        <w:t>有权指示承包人钻孔探测或揭开检查，由此增加的费用和（或）工期延误由承包人承担。</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8.违约、索赔和争议解决</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8.1发包人违约</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发包人未按合同约定向承包人支付合同款项的，发包人每拖期一天向承包人支付应付阶段款项的万分之3作为违约金。</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但如发包人发现实际施工人存在借用或冒用承包人的资质、印章等弄虚作假行为；或者实际施工人为承包人及其项目经理以外的第三人的情况，发包人有权以此为理由拒绝向承包人或实际施工人支付工程款，而不构成违约，也无需向承包人或实际施工人承担包含利息在内的任何违约及赔偿责任。</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8.2承包人违约</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（1）因承包人原因不能按照协议书约定的竣工日期或工程师同意顺延的工期竣工，承包人违反本合同约定未按期竣工的，每拖期一天向发包人支付工程总造价的万分之3作为违约金；</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因承包人原因工程质量达不到协议书约定的质量标准，如该工程属尚可接受使用的，承包人须支付相应单位工程总造价的10%-20%的违约金，违约金数额由发包人根据情况确定；如该工程无法接受使用的，承包人应赔偿发包人全部损失；</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本工程未经发包人书面许可，不得分包或非法转包。承包人将承包的工程转包、或者违法分包的，承包人除纠正错误、赔偿损失外，还应向发包人支付总合同价款10%的违约金，发包人有权解除协议，承包人承担因解除协议引起的一切费用并赔偿发包人由此带来的所有损失。</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承包人在施工中偷工减料的，使用不合格的建筑材料、建筑构配件或设备的，未经验收擅自隐蔽工程的，不按照设计图纸或施工技术标准施工的，发现图纸、建材质量问题隐瞒不报的，除责令改正并按约定承担处罚、赔偿损失之外，每发现一次，发包人有权视情节严重性要求承包人支付500元-1000元违约金。</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（5）承包人不履行合同义务或不按合同约定履行义务的其他情况。承包人承担违约责任，赔偿因其违约给发包人造成的损失。</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（6）承包人未能按合同约定履行自己的各项义务或发生错误，给发包人造成经济损失，发包人可根据实际经济损失向承包人提出索赔。</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8.3发包人向承包人索赔约定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（1）因承包人施工或运输方案不当而致使道路、桥梁、高压线、现有管道及其它设施的损坏，承包人应承担由此引起的任何索赔。</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（2）因施工废水、废物、废气、垃圾、噪音、夜间施工等的处理而带来的第三者对发包人的索赔，由承包人承担。</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（3）其他因承包人原因给发包人造成损失的。</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承包人应向发包人支付的索赔或违约金，发包人有权从支付给承包人的工程款中扣除。</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8.3争议处理约定</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双方约定，在履行合同过程中产生争议时，先行协商，协商不成的，依法向发包人所在地即济南市高新区有管辖权的人民法院起诉解决。</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9、合同生效</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9.1本合同订</w:t>
      </w:r>
      <w:r>
        <w:rPr>
          <w:rFonts w:hint="eastAsia" w:ascii="仿宋_GB2312" w:hAnsi="仿宋_GB2312" w:eastAsia="仿宋_GB2312" w:cs="仿宋_GB2312"/>
          <w:color w:val="auto"/>
          <w:kern w:val="0"/>
          <w:szCs w:val="21"/>
        </w:rPr>
        <w:t>立时间：</w:t>
      </w:r>
      <w:r>
        <w:rPr>
          <w:rFonts w:hint="eastAsia" w:ascii="仿宋_GB2312" w:hAnsi="仿宋_GB2312" w:eastAsia="仿宋_GB2312" w:cs="仿宋_GB2312"/>
          <w:color w:val="auto"/>
          <w:kern w:val="0"/>
          <w:szCs w:val="21"/>
          <w:highlight w:val="none"/>
          <w:lang w:val="en-US" w:eastAsia="zh-CN"/>
        </w:rPr>
        <w:t xml:space="preserve">   </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9.2合同订立地点：山东省济南市高新区。 </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9.3本合同双方约定：自双方签署之日起生效。</w:t>
      </w:r>
    </w:p>
    <w:p>
      <w:pPr>
        <w:autoSpaceDE w:val="0"/>
        <w:autoSpaceDN w:val="0"/>
        <w:adjustRightInd w:val="0"/>
        <w:spacing w:line="440" w:lineRule="exact"/>
        <w:ind w:left="-180" w:firstLine="422" w:firstLineChars="200"/>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10.其他条款</w:t>
      </w:r>
    </w:p>
    <w:p>
      <w:pPr>
        <w:autoSpaceDE w:val="0"/>
        <w:autoSpaceDN w:val="0"/>
        <w:adjustRightInd w:val="0"/>
        <w:spacing w:line="440" w:lineRule="exact"/>
        <w:ind w:left="-180" w:firstLine="420" w:firstLineChars="200"/>
        <w:rPr>
          <w:rFonts w:ascii="仿宋_GB2312" w:hAnsi="仿宋_GB2312" w:eastAsia="仿宋_GB2312" w:cs="仿宋_GB2312"/>
          <w:color w:val="auto"/>
          <w:kern w:val="0"/>
          <w:szCs w:val="21"/>
        </w:rPr>
      </w:pPr>
      <w:r>
        <w:rPr>
          <w:rFonts w:ascii="仿宋_GB2312" w:hAnsi="仿宋_GB2312" w:eastAsia="仿宋_GB2312" w:cs="仿宋_GB2312"/>
          <w:color w:val="auto"/>
          <w:kern w:val="0"/>
          <w:szCs w:val="21"/>
        </w:rPr>
        <w:t xml:space="preserve">双方约定合同份数：正本两份，由发包人、承包人分别保存；副本4份，发包人执两份，承包人执两份，正副本均具有同等法律效力。  </w:t>
      </w:r>
    </w:p>
    <w:p>
      <w:pPr>
        <w:autoSpaceDE w:val="0"/>
        <w:autoSpaceDN w:val="0"/>
        <w:adjustRightInd w:val="0"/>
        <w:spacing w:line="440" w:lineRule="exact"/>
        <w:ind w:left="-180" w:firstLine="420" w:firstLineChars="200"/>
        <w:rPr>
          <w:rFonts w:ascii="仿宋_GB2312" w:hAnsi="仿宋_GB2312" w:eastAsia="仿宋_GB2312" w:cs="仿宋_GB2312"/>
          <w:color w:val="000000"/>
          <w:kern w:val="0"/>
          <w:szCs w:val="21"/>
        </w:rPr>
      </w:pPr>
    </w:p>
    <w:p>
      <w:pPr>
        <w:autoSpaceDE w:val="0"/>
        <w:autoSpaceDN w:val="0"/>
        <w:adjustRightInd w:val="0"/>
        <w:spacing w:line="440" w:lineRule="exact"/>
        <w:ind w:firstLine="420" w:firstLineChars="2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发包人：（盖章）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承包人：（盖章）</w:t>
      </w:r>
    </w:p>
    <w:p>
      <w:pPr>
        <w:autoSpaceDE w:val="0"/>
        <w:autoSpaceDN w:val="0"/>
        <w:adjustRightInd w:val="0"/>
        <w:spacing w:line="440" w:lineRule="exact"/>
        <w:ind w:left="-180" w:firstLine="630" w:firstLineChars="3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法定代表人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法定代表人</w:t>
      </w:r>
    </w:p>
    <w:p>
      <w:pPr>
        <w:autoSpaceDE w:val="0"/>
        <w:autoSpaceDN w:val="0"/>
        <w:adjustRightInd w:val="0"/>
        <w:spacing w:line="440" w:lineRule="exact"/>
        <w:ind w:left="-180" w:firstLine="630" w:firstLineChars="3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或授权代表人：             </w:t>
      </w:r>
      <w:r>
        <w:rPr>
          <w:rFonts w:hint="eastAsia" w:ascii="仿宋_GB2312" w:hAnsi="仿宋_GB2312" w:eastAsia="仿宋_GB2312" w:cs="仿宋_GB2312"/>
          <w:color w:val="000000"/>
          <w:kern w:val="0"/>
          <w:szCs w:val="21"/>
          <w:lang w:val="en-US" w:eastAsia="zh-CN"/>
        </w:rPr>
        <w:t xml:space="preserve">           </w:t>
      </w:r>
      <w:r>
        <w:rPr>
          <w:rFonts w:hint="eastAsia" w:ascii="仿宋_GB2312" w:hAnsi="仿宋_GB2312" w:eastAsia="仿宋_GB2312" w:cs="仿宋_GB2312"/>
          <w:color w:val="000000"/>
          <w:kern w:val="0"/>
          <w:szCs w:val="21"/>
        </w:rPr>
        <w:t xml:space="preserve"> 或授权代表人：</w:t>
      </w:r>
    </w:p>
    <w:p>
      <w:pPr>
        <w:pStyle w:val="5"/>
        <w:spacing w:before="0" w:after="0" w:line="440" w:lineRule="exact"/>
        <w:ind w:firstLine="420" w:firstLineChars="200"/>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rPr>
          <w:rFonts w:hint="eastAsia" w:ascii="仿宋_GB2312" w:hAnsi="仿宋_GB2312" w:eastAsia="仿宋_GB2312" w:cs="仿宋_GB2312"/>
          <w:b w:val="0"/>
          <w:bCs w:val="0"/>
          <w:sz w:val="21"/>
          <w:szCs w:val="21"/>
        </w:rPr>
      </w:pPr>
    </w:p>
    <w:p>
      <w:pPr>
        <w:pStyle w:val="5"/>
        <w:spacing w:before="0" w:after="0" w:line="440" w:lineRule="exact"/>
        <w:ind w:firstLine="420" w:firstLineChars="200"/>
        <w:rPr>
          <w:rFonts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附件1：</w:t>
      </w:r>
    </w:p>
    <w:p>
      <w:pPr>
        <w:spacing w:line="440" w:lineRule="exact"/>
        <w:jc w:val="center"/>
        <w:rPr>
          <w:rFonts w:ascii="方正小标宋简体" w:hAnsi="方正小标宋简体" w:eastAsia="方正小标宋简体" w:cs="方正小标宋简体"/>
          <w:b/>
          <w:bCs/>
          <w:kern w:val="0"/>
          <w:sz w:val="36"/>
          <w:szCs w:val="36"/>
          <w:lang w:val="zh-CN"/>
        </w:rPr>
      </w:pPr>
      <w:r>
        <w:rPr>
          <w:rFonts w:hint="eastAsia" w:ascii="方正小标宋简体" w:hAnsi="方正小标宋简体" w:eastAsia="方正小标宋简体" w:cs="方正小标宋简体"/>
          <w:b/>
          <w:bCs/>
          <w:kern w:val="0"/>
          <w:sz w:val="36"/>
          <w:szCs w:val="36"/>
          <w:lang w:val="zh-CN"/>
        </w:rPr>
        <w:t>承揽工程一览表</w:t>
      </w:r>
    </w:p>
    <w:tbl>
      <w:tblPr>
        <w:tblStyle w:val="29"/>
        <w:tblpPr w:leftFromText="180" w:rightFromText="180" w:vertAnchor="text" w:horzAnchor="page" w:tblpX="1229" w:tblpY="434"/>
        <w:tblOverlap w:val="never"/>
        <w:tblW w:w="9090" w:type="dxa"/>
        <w:tblInd w:w="0" w:type="dxa"/>
        <w:shd w:val="clear" w:color="auto" w:fill="auto"/>
        <w:tblLayout w:type="fixed"/>
        <w:tblCellMar>
          <w:top w:w="0" w:type="dxa"/>
          <w:left w:w="0" w:type="dxa"/>
          <w:bottom w:w="0" w:type="dxa"/>
          <w:right w:w="0" w:type="dxa"/>
        </w:tblCellMar>
      </w:tblPr>
      <w:tblGrid>
        <w:gridCol w:w="665"/>
        <w:gridCol w:w="2335"/>
        <w:gridCol w:w="984"/>
        <w:gridCol w:w="966"/>
        <w:gridCol w:w="817"/>
        <w:gridCol w:w="933"/>
        <w:gridCol w:w="2390"/>
      </w:tblGrid>
      <w:tr>
        <w:tblPrEx>
          <w:tblCellMar>
            <w:top w:w="0" w:type="dxa"/>
            <w:left w:w="0" w:type="dxa"/>
            <w:bottom w:w="0" w:type="dxa"/>
            <w:right w:w="0" w:type="dxa"/>
          </w:tblCellMar>
        </w:tblPrEx>
        <w:trPr>
          <w:trHeight w:val="270" w:hRule="atLeast"/>
        </w:trPr>
        <w:tc>
          <w:tcPr>
            <w:tcW w:w="66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序号</w:t>
            </w:r>
          </w:p>
        </w:tc>
        <w:tc>
          <w:tcPr>
            <w:tcW w:w="233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内容</w:t>
            </w:r>
          </w:p>
        </w:tc>
        <w:tc>
          <w:tcPr>
            <w:tcW w:w="984"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数量</w:t>
            </w:r>
          </w:p>
        </w:tc>
        <w:tc>
          <w:tcPr>
            <w:tcW w:w="96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单位</w:t>
            </w:r>
          </w:p>
        </w:tc>
        <w:tc>
          <w:tcPr>
            <w:tcW w:w="817"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单价</w:t>
            </w:r>
          </w:p>
        </w:tc>
        <w:tc>
          <w:tcPr>
            <w:tcW w:w="933"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合计</w:t>
            </w:r>
          </w:p>
        </w:tc>
        <w:tc>
          <w:tcPr>
            <w:tcW w:w="239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备注</w:t>
            </w:r>
          </w:p>
        </w:tc>
      </w:tr>
      <w:tr>
        <w:tblPrEx>
          <w:shd w:val="clear" w:color="auto" w:fill="auto"/>
          <w:tblCellMar>
            <w:top w:w="0" w:type="dxa"/>
            <w:left w:w="0" w:type="dxa"/>
            <w:bottom w:w="0" w:type="dxa"/>
            <w:right w:w="0" w:type="dxa"/>
          </w:tblCellMar>
        </w:tblPrEx>
        <w:trPr>
          <w:trHeight w:val="285" w:hRule="atLeast"/>
        </w:trPr>
        <w:tc>
          <w:tcPr>
            <w:tcW w:w="6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p>
        </w:tc>
        <w:tc>
          <w:tcPr>
            <w:tcW w:w="2335"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p>
        </w:tc>
        <w:tc>
          <w:tcPr>
            <w:tcW w:w="984"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p>
        </w:tc>
        <w:tc>
          <w:tcPr>
            <w:tcW w:w="966"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（元）</w:t>
            </w: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（元）</w:t>
            </w:r>
          </w:p>
        </w:tc>
        <w:tc>
          <w:tcPr>
            <w:tcW w:w="23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3</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4</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5</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6</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7</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8</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9</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default" w:ascii="仿宋_GB2312" w:hAnsi="仿宋_GB2312" w:eastAsia="仿宋_GB2312" w:cs="仿宋_GB2312"/>
                <w:color w:val="000000"/>
                <w:kern w:val="0"/>
                <w:szCs w:val="21"/>
                <w:lang w:val="en-US" w:eastAsia="zh-CN"/>
              </w:rPr>
            </w:pPr>
          </w:p>
        </w:tc>
      </w:tr>
      <w:tr>
        <w:tblPrEx>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10</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default"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default" w:ascii="仿宋_GB2312" w:hAnsi="仿宋_GB2312" w:eastAsia="仿宋_GB2312" w:cs="仿宋_GB2312"/>
                <w:color w:val="000000"/>
                <w:kern w:val="0"/>
                <w:szCs w:val="21"/>
                <w:lang w:val="en-US" w:eastAsia="zh-CN"/>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11</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lang w:val="en-US" w:eastAsia="zh-CN"/>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default" w:ascii="仿宋_GB2312" w:hAnsi="仿宋_GB2312" w:eastAsia="仿宋_GB2312" w:cs="仿宋_GB2312"/>
                <w:color w:val="000000"/>
                <w:kern w:val="0"/>
                <w:szCs w:val="21"/>
                <w:lang w:val="en-US" w:eastAsia="zh-CN"/>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default" w:ascii="仿宋_GB2312" w:hAnsi="仿宋_GB2312" w:eastAsia="仿宋_GB2312" w:cs="仿宋_GB2312"/>
                <w:color w:val="000000"/>
                <w:kern w:val="0"/>
                <w:szCs w:val="21"/>
                <w:lang w:val="en-US" w:eastAsia="zh-CN"/>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jc w:val="left"/>
              <w:rPr>
                <w:rFonts w:hint="default" w:ascii="仿宋_GB2312" w:hAnsi="仿宋_GB2312" w:eastAsia="仿宋_GB2312" w:cs="仿宋_GB2312"/>
                <w:color w:val="000000"/>
                <w:kern w:val="0"/>
                <w:szCs w:val="21"/>
                <w:lang w:val="en-US"/>
              </w:rPr>
            </w:pPr>
            <w:r>
              <w:rPr>
                <w:rFonts w:hint="eastAsia" w:ascii="仿宋_GB2312" w:hAnsi="仿宋_GB2312" w:eastAsia="仿宋_GB2312" w:cs="仿宋_GB2312"/>
                <w:color w:val="000000"/>
                <w:kern w:val="0"/>
                <w:szCs w:val="21"/>
                <w:lang w:val="en-US" w:eastAsia="zh-CN"/>
              </w:rPr>
              <w:t>12</w:t>
            </w:r>
          </w:p>
        </w:tc>
        <w:tc>
          <w:tcPr>
            <w:tcW w:w="233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c>
          <w:tcPr>
            <w:tcW w:w="98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jc w:val="left"/>
              <w:rPr>
                <w:rFonts w:hint="eastAsia" w:ascii="仿宋_GB2312" w:hAnsi="仿宋_GB2312" w:eastAsia="仿宋_GB2312" w:cs="仿宋_GB2312"/>
                <w:color w:val="000000"/>
                <w:kern w:val="0"/>
                <w:szCs w:val="21"/>
              </w:rPr>
            </w:pPr>
          </w:p>
        </w:tc>
        <w:tc>
          <w:tcPr>
            <w:tcW w:w="96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center"/>
              <w:rPr>
                <w:rFonts w:hint="eastAsia" w:ascii="仿宋_GB2312" w:hAnsi="仿宋_GB2312" w:eastAsia="仿宋_GB2312" w:cs="仿宋_GB2312"/>
                <w:color w:val="000000"/>
                <w:kern w:val="0"/>
                <w:szCs w:val="21"/>
              </w:rPr>
            </w:pPr>
          </w:p>
        </w:tc>
        <w:tc>
          <w:tcPr>
            <w:tcW w:w="8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jc w:val="left"/>
              <w:rPr>
                <w:rFonts w:hint="eastAsia" w:ascii="仿宋_GB2312" w:hAnsi="仿宋_GB2312" w:eastAsia="仿宋_GB2312" w:cs="仿宋_GB2312"/>
                <w:color w:val="000000"/>
                <w:kern w:val="0"/>
                <w:szCs w:val="21"/>
              </w:rPr>
            </w:pP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jc w:val="left"/>
              <w:rPr>
                <w:rFonts w:hint="eastAsia" w:ascii="仿宋_GB2312" w:hAnsi="仿宋_GB2312" w:eastAsia="仿宋_GB2312" w:cs="仿宋_GB2312"/>
                <w:color w:val="000000"/>
                <w:kern w:val="0"/>
                <w:szCs w:val="21"/>
              </w:rPr>
            </w:pPr>
          </w:p>
        </w:tc>
      </w:tr>
      <w:tr>
        <w:tblPrEx>
          <w:shd w:val="clear" w:color="auto" w:fill="auto"/>
          <w:tblCellMar>
            <w:top w:w="0" w:type="dxa"/>
            <w:left w:w="0" w:type="dxa"/>
            <w:bottom w:w="0" w:type="dxa"/>
            <w:right w:w="0" w:type="dxa"/>
          </w:tblCellMar>
        </w:tblPrEx>
        <w:trPr>
          <w:trHeight w:val="600" w:hRule="atLeast"/>
        </w:trPr>
        <w:tc>
          <w:tcPr>
            <w:tcW w:w="66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ind w:left="-180" w:firstLine="420" w:firstLineChars="200"/>
              <w:jc w:val="left"/>
              <w:rPr>
                <w:rFonts w:hint="default" w:ascii="仿宋_GB2312" w:hAnsi="仿宋_GB2312" w:eastAsia="仿宋_GB2312" w:cs="仿宋_GB2312"/>
                <w:color w:val="000000"/>
                <w:kern w:val="0"/>
                <w:szCs w:val="21"/>
                <w:lang w:val="en-US"/>
              </w:rPr>
            </w:pPr>
            <w:r>
              <w:rPr>
                <w:rFonts w:hint="eastAsia" w:ascii="仿宋_GB2312" w:hAnsi="仿宋_GB2312" w:eastAsia="仿宋_GB2312" w:cs="仿宋_GB2312"/>
                <w:color w:val="000000"/>
                <w:kern w:val="0"/>
                <w:szCs w:val="21"/>
                <w:lang w:val="en-US" w:eastAsia="zh-CN"/>
              </w:rPr>
              <w:t>13</w:t>
            </w:r>
          </w:p>
        </w:tc>
        <w:tc>
          <w:tcPr>
            <w:tcW w:w="5102" w:type="dxa"/>
            <w:gridSpan w:val="4"/>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合计（元）</w:t>
            </w:r>
          </w:p>
        </w:tc>
        <w:tc>
          <w:tcPr>
            <w:tcW w:w="93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default" w:ascii="仿宋_GB2312" w:hAnsi="仿宋_GB2312" w:eastAsia="仿宋_GB2312" w:cs="仿宋_GB2312"/>
                <w:color w:val="000000"/>
                <w:kern w:val="0"/>
                <w:szCs w:val="21"/>
                <w:lang w:val="en-US" w:eastAsia="zh-CN"/>
              </w:rPr>
            </w:pPr>
          </w:p>
        </w:tc>
        <w:tc>
          <w:tcPr>
            <w:tcW w:w="239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autoSpaceDE w:val="0"/>
              <w:autoSpaceDN w:val="0"/>
              <w:adjustRightInd w:val="0"/>
              <w:spacing w:line="440" w:lineRule="exact"/>
              <w:jc w:val="left"/>
              <w:rPr>
                <w:rFonts w:hint="eastAsia" w:ascii="仿宋_GB2312" w:hAnsi="仿宋_GB2312" w:eastAsia="仿宋_GB2312" w:cs="仿宋_GB2312"/>
                <w:color w:val="000000"/>
                <w:kern w:val="0"/>
                <w:szCs w:val="21"/>
              </w:rPr>
            </w:pPr>
          </w:p>
        </w:tc>
      </w:tr>
    </w:tbl>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hint="eastAsia" w:ascii="仿宋_GB2312" w:hAnsi="仿宋_GB2312" w:eastAsia="仿宋_GB2312" w:cs="仿宋_GB2312"/>
          <w:szCs w:val="21"/>
        </w:rPr>
      </w:pPr>
    </w:p>
    <w:p>
      <w:pPr>
        <w:spacing w:line="440" w:lineRule="exact"/>
        <w:ind w:firstLine="420" w:firstLineChars="200"/>
        <w:rPr>
          <w:rFonts w:ascii="仿宋_GB2312" w:hAnsi="仿宋_GB2312" w:eastAsia="仿宋_GB2312" w:cs="仿宋_GB2312"/>
          <w:kern w:val="0"/>
          <w:szCs w:val="21"/>
          <w:lang w:val="zh-CN"/>
        </w:rPr>
      </w:pPr>
      <w:r>
        <w:rPr>
          <w:rFonts w:hint="eastAsia" w:ascii="仿宋_GB2312" w:hAnsi="仿宋_GB2312" w:eastAsia="仿宋_GB2312" w:cs="仿宋_GB2312"/>
          <w:szCs w:val="21"/>
        </w:rPr>
        <w:t>附件2：</w:t>
      </w:r>
    </w:p>
    <w:p>
      <w:pPr>
        <w:pStyle w:val="5"/>
        <w:spacing w:before="0" w:after="0" w:line="44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工程质量保修书</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发包人、承包人根据《中华人民共和国建筑法》、《建设工程质量管理条例》和《房屋建筑工程质量保修办法》，经协商一致，对本工程签订工程质量保修书。</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一、工程质量保修范围和内容</w:t>
      </w:r>
    </w:p>
    <w:p>
      <w:pPr>
        <w:spacing w:line="44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承包人在质量保修期内，按照有关法律、法规、规章的管理规定和双方约定，承担本工程质量保修责任。</w:t>
      </w:r>
    </w:p>
    <w:p>
      <w:pPr>
        <w:spacing w:line="440" w:lineRule="exact"/>
        <w:ind w:firstLine="420" w:firstLineChars="200"/>
        <w:jc w:val="left"/>
        <w:rPr>
          <w:rFonts w:ascii="仿宋_GB2312" w:hAnsi="仿宋_GB2312" w:eastAsia="仿宋_GB2312" w:cs="仿宋_GB2312"/>
          <w:szCs w:val="21"/>
          <w:u w:val="single"/>
        </w:rPr>
      </w:pPr>
      <w:r>
        <w:rPr>
          <w:rFonts w:hint="eastAsia" w:ascii="仿宋_GB2312" w:hAnsi="仿宋_GB2312" w:eastAsia="仿宋_GB2312" w:cs="仿宋_GB2312"/>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承包人施工内容图纸范围以内的全部施工内容。若施工合同中有其它保修约定的按约定执行 。</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二、质量保修期</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双方根据国家有关规定，结合具体工程约定质量保修期如下：</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地基基础工程、主体结构工程为设计文件规定的该工程合理使用年限。</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土建工程为</w:t>
      </w:r>
      <w:r>
        <w:rPr>
          <w:rFonts w:hint="eastAsia" w:ascii="仿宋_GB2312" w:hAnsi="仿宋_GB2312" w:eastAsia="仿宋_GB2312" w:cs="仿宋_GB2312"/>
          <w:b/>
          <w:szCs w:val="21"/>
        </w:rPr>
        <w:t>2</w:t>
      </w:r>
      <w:r>
        <w:rPr>
          <w:rFonts w:hint="eastAsia" w:ascii="仿宋_GB2312" w:hAnsi="仿宋_GB2312" w:eastAsia="仿宋_GB2312" w:cs="仿宋_GB2312"/>
          <w:szCs w:val="21"/>
        </w:rPr>
        <w:t>年，屋面防水、有防水要求的卫生间、房间和外墙面的防渗漏为</w:t>
      </w:r>
      <w:r>
        <w:rPr>
          <w:rFonts w:hint="eastAsia" w:ascii="仿宋_GB2312" w:hAnsi="仿宋_GB2312" w:eastAsia="仿宋_GB2312" w:cs="仿宋_GB2312"/>
          <w:b/>
          <w:szCs w:val="21"/>
        </w:rPr>
        <w:t>5</w:t>
      </w:r>
      <w:r>
        <w:rPr>
          <w:rFonts w:hint="eastAsia" w:ascii="仿宋_GB2312" w:hAnsi="仿宋_GB2312" w:eastAsia="仿宋_GB2312" w:cs="仿宋_GB2312"/>
          <w:szCs w:val="21"/>
        </w:rPr>
        <w:t>年；</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装修工程为</w:t>
      </w:r>
      <w:r>
        <w:rPr>
          <w:rFonts w:hint="eastAsia" w:ascii="仿宋_GB2312" w:hAnsi="仿宋_GB2312" w:eastAsia="仿宋_GB2312" w:cs="仿宋_GB2312"/>
          <w:b/>
          <w:szCs w:val="21"/>
        </w:rPr>
        <w:t>2</w:t>
      </w:r>
      <w:r>
        <w:rPr>
          <w:rFonts w:hint="eastAsia" w:ascii="仿宋_GB2312" w:hAnsi="仿宋_GB2312" w:eastAsia="仿宋_GB2312" w:cs="仿宋_GB2312"/>
          <w:szCs w:val="21"/>
        </w:rPr>
        <w:t>年</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4、电气管线、上下水管线、设备安装为</w:t>
      </w:r>
      <w:r>
        <w:rPr>
          <w:rFonts w:hint="eastAsia" w:ascii="仿宋_GB2312" w:hAnsi="仿宋_GB2312" w:eastAsia="仿宋_GB2312" w:cs="仿宋_GB2312"/>
          <w:b/>
          <w:szCs w:val="21"/>
        </w:rPr>
        <w:t>2</w:t>
      </w:r>
      <w:r>
        <w:rPr>
          <w:rFonts w:hint="eastAsia" w:ascii="仿宋_GB2312" w:hAnsi="仿宋_GB2312" w:eastAsia="仿宋_GB2312" w:cs="仿宋_GB2312"/>
          <w:szCs w:val="21"/>
        </w:rPr>
        <w:t>年；</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5、供热及供冷为</w:t>
      </w:r>
      <w:r>
        <w:rPr>
          <w:rFonts w:hint="eastAsia" w:ascii="仿宋_GB2312" w:hAnsi="仿宋_GB2312" w:eastAsia="仿宋_GB2312" w:cs="仿宋_GB2312"/>
          <w:b/>
          <w:szCs w:val="21"/>
        </w:rPr>
        <w:t>2</w:t>
      </w:r>
      <w:r>
        <w:rPr>
          <w:rFonts w:hint="eastAsia" w:ascii="仿宋_GB2312" w:hAnsi="仿宋_GB2312" w:eastAsia="仿宋_GB2312" w:cs="仿宋_GB2312"/>
          <w:szCs w:val="21"/>
        </w:rPr>
        <w:t>个采暖期及供冷期；</w:t>
      </w:r>
    </w:p>
    <w:p>
      <w:pPr>
        <w:spacing w:line="44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6、室外的上下水和小区道路等市政公用工程为</w:t>
      </w:r>
      <w:r>
        <w:rPr>
          <w:rFonts w:hint="eastAsia" w:ascii="仿宋_GB2312" w:hAnsi="仿宋_GB2312" w:eastAsia="仿宋_GB2312" w:cs="仿宋_GB2312"/>
          <w:b/>
          <w:szCs w:val="21"/>
        </w:rPr>
        <w:t>2</w:t>
      </w:r>
      <w:r>
        <w:rPr>
          <w:rFonts w:hint="eastAsia" w:ascii="仿宋_GB2312" w:hAnsi="仿宋_GB2312" w:eastAsia="仿宋_GB2312" w:cs="仿宋_GB2312"/>
          <w:szCs w:val="21"/>
        </w:rPr>
        <w:t>年；</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7、地弹簧为2年，照明灯具为3年；</w:t>
      </w:r>
    </w:p>
    <w:p>
      <w:pPr>
        <w:spacing w:line="440" w:lineRule="exact"/>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8、其它约定：质量保修期自工程竣工验收合格之日起计算。分单项竣工验收的工程，按单项工程分别计算质量保修期。</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三.质量保修责任</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1、属于保修范围和内容的项目，承包人应在接到修理通知之日后24小时内派人修理。承包人不在约定期限内派人修理，发包人可委托其它人员修理，保修费用从质量保修金内扣除。</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2、发生须紧急抢修事故（如上水跑水、暖气漏水漏气、燃气漏气等），承包人接到事故通知后，应立即到达事故现场抢修。非承包人施工质量引起的事故，抢修费用由发包人承担。</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3、在国家规定的工程合同使用期限内，承包人确保地基基础工程和主体结构的质量。因承包人原因致使工程在合理使用期限内造成人身和财产损害的，承包人应承担损害赔偿责任。</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四、质量保修金的支付</w:t>
      </w:r>
    </w:p>
    <w:p>
      <w:pPr>
        <w:spacing w:line="440" w:lineRule="exact"/>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本工程双方约定承包人向发包人支付工程质量保修金金额为</w:t>
      </w:r>
      <w:r>
        <w:rPr>
          <w:rFonts w:hint="eastAsia" w:ascii="仿宋_GB2312" w:hAnsi="仿宋_GB2312" w:eastAsia="仿宋_GB2312" w:cs="仿宋_GB2312"/>
          <w:kern w:val="0"/>
          <w:szCs w:val="21"/>
        </w:rPr>
        <w:t>工程结算款</w:t>
      </w:r>
      <w:r>
        <w:rPr>
          <w:rFonts w:hint="eastAsia" w:ascii="仿宋_GB2312" w:hAnsi="仿宋_GB2312" w:eastAsia="仿宋_GB2312" w:cs="仿宋_GB2312"/>
          <w:szCs w:val="21"/>
        </w:rPr>
        <w:t>的百分之</w:t>
      </w:r>
      <w:r>
        <w:rPr>
          <w:rFonts w:hint="eastAsia" w:ascii="仿宋_GB2312" w:hAnsi="仿宋_GB2312" w:eastAsia="仿宋_GB2312" w:cs="仿宋_GB2312"/>
          <w:szCs w:val="21"/>
          <w:u w:val="single"/>
        </w:rPr>
        <w:t>伍</w:t>
      </w:r>
      <w:r>
        <w:rPr>
          <w:rFonts w:hint="eastAsia" w:ascii="仿宋_GB2312" w:hAnsi="仿宋_GB2312" w:eastAsia="仿宋_GB2312" w:cs="仿宋_GB2312"/>
          <w:szCs w:val="21"/>
        </w:rPr>
        <w:t xml:space="preserve">（大写）。质量保修金银行利率为 </w:t>
      </w:r>
      <w:r>
        <w:rPr>
          <w:rFonts w:hint="eastAsia" w:ascii="仿宋_GB2312" w:hAnsi="仿宋_GB2312" w:eastAsia="仿宋_GB2312" w:cs="仿宋_GB2312"/>
          <w:szCs w:val="21"/>
          <w:u w:val="single"/>
        </w:rPr>
        <w:t xml:space="preserve"> 无。</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五、质量保修金的返还</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自工程竣工验收合格之日起两年且无质量问题，无息返还质量保修金的100%。因出现质量问题，质量保修期延长的，返还质量保修金的期限同时顺延。</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六、其它</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1、本保修书作为施工工程合同的附件，与施工工程合同具有同等法律效力。</w:t>
      </w:r>
    </w:p>
    <w:p>
      <w:pPr>
        <w:spacing w:line="440" w:lineRule="exact"/>
        <w:ind w:firstLine="420" w:firstLineChars="200"/>
        <w:rPr>
          <w:rFonts w:ascii="仿宋_GB2312" w:hAnsi="仿宋_GB2312" w:eastAsia="仿宋_GB2312" w:cs="仿宋_GB2312"/>
          <w:szCs w:val="21"/>
          <w:u w:val="single"/>
        </w:rPr>
      </w:pPr>
      <w:r>
        <w:rPr>
          <w:rFonts w:hint="eastAsia" w:ascii="仿宋_GB2312" w:hAnsi="仿宋_GB2312" w:eastAsia="仿宋_GB2312" w:cs="仿宋_GB2312"/>
          <w:szCs w:val="21"/>
        </w:rPr>
        <w:t>2、双方约定的其它工程质量保修事项：</w:t>
      </w:r>
      <w:r>
        <w:rPr>
          <w:rFonts w:hint="eastAsia" w:ascii="仿宋_GB2312" w:hAnsi="仿宋_GB2312" w:eastAsia="仿宋_GB2312" w:cs="仿宋_GB2312"/>
          <w:szCs w:val="21"/>
          <w:u w:val="single"/>
        </w:rPr>
        <w:t>无</w:t>
      </w:r>
      <w:r>
        <w:rPr>
          <w:rFonts w:hint="eastAsia" w:ascii="仿宋_GB2312" w:hAnsi="仿宋_GB2312" w:eastAsia="仿宋_GB2312" w:cs="仿宋_GB2312"/>
          <w:szCs w:val="21"/>
        </w:rPr>
        <w:t>。</w:t>
      </w:r>
    </w:p>
    <w:p>
      <w:pPr>
        <w:pStyle w:val="5"/>
        <w:snapToGrid w:val="0"/>
        <w:spacing w:before="0" w:after="0" w:line="440" w:lineRule="exact"/>
        <w:ind w:firstLine="420" w:firstLineChars="200"/>
        <w:rPr>
          <w:rFonts w:ascii="仿宋_GB2312" w:hAnsi="仿宋_GB2312" w:eastAsia="仿宋_GB2312" w:cs="仿宋_GB2312"/>
          <w:b w:val="0"/>
          <w:sz w:val="21"/>
          <w:szCs w:val="21"/>
        </w:rPr>
        <w:sectPr>
          <w:footerReference r:id="rId4" w:type="first"/>
          <w:footerReference r:id="rId3" w:type="default"/>
          <w:pgSz w:w="11907" w:h="16840"/>
          <w:pgMar w:top="1213" w:right="1134" w:bottom="907" w:left="1134" w:header="794" w:footer="907" w:gutter="0"/>
          <w:pgNumType w:fmt="decimal" w:start="1"/>
          <w:cols w:space="720" w:num="1"/>
          <w:titlePg/>
        </w:sectPr>
      </w:pPr>
    </w:p>
    <w:p>
      <w:pPr>
        <w:pStyle w:val="5"/>
        <w:snapToGrid w:val="0"/>
        <w:spacing w:before="0" w:after="0" w:line="440" w:lineRule="exact"/>
        <w:ind w:firstLine="420" w:firstLineChars="200"/>
        <w:rPr>
          <w:rFonts w:ascii="仿宋_GB2312" w:hAnsi="仿宋_GB2312" w:eastAsia="仿宋_GB2312" w:cs="仿宋_GB2312"/>
          <w:b w:val="0"/>
          <w:bCs w:val="0"/>
          <w:sz w:val="21"/>
          <w:szCs w:val="21"/>
        </w:rPr>
      </w:pPr>
      <w:r>
        <w:rPr>
          <w:rFonts w:hint="eastAsia" w:ascii="仿宋_GB2312" w:hAnsi="仿宋_GB2312" w:eastAsia="仿宋_GB2312" w:cs="仿宋_GB2312"/>
          <w:b w:val="0"/>
          <w:sz w:val="21"/>
          <w:szCs w:val="21"/>
        </w:rPr>
        <w:t>附件3：</w:t>
      </w:r>
    </w:p>
    <w:p>
      <w:pPr>
        <w:pStyle w:val="5"/>
        <w:spacing w:before="0" w:after="0" w:line="44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安全施工协议</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为使本项目所签署施工合同的实施过程中创造安全、高效的施工环境，切实搞好本项目的安全管理工作，本项目由发包人与承包人特此签订安全施工协议书：</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一、发包人职责</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1．严格遵守国家有关安全生产的法律法规，认真执行工程承包合同中有关安全要求。</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2．按照“安全第一、预防为主”和坚持“管生产必须管安全”的原则进行安全生产管理，做到生产与安全工作同时计划、布置、检查、总结和评比。</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3．重要的安全设施必须坚持与主体工程“三同时”的原则，即：同时设计、审批，同时施工，同时验收，投入使用。</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4．定期召开安全生产调度会，及时传达中央及地方有关安全生产的精神。</w:t>
      </w:r>
    </w:p>
    <w:p>
      <w:pPr>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5．组织对承包人施工现场安全生产检查，监督承包人及时处理发现的各种安全隐患。</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二、承包人职责</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1．严格遵守国家有关安全生产的法律法规及相关规定，认真执行工程承包合同中的有关安全要求。</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4．承包人在任何时候都应采取各种合理的预防措施，防止其员工发生任何违法、违禁、暴力或妨碍治安的行为。</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对于易燃易爆的材料除应专门划定专区妥善保管之外，使用人员按规定使用操作，并应配备有足够的消防设施，所有施工人员都应熟悉消防设备的性能和使用方法；承包人不得以任何方式将任何种类的爆炸物提供给任何其他人。</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7.操作人员上岗，必须按规定穿戴防护用品。施工负责人和安全检查员应随时检查劳动防护用品的穿戴情况，不按规定穿戴防护用品的人员不得上岗。</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所有施工机具设备和高空作业的设备（需质量监督部门检查检验的需有对应的在规定期限的检验合格证）均应定期检查，并有安全员的签字记录，保证其经常处于完好状态；不合格的机具、设备和劳动保护用品严禁使用。</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9.施工中采用新技术、新工艺、新设备、新材料时，必须制定相应的安全技术措施，施工现场必须具有相关的安全标志牌。</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10.承包人必须按照本工程项目特点，组织制定本工程实施中的生产安全事故应急救援预案；如果发生安全事故，应按照《国务院关于特大安全事故行政责任追究的规定》以及其它有关规定，及时上报有关部门，坚持“四不放过”的原则，严肃处理相关责任人。</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三、责任承担及事故处理</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承包人负责整个工程进场到施工竣工验收通过期间的施工现场的一切安全（包括施工前准备工作、施工过程、各分包单位的施工安全、施工现场全部人员的安全及现场保卫的一切安全责任）,若发生安全事故，一切责任由承包人承担。</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2.因发包人违反安全管理的规定要求承包人进行施工，导致的安全事故，由发包人承担相应责任及发生的费用。</w:t>
      </w:r>
    </w:p>
    <w:p>
      <w:pPr>
        <w:adjustRightInd w:val="0"/>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3.发生重大伤亡及其他安全事故，承包人应按有关规定立即上报有关部门并通知工程师，同时按政府有关部门要求处理。</w:t>
      </w:r>
    </w:p>
    <w:p>
      <w:pPr>
        <w:snapToGrid w:val="0"/>
        <w:spacing w:line="440" w:lineRule="exact"/>
        <w:ind w:firstLine="420" w:firstLineChars="200"/>
        <w:rPr>
          <w:rFonts w:ascii="仿宋_GB2312" w:hAnsi="仿宋_GB2312" w:eastAsia="仿宋_GB2312" w:cs="仿宋_GB2312"/>
          <w:b/>
          <w:szCs w:val="21"/>
        </w:rPr>
      </w:pPr>
      <w:r>
        <w:rPr>
          <w:rFonts w:hint="eastAsia" w:ascii="仿宋_GB2312" w:hAnsi="仿宋_GB2312" w:eastAsia="仿宋_GB2312" w:cs="仿宋_GB2312"/>
          <w:szCs w:val="21"/>
        </w:rPr>
        <w:t>4.发包人承包人对事故责任有争议时，应按政府有关部门的认定处理。</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四、其他约定</w:t>
      </w:r>
    </w:p>
    <w:p>
      <w:pPr>
        <w:adjustRightInd w:val="0"/>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承包人在动力设备、输电线路、地下管道、密封防震车间、易燃易爆地段以及临街交通要道附近施工及实施爆破作业，在放射、毒害性环境中施工（含储存、运输、使用）及使用毒害性、腐蚀性物品施工时承包人所需的安全防护措施费用已包含在合同价款中。</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2.工程实行分包的，承包人对分包人的施工安全负总责，承包人与分包人就分包工程对发包人承担连带责任。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3.本协议作为施工工程合同的附件，与施工工程合同具有同等法律效力。</w:t>
      </w:r>
    </w:p>
    <w:p>
      <w:pPr>
        <w:spacing w:line="420" w:lineRule="exact"/>
        <w:rPr>
          <w:rFonts w:asciiTheme="minorEastAsia" w:hAnsiTheme="minorEastAsia" w:eastAsiaTheme="minorEastAsia"/>
          <w:color w:val="000000"/>
          <w:sz w:val="24"/>
          <w:szCs w:val="24"/>
        </w:rPr>
      </w:pPr>
    </w:p>
    <w:p>
      <w:pPr>
        <w:spacing w:line="420" w:lineRule="exact"/>
        <w:rPr>
          <w:rFonts w:asciiTheme="minorEastAsia" w:hAnsiTheme="minorEastAsia" w:eastAsiaTheme="minorEastAsia"/>
          <w:color w:val="000000"/>
          <w:sz w:val="24"/>
          <w:szCs w:val="24"/>
        </w:rPr>
      </w:pP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附件4：</w:t>
      </w:r>
    </w:p>
    <w:p>
      <w:pPr>
        <w:pStyle w:val="5"/>
        <w:spacing w:before="0" w:after="0" w:line="440" w:lineRule="exact"/>
        <w:jc w:val="center"/>
        <w:rPr>
          <w:rFonts w:ascii="方正小标宋简体" w:hAnsi="方正小标宋简体" w:eastAsia="方正小标宋简体" w:cs="方正小标宋简体"/>
          <w:kern w:val="0"/>
          <w:sz w:val="36"/>
          <w:szCs w:val="36"/>
          <w:lang w:val="zh-CN"/>
        </w:rPr>
      </w:pPr>
      <w:r>
        <w:rPr>
          <w:rFonts w:hint="eastAsia" w:ascii="方正小标宋简体" w:hAnsi="方正小标宋简体" w:eastAsia="方正小标宋简体" w:cs="方正小标宋简体"/>
          <w:kern w:val="0"/>
          <w:sz w:val="36"/>
          <w:szCs w:val="36"/>
          <w:lang w:val="zh-CN"/>
        </w:rPr>
        <w:t>工程建设项目廉政责任书</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为加强工程建设中的廉政建设，规范工程建设项目发包人与承包人双方的各项活动，防止发生各种谋取不正当利益的违法违纪行为，保护国家、集体和当事人的合法权益，根据国家有关工程建设的法律法规和廉政建设责任制规定，特订立本廉政责任书。</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第一条、发包人、承包人双方的责任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1.应严格遵守国家关于市场准入、项目招标投标、工程建设、施工安装和市场活动的有关法律、法规，相关政策，以及廉政建设的各项规定。</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2.严格执行建设工程项目承发包合同文件，自觉按合同办事。</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3.业务活动必须坚持公开、公平、公正、诚信、透明的原则（除法律法规另有规定者外），不得为获取不正当的利益，损害国家、集体和对方利益，不得违反工程建设管理、施工安装的规章制度。</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4.发现对方在业务活动中有违规、违纪、违法行为的，应及时提醒对方，情节严重的，应向其上级主管部门或纪检监察、司法等有关机关举报。</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第二条、发包人的责任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发包人的领导和从事该建设工程项目的工作人员，在工程建设的事前、事中、事后应遵守以下规定：</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1.不准向承包人和相关单位索要或接收回扣、礼金、有价证券、贵重物品和好处费、感谢费等。</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2.不准在承包人和相关单位报销任何应由发包人或个人支付的费用。</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3.不准要求、暗示或接受承包人和相关单位为个人装修住房、婚丧、娶嫁、配偶子女的工作安排以及出国（境）、旅游等提供方便。</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4.不准参加有可能影响公正执行公务的承包人和相关单位的宴请、健身、娱乐等活动。</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5.不准向承包人和相关单位介绍或为配偶、子女、亲属参与同发包人项目工程勘察设计合同有关的勘察设计业务等活动。不得以任何理由要求承包人和相关单位在设计中使用某种产品、材料和设备。</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第三条、承包人的责任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应与发包人保持正常的业务交往，按照有关法律法规和程序开展业务工作，严格执行工程建设的有关方针、政策，尤其是有关建筑施工安装的强制性标准和规范，并遵守以下规定：</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1.不准以任何理由向发包人及其工作人员索要、接受或赠送礼金、有价证券、贵重物品及回扣、好处费、感谢费等。</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2.不准以任何理由为发包人和相关单位报销应由对方或个人支付的费用。</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仿宋_GB2312" w:hAnsi="仿宋_GB2312" w:eastAsia="仿宋_GB2312" w:cs="仿宋_GB2312"/>
          <w:szCs w:val="21"/>
        </w:rPr>
      </w:pPr>
      <w:r>
        <w:rPr>
          <w:rFonts w:hint="eastAsia" w:ascii="仿宋_GB2312" w:hAnsi="仿宋_GB2312" w:eastAsia="仿宋_GB2312" w:cs="仿宋_GB2312"/>
          <w:szCs w:val="21"/>
        </w:rPr>
        <w:t>3.不准接受或暗示为发包人、相关单位为个人装修住房、婚丧、娶嫁、配偶子女的工作安排以及出国（境）、旅游等提供方便。</w:t>
      </w:r>
    </w:p>
    <w:p>
      <w:pPr>
        <w:keepNext w:val="0"/>
        <w:keepLines w:val="0"/>
        <w:pageBreakBefore w:val="0"/>
        <w:widowControl w:val="0"/>
        <w:kinsoku/>
        <w:wordWrap/>
        <w:overflowPunct/>
        <w:topLinePunct w:val="0"/>
        <w:autoSpaceDE/>
        <w:autoSpaceDN/>
        <w:bidi w:val="0"/>
        <w:adjustRightInd/>
        <w:spacing w:line="360" w:lineRule="auto"/>
        <w:ind w:right="-189" w:rightChars="-90" w:firstLine="420" w:firstLineChars="200"/>
        <w:jc w:val="left"/>
        <w:textAlignment w:val="auto"/>
        <w:rPr>
          <w:rFonts w:ascii="仿宋_GB2312" w:hAnsi="仿宋_GB2312" w:eastAsia="仿宋_GB2312" w:cs="仿宋_GB2312"/>
          <w:szCs w:val="21"/>
        </w:rPr>
      </w:pPr>
      <w:r>
        <w:rPr>
          <w:rFonts w:hint="eastAsia" w:ascii="仿宋_GB2312" w:hAnsi="仿宋_GB2312" w:eastAsia="仿宋_GB2312" w:cs="仿宋_GB2312"/>
          <w:szCs w:val="21"/>
        </w:rPr>
        <w:t>4.不准以任何理由为己方、相关单位或个人组织有可能影响公正执行公务的承包人和相关单位的宴请、健身、娱乐</w:t>
      </w:r>
      <w:r>
        <w:rPr>
          <w:rFonts w:hint="eastAsia" w:ascii="仿宋_GB2312" w:hAnsi="仿宋_GB2312" w:eastAsia="仿宋_GB2312" w:cs="仿宋_GB2312"/>
          <w:szCs w:val="21"/>
          <w:lang w:val="en-US" w:eastAsia="zh-CN"/>
        </w:rPr>
        <w:t>等</w:t>
      </w:r>
      <w:r>
        <w:rPr>
          <w:rFonts w:hint="eastAsia" w:ascii="仿宋_GB2312" w:hAnsi="仿宋_GB2312" w:eastAsia="仿宋_GB2312" w:cs="仿宋_GB2312"/>
          <w:szCs w:val="21"/>
        </w:rPr>
        <w:t>活动。</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第四条、违约责任</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发包人工作人员有违反本责任书第一、第二条责任行为的，按照管理权限，依据有关法律法规和规定给予党纪、政纪处分或组织处理；涉嫌犯罪的，移交司法机关追究刑事责任；给承包人单位造成经济损失的，应予以赔偿。</w:t>
      </w:r>
    </w:p>
    <w:p>
      <w:pPr>
        <w:snapToGrid w:val="0"/>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承包人工作人员有违反本责任书第一、三条责任行为的，按照管理权限，依据有关法律法规和规定给予党纪、政纪处分或组织处理；涉嫌犯罪的，移交司法机关追究刑事责任；给发包人单位造成经济损失的，应予以赔偿。</w:t>
      </w:r>
    </w:p>
    <w:p>
      <w:pPr>
        <w:tabs>
          <w:tab w:val="left" w:pos="8175"/>
        </w:tabs>
        <w:spacing w:line="440" w:lineRule="exact"/>
        <w:ind w:firstLine="422" w:firstLineChars="200"/>
        <w:jc w:val="left"/>
        <w:rPr>
          <w:rFonts w:ascii="黑体" w:hAnsi="黑体" w:eastAsia="黑体" w:cs="黑体"/>
          <w:b/>
          <w:szCs w:val="21"/>
        </w:rPr>
      </w:pPr>
      <w:r>
        <w:rPr>
          <w:rFonts w:hint="eastAsia" w:ascii="黑体" w:hAnsi="黑体" w:eastAsia="黑体" w:cs="黑体"/>
          <w:b/>
          <w:szCs w:val="21"/>
        </w:rPr>
        <w:t>第五条、其他</w:t>
      </w:r>
    </w:p>
    <w:p>
      <w:pPr>
        <w:spacing w:line="440" w:lineRule="exact"/>
        <w:ind w:firstLine="420" w:firstLineChars="200"/>
        <w:rPr>
          <w:rFonts w:ascii="仿宋_GB2312" w:hAnsi="仿宋_GB2312" w:eastAsia="仿宋_GB2312" w:cs="仿宋_GB2312"/>
          <w:bCs/>
          <w:szCs w:val="21"/>
        </w:rPr>
      </w:pPr>
      <w:r>
        <w:rPr>
          <w:rFonts w:hint="eastAsia" w:ascii="仿宋_GB2312" w:hAnsi="仿宋_GB2312" w:eastAsia="仿宋_GB2312" w:cs="仿宋_GB2312"/>
          <w:szCs w:val="21"/>
        </w:rPr>
        <w:t>本责任书作为施工工程合同的附件，与施工工程合同具有同等法律效力。</w:t>
      </w:r>
    </w:p>
    <w:p/>
    <w:p>
      <w:pPr>
        <w:spacing w:line="420" w:lineRule="exact"/>
        <w:rPr>
          <w:rFonts w:asciiTheme="minorEastAsia" w:hAnsiTheme="minorEastAsia" w:eastAsiaTheme="minorEastAsia"/>
          <w:color w:val="000000"/>
          <w:sz w:val="24"/>
          <w:szCs w:val="24"/>
        </w:rPr>
      </w:pPr>
    </w:p>
    <w:p>
      <w:pPr>
        <w:rPr>
          <w:rFonts w:asciiTheme="minorEastAsia" w:hAnsiTheme="minorEastAsia" w:eastAsiaTheme="minorEastAsia"/>
          <w:b/>
          <w:sz w:val="24"/>
          <w:szCs w:val="24"/>
        </w:rPr>
      </w:pPr>
    </w:p>
    <w:sectPr>
      <w:headerReference r:id="rId6" w:type="first"/>
      <w:footerReference r:id="rId8" w:type="first"/>
      <w:headerReference r:id="rId5" w:type="default"/>
      <w:footerReference r:id="rId7" w:type="default"/>
      <w:pgSz w:w="11906" w:h="16838"/>
      <w:pgMar w:top="1588" w:right="1418" w:bottom="1134"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- 11 -</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120" w:firstLineChars="50"/>
      <w:jc w:val="left"/>
      <w:rPr>
        <w:sz w:val="24"/>
        <w:szCs w:val="24"/>
      </w:rPr>
    </w:pPr>
  </w:p>
  <w:p>
    <w:pPr>
      <w:pStyle w:val="19"/>
      <w:pBdr>
        <w:bottom w:val="none" w:color="auto" w:sz="0" w:space="0"/>
      </w:pBdr>
    </w:pPr>
  </w:p>
  <w:p>
    <w:pPr>
      <w:pStyle w:val="19"/>
      <w:pBdr>
        <w:bottom w:val="none" w:color="auto" w:sz="0" w:space="0"/>
      </w:pBdr>
      <w:ind w:right="-483" w:rightChars="-2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rPr>
        <w:sz w:val="24"/>
        <w:szCs w:val="24"/>
      </w:rPr>
    </w:pPr>
  </w:p>
  <w:p>
    <w:pPr>
      <w:pStyle w:val="19"/>
      <w:pBdr>
        <w:bottom w:val="none" w:color="auto" w:sz="0" w:space="0"/>
      </w:pBdr>
      <w:jc w:val="both"/>
      <w:rPr>
        <w:sz w:val="24"/>
        <w:szCs w:val="24"/>
      </w:rPr>
    </w:pPr>
  </w:p>
  <w:p>
    <w:pPr>
      <w:pStyle w:val="19"/>
      <w:pBdr>
        <w:bottom w:val="none" w:color="auto" w:sz="0" w:space="0"/>
      </w:pBdr>
      <w:jc w:val="right"/>
      <w:rPr>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544A1"/>
    <w:multiLevelType w:val="singleLevel"/>
    <w:tmpl w:val="9A7544A1"/>
    <w:lvl w:ilvl="0" w:tentative="0">
      <w:start w:val="1"/>
      <w:numFmt w:val="decimal"/>
      <w:lvlText w:val="%1."/>
      <w:lvlJc w:val="left"/>
      <w:pPr>
        <w:tabs>
          <w:tab w:val="left" w:pos="312"/>
        </w:tabs>
      </w:pPr>
    </w:lvl>
  </w:abstractNum>
  <w:abstractNum w:abstractNumId="1">
    <w:nsid w:val="BA28E792"/>
    <w:multiLevelType w:val="singleLevel"/>
    <w:tmpl w:val="BA28E792"/>
    <w:lvl w:ilvl="0" w:tentative="0">
      <w:start w:val="1"/>
      <w:numFmt w:val="decimal"/>
      <w:lvlText w:val="%1."/>
      <w:lvlJc w:val="left"/>
      <w:pPr>
        <w:tabs>
          <w:tab w:val="left" w:pos="312"/>
        </w:tabs>
      </w:pPr>
    </w:lvl>
  </w:abstractNum>
  <w:abstractNum w:abstractNumId="2">
    <w:nsid w:val="C396ED20"/>
    <w:multiLevelType w:val="singleLevel"/>
    <w:tmpl w:val="C396ED20"/>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7BF"/>
    <w:rsid w:val="0000048D"/>
    <w:rsid w:val="000014D3"/>
    <w:rsid w:val="00001DCB"/>
    <w:rsid w:val="000056AD"/>
    <w:rsid w:val="00005AF4"/>
    <w:rsid w:val="00006391"/>
    <w:rsid w:val="000073A8"/>
    <w:rsid w:val="00007986"/>
    <w:rsid w:val="00010983"/>
    <w:rsid w:val="00010BB4"/>
    <w:rsid w:val="00010FB5"/>
    <w:rsid w:val="000126A7"/>
    <w:rsid w:val="00013B94"/>
    <w:rsid w:val="000140D2"/>
    <w:rsid w:val="000142C2"/>
    <w:rsid w:val="000153FB"/>
    <w:rsid w:val="00016CB2"/>
    <w:rsid w:val="000201F5"/>
    <w:rsid w:val="0002055A"/>
    <w:rsid w:val="00022BFC"/>
    <w:rsid w:val="00023513"/>
    <w:rsid w:val="000246CB"/>
    <w:rsid w:val="00025E3D"/>
    <w:rsid w:val="00025E68"/>
    <w:rsid w:val="000304EA"/>
    <w:rsid w:val="00030E91"/>
    <w:rsid w:val="00032F3A"/>
    <w:rsid w:val="00033243"/>
    <w:rsid w:val="0003453C"/>
    <w:rsid w:val="00035188"/>
    <w:rsid w:val="00035800"/>
    <w:rsid w:val="000370BC"/>
    <w:rsid w:val="00040F59"/>
    <w:rsid w:val="000426B5"/>
    <w:rsid w:val="00043761"/>
    <w:rsid w:val="000437B4"/>
    <w:rsid w:val="00043B31"/>
    <w:rsid w:val="00043E7D"/>
    <w:rsid w:val="0005298D"/>
    <w:rsid w:val="000547D0"/>
    <w:rsid w:val="00056906"/>
    <w:rsid w:val="00056F0F"/>
    <w:rsid w:val="00060239"/>
    <w:rsid w:val="0006053F"/>
    <w:rsid w:val="00060FC1"/>
    <w:rsid w:val="000626B3"/>
    <w:rsid w:val="0006501F"/>
    <w:rsid w:val="00066685"/>
    <w:rsid w:val="00067867"/>
    <w:rsid w:val="0007042D"/>
    <w:rsid w:val="00071741"/>
    <w:rsid w:val="00071B86"/>
    <w:rsid w:val="00074924"/>
    <w:rsid w:val="00074AC3"/>
    <w:rsid w:val="0007601C"/>
    <w:rsid w:val="00077AF5"/>
    <w:rsid w:val="0008080E"/>
    <w:rsid w:val="00080A11"/>
    <w:rsid w:val="00081F41"/>
    <w:rsid w:val="00082151"/>
    <w:rsid w:val="000825CD"/>
    <w:rsid w:val="00083710"/>
    <w:rsid w:val="00083C90"/>
    <w:rsid w:val="0008454C"/>
    <w:rsid w:val="0008616A"/>
    <w:rsid w:val="00086313"/>
    <w:rsid w:val="00087C81"/>
    <w:rsid w:val="000940E3"/>
    <w:rsid w:val="00094EC9"/>
    <w:rsid w:val="00097138"/>
    <w:rsid w:val="000A0EDD"/>
    <w:rsid w:val="000A10C4"/>
    <w:rsid w:val="000A202D"/>
    <w:rsid w:val="000A2BA0"/>
    <w:rsid w:val="000A5015"/>
    <w:rsid w:val="000A5072"/>
    <w:rsid w:val="000A7372"/>
    <w:rsid w:val="000A7EDB"/>
    <w:rsid w:val="000B1727"/>
    <w:rsid w:val="000B1E28"/>
    <w:rsid w:val="000B5234"/>
    <w:rsid w:val="000B527D"/>
    <w:rsid w:val="000B6DD8"/>
    <w:rsid w:val="000B705B"/>
    <w:rsid w:val="000C1BB6"/>
    <w:rsid w:val="000C3151"/>
    <w:rsid w:val="000C65C2"/>
    <w:rsid w:val="000D14A9"/>
    <w:rsid w:val="000D3325"/>
    <w:rsid w:val="000D486E"/>
    <w:rsid w:val="000D4D7C"/>
    <w:rsid w:val="000D4EA2"/>
    <w:rsid w:val="000D5ACE"/>
    <w:rsid w:val="000D63EF"/>
    <w:rsid w:val="000D6C0C"/>
    <w:rsid w:val="000D7A5B"/>
    <w:rsid w:val="000E141B"/>
    <w:rsid w:val="000E18E1"/>
    <w:rsid w:val="000E329A"/>
    <w:rsid w:val="000E356E"/>
    <w:rsid w:val="000E70CB"/>
    <w:rsid w:val="000E720A"/>
    <w:rsid w:val="000F02A3"/>
    <w:rsid w:val="000F25E7"/>
    <w:rsid w:val="000F3869"/>
    <w:rsid w:val="000F3A83"/>
    <w:rsid w:val="000F4027"/>
    <w:rsid w:val="000F456F"/>
    <w:rsid w:val="000F5488"/>
    <w:rsid w:val="000F5B0A"/>
    <w:rsid w:val="00100754"/>
    <w:rsid w:val="00101DA8"/>
    <w:rsid w:val="00102A52"/>
    <w:rsid w:val="00105E10"/>
    <w:rsid w:val="00106078"/>
    <w:rsid w:val="001069A6"/>
    <w:rsid w:val="00107ADD"/>
    <w:rsid w:val="00110520"/>
    <w:rsid w:val="00112A18"/>
    <w:rsid w:val="0011312D"/>
    <w:rsid w:val="0011354F"/>
    <w:rsid w:val="00114375"/>
    <w:rsid w:val="00114A6A"/>
    <w:rsid w:val="001158C7"/>
    <w:rsid w:val="001160D8"/>
    <w:rsid w:val="0012053A"/>
    <w:rsid w:val="00120F1C"/>
    <w:rsid w:val="001228DF"/>
    <w:rsid w:val="00124193"/>
    <w:rsid w:val="00124801"/>
    <w:rsid w:val="00124DC8"/>
    <w:rsid w:val="0012571D"/>
    <w:rsid w:val="001258FA"/>
    <w:rsid w:val="001267A2"/>
    <w:rsid w:val="00126ED2"/>
    <w:rsid w:val="001302DE"/>
    <w:rsid w:val="00131694"/>
    <w:rsid w:val="00131E0F"/>
    <w:rsid w:val="00134429"/>
    <w:rsid w:val="001353DD"/>
    <w:rsid w:val="0013630E"/>
    <w:rsid w:val="00136356"/>
    <w:rsid w:val="001369FF"/>
    <w:rsid w:val="00140381"/>
    <w:rsid w:val="0014056C"/>
    <w:rsid w:val="00140711"/>
    <w:rsid w:val="00140736"/>
    <w:rsid w:val="001434B4"/>
    <w:rsid w:val="001458B6"/>
    <w:rsid w:val="00147091"/>
    <w:rsid w:val="001471D4"/>
    <w:rsid w:val="0015024C"/>
    <w:rsid w:val="00150C31"/>
    <w:rsid w:val="00152193"/>
    <w:rsid w:val="00152259"/>
    <w:rsid w:val="001531DD"/>
    <w:rsid w:val="001533AA"/>
    <w:rsid w:val="00153684"/>
    <w:rsid w:val="00156266"/>
    <w:rsid w:val="00156A1E"/>
    <w:rsid w:val="0015720C"/>
    <w:rsid w:val="00157B9E"/>
    <w:rsid w:val="001609DF"/>
    <w:rsid w:val="00161531"/>
    <w:rsid w:val="00162435"/>
    <w:rsid w:val="00162592"/>
    <w:rsid w:val="00162999"/>
    <w:rsid w:val="0016501A"/>
    <w:rsid w:val="001652C8"/>
    <w:rsid w:val="001656BB"/>
    <w:rsid w:val="001663D2"/>
    <w:rsid w:val="001708B6"/>
    <w:rsid w:val="0017281F"/>
    <w:rsid w:val="00172ADC"/>
    <w:rsid w:val="00173F23"/>
    <w:rsid w:val="001749E7"/>
    <w:rsid w:val="00174A06"/>
    <w:rsid w:val="0017622A"/>
    <w:rsid w:val="00176B3A"/>
    <w:rsid w:val="00180DE7"/>
    <w:rsid w:val="0018208D"/>
    <w:rsid w:val="001850E7"/>
    <w:rsid w:val="00186A61"/>
    <w:rsid w:val="00187848"/>
    <w:rsid w:val="0019057F"/>
    <w:rsid w:val="00191E43"/>
    <w:rsid w:val="001953D9"/>
    <w:rsid w:val="001A0476"/>
    <w:rsid w:val="001A0538"/>
    <w:rsid w:val="001A479C"/>
    <w:rsid w:val="001A7750"/>
    <w:rsid w:val="001B00E7"/>
    <w:rsid w:val="001B13F5"/>
    <w:rsid w:val="001B1B87"/>
    <w:rsid w:val="001B1F29"/>
    <w:rsid w:val="001B2B12"/>
    <w:rsid w:val="001B644A"/>
    <w:rsid w:val="001B6547"/>
    <w:rsid w:val="001B6A93"/>
    <w:rsid w:val="001C04E2"/>
    <w:rsid w:val="001C109C"/>
    <w:rsid w:val="001C1D5C"/>
    <w:rsid w:val="001C3215"/>
    <w:rsid w:val="001C3682"/>
    <w:rsid w:val="001C3E67"/>
    <w:rsid w:val="001C5908"/>
    <w:rsid w:val="001C70F9"/>
    <w:rsid w:val="001D12D4"/>
    <w:rsid w:val="001D1DF0"/>
    <w:rsid w:val="001D6A5D"/>
    <w:rsid w:val="001E0B6D"/>
    <w:rsid w:val="001E1AA5"/>
    <w:rsid w:val="001E1FE5"/>
    <w:rsid w:val="001E2AFF"/>
    <w:rsid w:val="001E397B"/>
    <w:rsid w:val="001E39F6"/>
    <w:rsid w:val="001E3ABF"/>
    <w:rsid w:val="001E4691"/>
    <w:rsid w:val="001E63F0"/>
    <w:rsid w:val="001F25F8"/>
    <w:rsid w:val="001F337F"/>
    <w:rsid w:val="001F3706"/>
    <w:rsid w:val="001F3871"/>
    <w:rsid w:val="001F46E7"/>
    <w:rsid w:val="001F5748"/>
    <w:rsid w:val="001F73CB"/>
    <w:rsid w:val="00201687"/>
    <w:rsid w:val="00201D34"/>
    <w:rsid w:val="0020244E"/>
    <w:rsid w:val="002033F6"/>
    <w:rsid w:val="00203CED"/>
    <w:rsid w:val="00203CF7"/>
    <w:rsid w:val="00204261"/>
    <w:rsid w:val="002047D2"/>
    <w:rsid w:val="00204DAB"/>
    <w:rsid w:val="00205586"/>
    <w:rsid w:val="00206B5F"/>
    <w:rsid w:val="00206D6F"/>
    <w:rsid w:val="002075B3"/>
    <w:rsid w:val="00211C25"/>
    <w:rsid w:val="00215247"/>
    <w:rsid w:val="00215597"/>
    <w:rsid w:val="002157D9"/>
    <w:rsid w:val="0021644E"/>
    <w:rsid w:val="00216AA3"/>
    <w:rsid w:val="002178FD"/>
    <w:rsid w:val="00223BB6"/>
    <w:rsid w:val="00223FED"/>
    <w:rsid w:val="002272FC"/>
    <w:rsid w:val="0023111B"/>
    <w:rsid w:val="0023452A"/>
    <w:rsid w:val="00234B42"/>
    <w:rsid w:val="00235762"/>
    <w:rsid w:val="0023641F"/>
    <w:rsid w:val="0023657F"/>
    <w:rsid w:val="00236F49"/>
    <w:rsid w:val="002401A4"/>
    <w:rsid w:val="00240742"/>
    <w:rsid w:val="00240890"/>
    <w:rsid w:val="00240DB5"/>
    <w:rsid w:val="00243948"/>
    <w:rsid w:val="002444B8"/>
    <w:rsid w:val="00245CCD"/>
    <w:rsid w:val="002476B1"/>
    <w:rsid w:val="002510B3"/>
    <w:rsid w:val="002516D9"/>
    <w:rsid w:val="0025278D"/>
    <w:rsid w:val="00253E44"/>
    <w:rsid w:val="00254642"/>
    <w:rsid w:val="0025474D"/>
    <w:rsid w:val="00255AC4"/>
    <w:rsid w:val="00256680"/>
    <w:rsid w:val="002575B7"/>
    <w:rsid w:val="00261779"/>
    <w:rsid w:val="00264203"/>
    <w:rsid w:val="0026442A"/>
    <w:rsid w:val="002650E7"/>
    <w:rsid w:val="00266C0D"/>
    <w:rsid w:val="00267148"/>
    <w:rsid w:val="002714D2"/>
    <w:rsid w:val="00271A2C"/>
    <w:rsid w:val="00272D15"/>
    <w:rsid w:val="0027316E"/>
    <w:rsid w:val="002731AC"/>
    <w:rsid w:val="00274153"/>
    <w:rsid w:val="00274683"/>
    <w:rsid w:val="0027584C"/>
    <w:rsid w:val="0028000E"/>
    <w:rsid w:val="002806B7"/>
    <w:rsid w:val="00284CC0"/>
    <w:rsid w:val="00285D9D"/>
    <w:rsid w:val="002908CC"/>
    <w:rsid w:val="00290AF9"/>
    <w:rsid w:val="002918DB"/>
    <w:rsid w:val="00297CE2"/>
    <w:rsid w:val="002A00F9"/>
    <w:rsid w:val="002A0242"/>
    <w:rsid w:val="002A133F"/>
    <w:rsid w:val="002A2AAF"/>
    <w:rsid w:val="002B032B"/>
    <w:rsid w:val="002B12F1"/>
    <w:rsid w:val="002B1789"/>
    <w:rsid w:val="002B2899"/>
    <w:rsid w:val="002B5016"/>
    <w:rsid w:val="002B510D"/>
    <w:rsid w:val="002B5135"/>
    <w:rsid w:val="002B5881"/>
    <w:rsid w:val="002B5BE4"/>
    <w:rsid w:val="002B6209"/>
    <w:rsid w:val="002B6E49"/>
    <w:rsid w:val="002C129C"/>
    <w:rsid w:val="002C44D2"/>
    <w:rsid w:val="002C4A24"/>
    <w:rsid w:val="002C4A5B"/>
    <w:rsid w:val="002C662D"/>
    <w:rsid w:val="002C6BB4"/>
    <w:rsid w:val="002D037B"/>
    <w:rsid w:val="002D046C"/>
    <w:rsid w:val="002D1F57"/>
    <w:rsid w:val="002D3628"/>
    <w:rsid w:val="002D38FC"/>
    <w:rsid w:val="002D3B8C"/>
    <w:rsid w:val="002D478F"/>
    <w:rsid w:val="002D50D1"/>
    <w:rsid w:val="002D5BA2"/>
    <w:rsid w:val="002D67B7"/>
    <w:rsid w:val="002D700F"/>
    <w:rsid w:val="002D742C"/>
    <w:rsid w:val="002D79E9"/>
    <w:rsid w:val="002D7B89"/>
    <w:rsid w:val="002E0BDC"/>
    <w:rsid w:val="002E2C82"/>
    <w:rsid w:val="002E3F33"/>
    <w:rsid w:val="002E556A"/>
    <w:rsid w:val="002F0674"/>
    <w:rsid w:val="002F08AD"/>
    <w:rsid w:val="002F2D1C"/>
    <w:rsid w:val="002F4F8D"/>
    <w:rsid w:val="002F4F93"/>
    <w:rsid w:val="002F73C1"/>
    <w:rsid w:val="002F7E55"/>
    <w:rsid w:val="0030183C"/>
    <w:rsid w:val="00302A83"/>
    <w:rsid w:val="00303AD0"/>
    <w:rsid w:val="003046ED"/>
    <w:rsid w:val="00304E5C"/>
    <w:rsid w:val="003058C6"/>
    <w:rsid w:val="003058F1"/>
    <w:rsid w:val="0031082A"/>
    <w:rsid w:val="00312AD3"/>
    <w:rsid w:val="00314492"/>
    <w:rsid w:val="0031577A"/>
    <w:rsid w:val="00316501"/>
    <w:rsid w:val="0031690F"/>
    <w:rsid w:val="003206D2"/>
    <w:rsid w:val="003222CF"/>
    <w:rsid w:val="0032300C"/>
    <w:rsid w:val="00323B1A"/>
    <w:rsid w:val="00323D93"/>
    <w:rsid w:val="00326B4B"/>
    <w:rsid w:val="00330BD9"/>
    <w:rsid w:val="00331BD6"/>
    <w:rsid w:val="00334FCD"/>
    <w:rsid w:val="00335566"/>
    <w:rsid w:val="00336641"/>
    <w:rsid w:val="00337328"/>
    <w:rsid w:val="00337877"/>
    <w:rsid w:val="00340A81"/>
    <w:rsid w:val="003421B5"/>
    <w:rsid w:val="00342CD3"/>
    <w:rsid w:val="003447BF"/>
    <w:rsid w:val="00344B0C"/>
    <w:rsid w:val="003450FE"/>
    <w:rsid w:val="003453B7"/>
    <w:rsid w:val="00345A9C"/>
    <w:rsid w:val="00345ECF"/>
    <w:rsid w:val="00347301"/>
    <w:rsid w:val="0034785B"/>
    <w:rsid w:val="00347B4A"/>
    <w:rsid w:val="00347CC2"/>
    <w:rsid w:val="0035039C"/>
    <w:rsid w:val="0035253E"/>
    <w:rsid w:val="00352633"/>
    <w:rsid w:val="00355F34"/>
    <w:rsid w:val="00360B4A"/>
    <w:rsid w:val="003635F7"/>
    <w:rsid w:val="00363D42"/>
    <w:rsid w:val="0036526F"/>
    <w:rsid w:val="00367B96"/>
    <w:rsid w:val="003711AC"/>
    <w:rsid w:val="00372F98"/>
    <w:rsid w:val="003733C4"/>
    <w:rsid w:val="00373854"/>
    <w:rsid w:val="00373F41"/>
    <w:rsid w:val="00376454"/>
    <w:rsid w:val="003767B9"/>
    <w:rsid w:val="00376E2C"/>
    <w:rsid w:val="003807C0"/>
    <w:rsid w:val="0038329C"/>
    <w:rsid w:val="003841E8"/>
    <w:rsid w:val="0038469B"/>
    <w:rsid w:val="003854C5"/>
    <w:rsid w:val="00386E3B"/>
    <w:rsid w:val="00390585"/>
    <w:rsid w:val="0039243F"/>
    <w:rsid w:val="00394CD6"/>
    <w:rsid w:val="00394ED9"/>
    <w:rsid w:val="00395B97"/>
    <w:rsid w:val="00396005"/>
    <w:rsid w:val="003962B6"/>
    <w:rsid w:val="003970DC"/>
    <w:rsid w:val="003A142B"/>
    <w:rsid w:val="003A1BFD"/>
    <w:rsid w:val="003A22A0"/>
    <w:rsid w:val="003A3633"/>
    <w:rsid w:val="003A5AB3"/>
    <w:rsid w:val="003B2025"/>
    <w:rsid w:val="003B224A"/>
    <w:rsid w:val="003B4A6D"/>
    <w:rsid w:val="003B6F25"/>
    <w:rsid w:val="003B77E9"/>
    <w:rsid w:val="003B7A95"/>
    <w:rsid w:val="003C0D3E"/>
    <w:rsid w:val="003C1D15"/>
    <w:rsid w:val="003C4BB9"/>
    <w:rsid w:val="003C51CE"/>
    <w:rsid w:val="003C7963"/>
    <w:rsid w:val="003C7AC5"/>
    <w:rsid w:val="003D192F"/>
    <w:rsid w:val="003D2165"/>
    <w:rsid w:val="003D24E4"/>
    <w:rsid w:val="003D6390"/>
    <w:rsid w:val="003D77DF"/>
    <w:rsid w:val="003D7BF1"/>
    <w:rsid w:val="003E09EB"/>
    <w:rsid w:val="003E1132"/>
    <w:rsid w:val="003E2B07"/>
    <w:rsid w:val="003E2E9F"/>
    <w:rsid w:val="003E2F40"/>
    <w:rsid w:val="003E523A"/>
    <w:rsid w:val="003E7138"/>
    <w:rsid w:val="003E7A55"/>
    <w:rsid w:val="003F1410"/>
    <w:rsid w:val="003F18EF"/>
    <w:rsid w:val="003F23A6"/>
    <w:rsid w:val="003F2A8C"/>
    <w:rsid w:val="003F3692"/>
    <w:rsid w:val="003F5F7A"/>
    <w:rsid w:val="0040022A"/>
    <w:rsid w:val="004007F3"/>
    <w:rsid w:val="00403331"/>
    <w:rsid w:val="00404A3D"/>
    <w:rsid w:val="00404B70"/>
    <w:rsid w:val="00405189"/>
    <w:rsid w:val="004068B2"/>
    <w:rsid w:val="004068FB"/>
    <w:rsid w:val="00406C8E"/>
    <w:rsid w:val="00407DF6"/>
    <w:rsid w:val="00412A67"/>
    <w:rsid w:val="00413080"/>
    <w:rsid w:val="00413830"/>
    <w:rsid w:val="00415E31"/>
    <w:rsid w:val="004171AC"/>
    <w:rsid w:val="00417894"/>
    <w:rsid w:val="00417AE1"/>
    <w:rsid w:val="00420A69"/>
    <w:rsid w:val="00420CDB"/>
    <w:rsid w:val="004242C0"/>
    <w:rsid w:val="00424959"/>
    <w:rsid w:val="004249D6"/>
    <w:rsid w:val="00424CEC"/>
    <w:rsid w:val="00424FF3"/>
    <w:rsid w:val="00425890"/>
    <w:rsid w:val="00426825"/>
    <w:rsid w:val="00427430"/>
    <w:rsid w:val="00430437"/>
    <w:rsid w:val="00431929"/>
    <w:rsid w:val="00432CA1"/>
    <w:rsid w:val="00432D9A"/>
    <w:rsid w:val="00432F85"/>
    <w:rsid w:val="004331B4"/>
    <w:rsid w:val="004338F3"/>
    <w:rsid w:val="00433B7C"/>
    <w:rsid w:val="0043557D"/>
    <w:rsid w:val="00435C8F"/>
    <w:rsid w:val="004369CE"/>
    <w:rsid w:val="004408FF"/>
    <w:rsid w:val="00440B29"/>
    <w:rsid w:val="004419A1"/>
    <w:rsid w:val="00441EA6"/>
    <w:rsid w:val="00442587"/>
    <w:rsid w:val="004439A5"/>
    <w:rsid w:val="00444400"/>
    <w:rsid w:val="00445613"/>
    <w:rsid w:val="00446B20"/>
    <w:rsid w:val="004470A7"/>
    <w:rsid w:val="0044784B"/>
    <w:rsid w:val="004525CF"/>
    <w:rsid w:val="00454AB3"/>
    <w:rsid w:val="00455615"/>
    <w:rsid w:val="004558A9"/>
    <w:rsid w:val="00455952"/>
    <w:rsid w:val="00456007"/>
    <w:rsid w:val="00456A3C"/>
    <w:rsid w:val="00461D9C"/>
    <w:rsid w:val="00461E1E"/>
    <w:rsid w:val="00463340"/>
    <w:rsid w:val="004639DA"/>
    <w:rsid w:val="004640C9"/>
    <w:rsid w:val="004642D4"/>
    <w:rsid w:val="00464855"/>
    <w:rsid w:val="004751DE"/>
    <w:rsid w:val="00475F4C"/>
    <w:rsid w:val="004777FD"/>
    <w:rsid w:val="00477BDC"/>
    <w:rsid w:val="00483ACC"/>
    <w:rsid w:val="004843CF"/>
    <w:rsid w:val="00484890"/>
    <w:rsid w:val="00484DAB"/>
    <w:rsid w:val="00484DBA"/>
    <w:rsid w:val="00490786"/>
    <w:rsid w:val="00490A80"/>
    <w:rsid w:val="00490A89"/>
    <w:rsid w:val="00492A36"/>
    <w:rsid w:val="00492E73"/>
    <w:rsid w:val="0049342B"/>
    <w:rsid w:val="0049408B"/>
    <w:rsid w:val="0049581C"/>
    <w:rsid w:val="004A0138"/>
    <w:rsid w:val="004A2295"/>
    <w:rsid w:val="004A28D1"/>
    <w:rsid w:val="004A6294"/>
    <w:rsid w:val="004A650B"/>
    <w:rsid w:val="004A73B5"/>
    <w:rsid w:val="004A78E9"/>
    <w:rsid w:val="004B0197"/>
    <w:rsid w:val="004B08A6"/>
    <w:rsid w:val="004B135E"/>
    <w:rsid w:val="004B2681"/>
    <w:rsid w:val="004B2F5D"/>
    <w:rsid w:val="004B4371"/>
    <w:rsid w:val="004B486A"/>
    <w:rsid w:val="004B58F5"/>
    <w:rsid w:val="004B7614"/>
    <w:rsid w:val="004C11FF"/>
    <w:rsid w:val="004C15BD"/>
    <w:rsid w:val="004C2141"/>
    <w:rsid w:val="004C3010"/>
    <w:rsid w:val="004C485E"/>
    <w:rsid w:val="004C5E79"/>
    <w:rsid w:val="004C60F2"/>
    <w:rsid w:val="004D177C"/>
    <w:rsid w:val="004D1C6B"/>
    <w:rsid w:val="004D1DEE"/>
    <w:rsid w:val="004D26A6"/>
    <w:rsid w:val="004D3345"/>
    <w:rsid w:val="004D392B"/>
    <w:rsid w:val="004D5A62"/>
    <w:rsid w:val="004D70FC"/>
    <w:rsid w:val="004E0EED"/>
    <w:rsid w:val="004E315E"/>
    <w:rsid w:val="004F2DD3"/>
    <w:rsid w:val="004F47A8"/>
    <w:rsid w:val="004F50BC"/>
    <w:rsid w:val="004F5278"/>
    <w:rsid w:val="004F5827"/>
    <w:rsid w:val="004F5994"/>
    <w:rsid w:val="004F5E7F"/>
    <w:rsid w:val="004F6792"/>
    <w:rsid w:val="004F726A"/>
    <w:rsid w:val="004F78CE"/>
    <w:rsid w:val="00500CD9"/>
    <w:rsid w:val="00501A26"/>
    <w:rsid w:val="005023A3"/>
    <w:rsid w:val="0050287F"/>
    <w:rsid w:val="00505662"/>
    <w:rsid w:val="00506771"/>
    <w:rsid w:val="00506F0F"/>
    <w:rsid w:val="00507DB0"/>
    <w:rsid w:val="005108CD"/>
    <w:rsid w:val="00513345"/>
    <w:rsid w:val="00513892"/>
    <w:rsid w:val="00515BAC"/>
    <w:rsid w:val="005207CB"/>
    <w:rsid w:val="005225BE"/>
    <w:rsid w:val="005258B1"/>
    <w:rsid w:val="005259EE"/>
    <w:rsid w:val="0052690E"/>
    <w:rsid w:val="0052786D"/>
    <w:rsid w:val="00527CA1"/>
    <w:rsid w:val="00530470"/>
    <w:rsid w:val="0053060F"/>
    <w:rsid w:val="00530F5A"/>
    <w:rsid w:val="00531AA4"/>
    <w:rsid w:val="005327D0"/>
    <w:rsid w:val="00534424"/>
    <w:rsid w:val="00534EF3"/>
    <w:rsid w:val="00535477"/>
    <w:rsid w:val="00537577"/>
    <w:rsid w:val="00537F86"/>
    <w:rsid w:val="005404C5"/>
    <w:rsid w:val="00541DDC"/>
    <w:rsid w:val="005435FD"/>
    <w:rsid w:val="00543AA0"/>
    <w:rsid w:val="0054493C"/>
    <w:rsid w:val="005450F5"/>
    <w:rsid w:val="0054764C"/>
    <w:rsid w:val="0055043D"/>
    <w:rsid w:val="00551123"/>
    <w:rsid w:val="00551492"/>
    <w:rsid w:val="005515D7"/>
    <w:rsid w:val="0056051C"/>
    <w:rsid w:val="00562D9E"/>
    <w:rsid w:val="00562F3F"/>
    <w:rsid w:val="00563AA4"/>
    <w:rsid w:val="00563DBA"/>
    <w:rsid w:val="00565140"/>
    <w:rsid w:val="005666BC"/>
    <w:rsid w:val="00567EE7"/>
    <w:rsid w:val="00570BBF"/>
    <w:rsid w:val="00572A33"/>
    <w:rsid w:val="00573BA8"/>
    <w:rsid w:val="005746D2"/>
    <w:rsid w:val="0057534A"/>
    <w:rsid w:val="005754CE"/>
    <w:rsid w:val="00575602"/>
    <w:rsid w:val="00576694"/>
    <w:rsid w:val="00576B92"/>
    <w:rsid w:val="00580029"/>
    <w:rsid w:val="00580ACA"/>
    <w:rsid w:val="00580BF4"/>
    <w:rsid w:val="00581E43"/>
    <w:rsid w:val="00582FC4"/>
    <w:rsid w:val="0058351A"/>
    <w:rsid w:val="0058593C"/>
    <w:rsid w:val="0058737F"/>
    <w:rsid w:val="005877F8"/>
    <w:rsid w:val="00590E34"/>
    <w:rsid w:val="00591228"/>
    <w:rsid w:val="00591B98"/>
    <w:rsid w:val="00591FD1"/>
    <w:rsid w:val="00593602"/>
    <w:rsid w:val="00594757"/>
    <w:rsid w:val="005A0210"/>
    <w:rsid w:val="005A11E5"/>
    <w:rsid w:val="005A58E1"/>
    <w:rsid w:val="005B1BF3"/>
    <w:rsid w:val="005B67D4"/>
    <w:rsid w:val="005B7D81"/>
    <w:rsid w:val="005C12DC"/>
    <w:rsid w:val="005C1667"/>
    <w:rsid w:val="005C1F5E"/>
    <w:rsid w:val="005C223C"/>
    <w:rsid w:val="005C2443"/>
    <w:rsid w:val="005C35EA"/>
    <w:rsid w:val="005C36E5"/>
    <w:rsid w:val="005C3EBF"/>
    <w:rsid w:val="005C43D6"/>
    <w:rsid w:val="005C520D"/>
    <w:rsid w:val="005C57D4"/>
    <w:rsid w:val="005C61FD"/>
    <w:rsid w:val="005C65E5"/>
    <w:rsid w:val="005C662C"/>
    <w:rsid w:val="005C6811"/>
    <w:rsid w:val="005C7618"/>
    <w:rsid w:val="005C782D"/>
    <w:rsid w:val="005D0063"/>
    <w:rsid w:val="005D1AFA"/>
    <w:rsid w:val="005D216C"/>
    <w:rsid w:val="005D2F1F"/>
    <w:rsid w:val="005D31AB"/>
    <w:rsid w:val="005D569B"/>
    <w:rsid w:val="005D59EF"/>
    <w:rsid w:val="005D63A5"/>
    <w:rsid w:val="005D6C31"/>
    <w:rsid w:val="005D7CEF"/>
    <w:rsid w:val="005D7E2E"/>
    <w:rsid w:val="005E1353"/>
    <w:rsid w:val="005E276D"/>
    <w:rsid w:val="005E446B"/>
    <w:rsid w:val="005E4709"/>
    <w:rsid w:val="005E5082"/>
    <w:rsid w:val="005E50FA"/>
    <w:rsid w:val="005E5FEF"/>
    <w:rsid w:val="005E637D"/>
    <w:rsid w:val="005E7143"/>
    <w:rsid w:val="005F380F"/>
    <w:rsid w:val="005F3D67"/>
    <w:rsid w:val="005F6885"/>
    <w:rsid w:val="005F6EEB"/>
    <w:rsid w:val="005F76A1"/>
    <w:rsid w:val="005F79B1"/>
    <w:rsid w:val="00600C96"/>
    <w:rsid w:val="00601DB5"/>
    <w:rsid w:val="0060404B"/>
    <w:rsid w:val="0060496B"/>
    <w:rsid w:val="006053FA"/>
    <w:rsid w:val="00605A5D"/>
    <w:rsid w:val="00607354"/>
    <w:rsid w:val="006073AC"/>
    <w:rsid w:val="006079E8"/>
    <w:rsid w:val="00610EC5"/>
    <w:rsid w:val="006129C4"/>
    <w:rsid w:val="0061445A"/>
    <w:rsid w:val="00614E7B"/>
    <w:rsid w:val="006155BE"/>
    <w:rsid w:val="00615DF9"/>
    <w:rsid w:val="006160AC"/>
    <w:rsid w:val="006178D9"/>
    <w:rsid w:val="006204FB"/>
    <w:rsid w:val="00621AEE"/>
    <w:rsid w:val="00622EBF"/>
    <w:rsid w:val="00624CCB"/>
    <w:rsid w:val="00627715"/>
    <w:rsid w:val="006309DA"/>
    <w:rsid w:val="00630E44"/>
    <w:rsid w:val="00630EF0"/>
    <w:rsid w:val="00632470"/>
    <w:rsid w:val="006329B9"/>
    <w:rsid w:val="00632AFC"/>
    <w:rsid w:val="00632CE5"/>
    <w:rsid w:val="0063460A"/>
    <w:rsid w:val="006348DA"/>
    <w:rsid w:val="00635B90"/>
    <w:rsid w:val="006362CD"/>
    <w:rsid w:val="00637C80"/>
    <w:rsid w:val="00640312"/>
    <w:rsid w:val="00640E88"/>
    <w:rsid w:val="006411A5"/>
    <w:rsid w:val="00641866"/>
    <w:rsid w:val="006422D1"/>
    <w:rsid w:val="006424EF"/>
    <w:rsid w:val="0064270E"/>
    <w:rsid w:val="00645F80"/>
    <w:rsid w:val="00645FB2"/>
    <w:rsid w:val="00646647"/>
    <w:rsid w:val="00647218"/>
    <w:rsid w:val="00647775"/>
    <w:rsid w:val="00647B2A"/>
    <w:rsid w:val="00654FCF"/>
    <w:rsid w:val="00655E63"/>
    <w:rsid w:val="006570AD"/>
    <w:rsid w:val="00657394"/>
    <w:rsid w:val="006606B7"/>
    <w:rsid w:val="00662BC7"/>
    <w:rsid w:val="006639D2"/>
    <w:rsid w:val="006643CD"/>
    <w:rsid w:val="0066484F"/>
    <w:rsid w:val="0066495C"/>
    <w:rsid w:val="006668A3"/>
    <w:rsid w:val="0067145D"/>
    <w:rsid w:val="00672E17"/>
    <w:rsid w:val="00672E52"/>
    <w:rsid w:val="00672FCF"/>
    <w:rsid w:val="0067399D"/>
    <w:rsid w:val="0067471C"/>
    <w:rsid w:val="00675DCA"/>
    <w:rsid w:val="006760EA"/>
    <w:rsid w:val="006777B0"/>
    <w:rsid w:val="006778F7"/>
    <w:rsid w:val="00677917"/>
    <w:rsid w:val="006802D8"/>
    <w:rsid w:val="0068232F"/>
    <w:rsid w:val="00682721"/>
    <w:rsid w:val="00682BCD"/>
    <w:rsid w:val="00684592"/>
    <w:rsid w:val="00687831"/>
    <w:rsid w:val="00687ED7"/>
    <w:rsid w:val="0069033F"/>
    <w:rsid w:val="006913DE"/>
    <w:rsid w:val="00691473"/>
    <w:rsid w:val="0069148D"/>
    <w:rsid w:val="00692FF4"/>
    <w:rsid w:val="00694336"/>
    <w:rsid w:val="00695499"/>
    <w:rsid w:val="00696044"/>
    <w:rsid w:val="00697B53"/>
    <w:rsid w:val="006A2099"/>
    <w:rsid w:val="006A2FCB"/>
    <w:rsid w:val="006A449C"/>
    <w:rsid w:val="006A4EC8"/>
    <w:rsid w:val="006A5CB6"/>
    <w:rsid w:val="006A756D"/>
    <w:rsid w:val="006A75D9"/>
    <w:rsid w:val="006B1E24"/>
    <w:rsid w:val="006B44BF"/>
    <w:rsid w:val="006B5F1F"/>
    <w:rsid w:val="006B631E"/>
    <w:rsid w:val="006B6FA0"/>
    <w:rsid w:val="006B7456"/>
    <w:rsid w:val="006B7D4F"/>
    <w:rsid w:val="006C0AEC"/>
    <w:rsid w:val="006C31FA"/>
    <w:rsid w:val="006C3235"/>
    <w:rsid w:val="006C38D4"/>
    <w:rsid w:val="006C460A"/>
    <w:rsid w:val="006C5C0F"/>
    <w:rsid w:val="006C772B"/>
    <w:rsid w:val="006C78F6"/>
    <w:rsid w:val="006C798A"/>
    <w:rsid w:val="006D4F11"/>
    <w:rsid w:val="006D515F"/>
    <w:rsid w:val="006D57CF"/>
    <w:rsid w:val="006D6545"/>
    <w:rsid w:val="006D6805"/>
    <w:rsid w:val="006D6F56"/>
    <w:rsid w:val="006D71DD"/>
    <w:rsid w:val="006D7E84"/>
    <w:rsid w:val="006E042C"/>
    <w:rsid w:val="006E1A49"/>
    <w:rsid w:val="006E5AF1"/>
    <w:rsid w:val="006E672C"/>
    <w:rsid w:val="006E7F33"/>
    <w:rsid w:val="006F055D"/>
    <w:rsid w:val="006F188C"/>
    <w:rsid w:val="006F1AD4"/>
    <w:rsid w:val="006F1DCB"/>
    <w:rsid w:val="006F2640"/>
    <w:rsid w:val="006F2AC1"/>
    <w:rsid w:val="006F2EA5"/>
    <w:rsid w:val="006F3577"/>
    <w:rsid w:val="006F35C0"/>
    <w:rsid w:val="006F3F76"/>
    <w:rsid w:val="006F440D"/>
    <w:rsid w:val="006F6435"/>
    <w:rsid w:val="006F64F7"/>
    <w:rsid w:val="00700FBD"/>
    <w:rsid w:val="007015F7"/>
    <w:rsid w:val="00702257"/>
    <w:rsid w:val="007033C6"/>
    <w:rsid w:val="0070398B"/>
    <w:rsid w:val="007049FC"/>
    <w:rsid w:val="00705463"/>
    <w:rsid w:val="00705E0B"/>
    <w:rsid w:val="007062F4"/>
    <w:rsid w:val="00706DD8"/>
    <w:rsid w:val="00707F0C"/>
    <w:rsid w:val="00710D1D"/>
    <w:rsid w:val="00710EF6"/>
    <w:rsid w:val="00711B2C"/>
    <w:rsid w:val="00712EB1"/>
    <w:rsid w:val="007139F3"/>
    <w:rsid w:val="007143A8"/>
    <w:rsid w:val="00715110"/>
    <w:rsid w:val="007159A1"/>
    <w:rsid w:val="00717311"/>
    <w:rsid w:val="00720472"/>
    <w:rsid w:val="00720BA7"/>
    <w:rsid w:val="00721369"/>
    <w:rsid w:val="0072186C"/>
    <w:rsid w:val="00721DAF"/>
    <w:rsid w:val="00722583"/>
    <w:rsid w:val="00722724"/>
    <w:rsid w:val="00723CE4"/>
    <w:rsid w:val="00723CE5"/>
    <w:rsid w:val="00725C8B"/>
    <w:rsid w:val="00725FFD"/>
    <w:rsid w:val="007271EC"/>
    <w:rsid w:val="00730B7D"/>
    <w:rsid w:val="0073305A"/>
    <w:rsid w:val="007342E0"/>
    <w:rsid w:val="00734438"/>
    <w:rsid w:val="007344E4"/>
    <w:rsid w:val="00736D8E"/>
    <w:rsid w:val="007377E7"/>
    <w:rsid w:val="007379C1"/>
    <w:rsid w:val="0074064C"/>
    <w:rsid w:val="007419A1"/>
    <w:rsid w:val="00742B83"/>
    <w:rsid w:val="00743A46"/>
    <w:rsid w:val="0074486C"/>
    <w:rsid w:val="007453E8"/>
    <w:rsid w:val="00746D34"/>
    <w:rsid w:val="00751E97"/>
    <w:rsid w:val="007521DE"/>
    <w:rsid w:val="00752466"/>
    <w:rsid w:val="00752794"/>
    <w:rsid w:val="00753930"/>
    <w:rsid w:val="00754FA7"/>
    <w:rsid w:val="00755A09"/>
    <w:rsid w:val="00756267"/>
    <w:rsid w:val="00762330"/>
    <w:rsid w:val="007645E6"/>
    <w:rsid w:val="00765AEA"/>
    <w:rsid w:val="00767466"/>
    <w:rsid w:val="00770C5D"/>
    <w:rsid w:val="00771D1F"/>
    <w:rsid w:val="007731F9"/>
    <w:rsid w:val="0077359E"/>
    <w:rsid w:val="0077395B"/>
    <w:rsid w:val="00775035"/>
    <w:rsid w:val="007765BE"/>
    <w:rsid w:val="00780B4F"/>
    <w:rsid w:val="007832E9"/>
    <w:rsid w:val="007834B6"/>
    <w:rsid w:val="00785913"/>
    <w:rsid w:val="0078746D"/>
    <w:rsid w:val="00791646"/>
    <w:rsid w:val="00792CAB"/>
    <w:rsid w:val="00792E85"/>
    <w:rsid w:val="00793075"/>
    <w:rsid w:val="007945B4"/>
    <w:rsid w:val="0079782D"/>
    <w:rsid w:val="00797BFF"/>
    <w:rsid w:val="007A0A05"/>
    <w:rsid w:val="007A1B56"/>
    <w:rsid w:val="007A2423"/>
    <w:rsid w:val="007A353D"/>
    <w:rsid w:val="007A3655"/>
    <w:rsid w:val="007A59E0"/>
    <w:rsid w:val="007A5DEE"/>
    <w:rsid w:val="007A7635"/>
    <w:rsid w:val="007B1422"/>
    <w:rsid w:val="007B1F2F"/>
    <w:rsid w:val="007B4862"/>
    <w:rsid w:val="007B49C2"/>
    <w:rsid w:val="007B719E"/>
    <w:rsid w:val="007C3C81"/>
    <w:rsid w:val="007C4B05"/>
    <w:rsid w:val="007C7B54"/>
    <w:rsid w:val="007D03D2"/>
    <w:rsid w:val="007D1ADF"/>
    <w:rsid w:val="007D1FB0"/>
    <w:rsid w:val="007D30D7"/>
    <w:rsid w:val="007D46BA"/>
    <w:rsid w:val="007D6102"/>
    <w:rsid w:val="007D7AD5"/>
    <w:rsid w:val="007E0484"/>
    <w:rsid w:val="007E0ABF"/>
    <w:rsid w:val="007E2B5E"/>
    <w:rsid w:val="007E2B7E"/>
    <w:rsid w:val="007E3074"/>
    <w:rsid w:val="007E35A0"/>
    <w:rsid w:val="007E4D8D"/>
    <w:rsid w:val="007E768E"/>
    <w:rsid w:val="007F039D"/>
    <w:rsid w:val="007F1875"/>
    <w:rsid w:val="007F24A7"/>
    <w:rsid w:val="007F2DE9"/>
    <w:rsid w:val="007F626F"/>
    <w:rsid w:val="007F7AC2"/>
    <w:rsid w:val="00800195"/>
    <w:rsid w:val="00804448"/>
    <w:rsid w:val="008058C3"/>
    <w:rsid w:val="00805D62"/>
    <w:rsid w:val="00806BE7"/>
    <w:rsid w:val="00807210"/>
    <w:rsid w:val="00810E5C"/>
    <w:rsid w:val="00811EBD"/>
    <w:rsid w:val="00814026"/>
    <w:rsid w:val="00820578"/>
    <w:rsid w:val="00820930"/>
    <w:rsid w:val="00823398"/>
    <w:rsid w:val="00826CA4"/>
    <w:rsid w:val="00827EAD"/>
    <w:rsid w:val="00830163"/>
    <w:rsid w:val="00831F12"/>
    <w:rsid w:val="00831F9C"/>
    <w:rsid w:val="008351F2"/>
    <w:rsid w:val="00836DC4"/>
    <w:rsid w:val="00840B0A"/>
    <w:rsid w:val="00841A0A"/>
    <w:rsid w:val="0084292F"/>
    <w:rsid w:val="008466E3"/>
    <w:rsid w:val="00847A44"/>
    <w:rsid w:val="00850EC0"/>
    <w:rsid w:val="008514EB"/>
    <w:rsid w:val="00851F89"/>
    <w:rsid w:val="008526DD"/>
    <w:rsid w:val="00853FE6"/>
    <w:rsid w:val="0085757E"/>
    <w:rsid w:val="0085794F"/>
    <w:rsid w:val="00861E76"/>
    <w:rsid w:val="008624C7"/>
    <w:rsid w:val="00862B4C"/>
    <w:rsid w:val="008630FD"/>
    <w:rsid w:val="0086411E"/>
    <w:rsid w:val="008649D1"/>
    <w:rsid w:val="008654AE"/>
    <w:rsid w:val="00866DA7"/>
    <w:rsid w:val="008674CD"/>
    <w:rsid w:val="00876D70"/>
    <w:rsid w:val="00880798"/>
    <w:rsid w:val="00880D58"/>
    <w:rsid w:val="008819D4"/>
    <w:rsid w:val="00881E95"/>
    <w:rsid w:val="00883BE6"/>
    <w:rsid w:val="008845B0"/>
    <w:rsid w:val="008846ED"/>
    <w:rsid w:val="00885044"/>
    <w:rsid w:val="00885613"/>
    <w:rsid w:val="008869C4"/>
    <w:rsid w:val="0088717D"/>
    <w:rsid w:val="008878FC"/>
    <w:rsid w:val="00891A49"/>
    <w:rsid w:val="008945FF"/>
    <w:rsid w:val="00896120"/>
    <w:rsid w:val="00896867"/>
    <w:rsid w:val="00897D64"/>
    <w:rsid w:val="008A2477"/>
    <w:rsid w:val="008A28A2"/>
    <w:rsid w:val="008A49C0"/>
    <w:rsid w:val="008A4F7D"/>
    <w:rsid w:val="008A7463"/>
    <w:rsid w:val="008B0B59"/>
    <w:rsid w:val="008B1CA4"/>
    <w:rsid w:val="008B6BFF"/>
    <w:rsid w:val="008B7EDD"/>
    <w:rsid w:val="008C0184"/>
    <w:rsid w:val="008C0A62"/>
    <w:rsid w:val="008C10A9"/>
    <w:rsid w:val="008C2A77"/>
    <w:rsid w:val="008C4224"/>
    <w:rsid w:val="008C4542"/>
    <w:rsid w:val="008C5279"/>
    <w:rsid w:val="008C5747"/>
    <w:rsid w:val="008D0336"/>
    <w:rsid w:val="008D2B91"/>
    <w:rsid w:val="008D36FA"/>
    <w:rsid w:val="008D40A7"/>
    <w:rsid w:val="008D4549"/>
    <w:rsid w:val="008D487B"/>
    <w:rsid w:val="008D4BD5"/>
    <w:rsid w:val="008D5BE8"/>
    <w:rsid w:val="008D640A"/>
    <w:rsid w:val="008D6AA2"/>
    <w:rsid w:val="008D6FCD"/>
    <w:rsid w:val="008E0B8D"/>
    <w:rsid w:val="008E1610"/>
    <w:rsid w:val="008E271A"/>
    <w:rsid w:val="008E28DD"/>
    <w:rsid w:val="008E3E26"/>
    <w:rsid w:val="008E6739"/>
    <w:rsid w:val="008E7B9F"/>
    <w:rsid w:val="008F0684"/>
    <w:rsid w:val="008F2568"/>
    <w:rsid w:val="008F48F7"/>
    <w:rsid w:val="008F56AE"/>
    <w:rsid w:val="008F5A62"/>
    <w:rsid w:val="008F7BFD"/>
    <w:rsid w:val="00900E2E"/>
    <w:rsid w:val="00901C4C"/>
    <w:rsid w:val="00901E23"/>
    <w:rsid w:val="00904DC5"/>
    <w:rsid w:val="009066A7"/>
    <w:rsid w:val="0090792B"/>
    <w:rsid w:val="009104F3"/>
    <w:rsid w:val="00911C5E"/>
    <w:rsid w:val="009134D5"/>
    <w:rsid w:val="00913CDD"/>
    <w:rsid w:val="00914BF0"/>
    <w:rsid w:val="00914EFB"/>
    <w:rsid w:val="0091553F"/>
    <w:rsid w:val="00915CD9"/>
    <w:rsid w:val="00916C78"/>
    <w:rsid w:val="009174CA"/>
    <w:rsid w:val="00917A81"/>
    <w:rsid w:val="00920A48"/>
    <w:rsid w:val="009215E9"/>
    <w:rsid w:val="009237D0"/>
    <w:rsid w:val="0092512D"/>
    <w:rsid w:val="0092555F"/>
    <w:rsid w:val="00926466"/>
    <w:rsid w:val="00930E5C"/>
    <w:rsid w:val="00931CF3"/>
    <w:rsid w:val="00932D8E"/>
    <w:rsid w:val="0093415D"/>
    <w:rsid w:val="0093430C"/>
    <w:rsid w:val="00934E30"/>
    <w:rsid w:val="0093542A"/>
    <w:rsid w:val="00935C03"/>
    <w:rsid w:val="009364E3"/>
    <w:rsid w:val="009370FD"/>
    <w:rsid w:val="00937F8F"/>
    <w:rsid w:val="0094039C"/>
    <w:rsid w:val="0094095B"/>
    <w:rsid w:val="00941FF1"/>
    <w:rsid w:val="00943285"/>
    <w:rsid w:val="00944244"/>
    <w:rsid w:val="0094424A"/>
    <w:rsid w:val="00944A26"/>
    <w:rsid w:val="00946EEA"/>
    <w:rsid w:val="0095068B"/>
    <w:rsid w:val="009506F3"/>
    <w:rsid w:val="009515BA"/>
    <w:rsid w:val="00952060"/>
    <w:rsid w:val="009526DC"/>
    <w:rsid w:val="00952F99"/>
    <w:rsid w:val="00955C7A"/>
    <w:rsid w:val="00956F4B"/>
    <w:rsid w:val="009572D5"/>
    <w:rsid w:val="009624E4"/>
    <w:rsid w:val="00962652"/>
    <w:rsid w:val="0096282A"/>
    <w:rsid w:val="009653DD"/>
    <w:rsid w:val="0097115D"/>
    <w:rsid w:val="00973331"/>
    <w:rsid w:val="00973485"/>
    <w:rsid w:val="00973901"/>
    <w:rsid w:val="00973C75"/>
    <w:rsid w:val="009741F2"/>
    <w:rsid w:val="009744EE"/>
    <w:rsid w:val="00974A1D"/>
    <w:rsid w:val="009763F6"/>
    <w:rsid w:val="00977EDA"/>
    <w:rsid w:val="009805DB"/>
    <w:rsid w:val="00984854"/>
    <w:rsid w:val="00984D47"/>
    <w:rsid w:val="00984D9F"/>
    <w:rsid w:val="00985262"/>
    <w:rsid w:val="00985B1E"/>
    <w:rsid w:val="009861E0"/>
    <w:rsid w:val="00987BFD"/>
    <w:rsid w:val="00991056"/>
    <w:rsid w:val="0099211A"/>
    <w:rsid w:val="0099220A"/>
    <w:rsid w:val="009947E6"/>
    <w:rsid w:val="00995904"/>
    <w:rsid w:val="009971D3"/>
    <w:rsid w:val="0099735D"/>
    <w:rsid w:val="00997610"/>
    <w:rsid w:val="00997FD1"/>
    <w:rsid w:val="009A2D4D"/>
    <w:rsid w:val="009A4DF0"/>
    <w:rsid w:val="009B254B"/>
    <w:rsid w:val="009B29B7"/>
    <w:rsid w:val="009B2AB7"/>
    <w:rsid w:val="009B2F47"/>
    <w:rsid w:val="009B562F"/>
    <w:rsid w:val="009B6844"/>
    <w:rsid w:val="009B6E6B"/>
    <w:rsid w:val="009C1A89"/>
    <w:rsid w:val="009C2FAB"/>
    <w:rsid w:val="009C3350"/>
    <w:rsid w:val="009C3CC3"/>
    <w:rsid w:val="009C7857"/>
    <w:rsid w:val="009D1B9B"/>
    <w:rsid w:val="009D3C0D"/>
    <w:rsid w:val="009D4525"/>
    <w:rsid w:val="009D4F7D"/>
    <w:rsid w:val="009D55C9"/>
    <w:rsid w:val="009D6906"/>
    <w:rsid w:val="009D7EB5"/>
    <w:rsid w:val="009D7FCD"/>
    <w:rsid w:val="009E1720"/>
    <w:rsid w:val="009E1F66"/>
    <w:rsid w:val="009E28FF"/>
    <w:rsid w:val="009E2F43"/>
    <w:rsid w:val="009E40C9"/>
    <w:rsid w:val="009E6F38"/>
    <w:rsid w:val="009E7D7C"/>
    <w:rsid w:val="009F0847"/>
    <w:rsid w:val="009F11E8"/>
    <w:rsid w:val="009F13D0"/>
    <w:rsid w:val="009F25B4"/>
    <w:rsid w:val="009F4365"/>
    <w:rsid w:val="009F5980"/>
    <w:rsid w:val="009F5A22"/>
    <w:rsid w:val="009F731B"/>
    <w:rsid w:val="00A0031F"/>
    <w:rsid w:val="00A0114B"/>
    <w:rsid w:val="00A0228D"/>
    <w:rsid w:val="00A056D2"/>
    <w:rsid w:val="00A07ECF"/>
    <w:rsid w:val="00A12DFF"/>
    <w:rsid w:val="00A17255"/>
    <w:rsid w:val="00A17D91"/>
    <w:rsid w:val="00A20586"/>
    <w:rsid w:val="00A20DE3"/>
    <w:rsid w:val="00A223C6"/>
    <w:rsid w:val="00A22AC0"/>
    <w:rsid w:val="00A23DCC"/>
    <w:rsid w:val="00A24E47"/>
    <w:rsid w:val="00A265CF"/>
    <w:rsid w:val="00A311B6"/>
    <w:rsid w:val="00A31C25"/>
    <w:rsid w:val="00A34781"/>
    <w:rsid w:val="00A34E1A"/>
    <w:rsid w:val="00A36052"/>
    <w:rsid w:val="00A37AF2"/>
    <w:rsid w:val="00A40512"/>
    <w:rsid w:val="00A4191F"/>
    <w:rsid w:val="00A41DA1"/>
    <w:rsid w:val="00A420F5"/>
    <w:rsid w:val="00A42536"/>
    <w:rsid w:val="00A436ED"/>
    <w:rsid w:val="00A470DF"/>
    <w:rsid w:val="00A50229"/>
    <w:rsid w:val="00A50CF3"/>
    <w:rsid w:val="00A52319"/>
    <w:rsid w:val="00A52A50"/>
    <w:rsid w:val="00A530DE"/>
    <w:rsid w:val="00A546F3"/>
    <w:rsid w:val="00A552F7"/>
    <w:rsid w:val="00A55C47"/>
    <w:rsid w:val="00A571B1"/>
    <w:rsid w:val="00A571DA"/>
    <w:rsid w:val="00A57639"/>
    <w:rsid w:val="00A60B74"/>
    <w:rsid w:val="00A613F6"/>
    <w:rsid w:val="00A615A1"/>
    <w:rsid w:val="00A617C1"/>
    <w:rsid w:val="00A61BE1"/>
    <w:rsid w:val="00A62309"/>
    <w:rsid w:val="00A62A2B"/>
    <w:rsid w:val="00A62A52"/>
    <w:rsid w:val="00A62EEE"/>
    <w:rsid w:val="00A63429"/>
    <w:rsid w:val="00A639D8"/>
    <w:rsid w:val="00A63FF9"/>
    <w:rsid w:val="00A64E96"/>
    <w:rsid w:val="00A65827"/>
    <w:rsid w:val="00A65F05"/>
    <w:rsid w:val="00A669EE"/>
    <w:rsid w:val="00A66C95"/>
    <w:rsid w:val="00A67AF5"/>
    <w:rsid w:val="00A67E94"/>
    <w:rsid w:val="00A70351"/>
    <w:rsid w:val="00A703B2"/>
    <w:rsid w:val="00A70569"/>
    <w:rsid w:val="00A71628"/>
    <w:rsid w:val="00A7162F"/>
    <w:rsid w:val="00A748B3"/>
    <w:rsid w:val="00A7678B"/>
    <w:rsid w:val="00A81496"/>
    <w:rsid w:val="00A82156"/>
    <w:rsid w:val="00A82AD7"/>
    <w:rsid w:val="00A83A0A"/>
    <w:rsid w:val="00A8480C"/>
    <w:rsid w:val="00A85FC3"/>
    <w:rsid w:val="00A90509"/>
    <w:rsid w:val="00A9058D"/>
    <w:rsid w:val="00A918DE"/>
    <w:rsid w:val="00A927BD"/>
    <w:rsid w:val="00A92F14"/>
    <w:rsid w:val="00A93466"/>
    <w:rsid w:val="00A95938"/>
    <w:rsid w:val="00A95E9A"/>
    <w:rsid w:val="00A968B6"/>
    <w:rsid w:val="00AA35A8"/>
    <w:rsid w:val="00AA5E61"/>
    <w:rsid w:val="00AA6E3D"/>
    <w:rsid w:val="00AB030D"/>
    <w:rsid w:val="00AB09C5"/>
    <w:rsid w:val="00AB11B2"/>
    <w:rsid w:val="00AB240E"/>
    <w:rsid w:val="00AB34AB"/>
    <w:rsid w:val="00AB44C2"/>
    <w:rsid w:val="00AB5554"/>
    <w:rsid w:val="00AB57CC"/>
    <w:rsid w:val="00AB6FF3"/>
    <w:rsid w:val="00AB7637"/>
    <w:rsid w:val="00AC0FDB"/>
    <w:rsid w:val="00AC18B3"/>
    <w:rsid w:val="00AC5B53"/>
    <w:rsid w:val="00AC5BC7"/>
    <w:rsid w:val="00AC5DF3"/>
    <w:rsid w:val="00AC5E52"/>
    <w:rsid w:val="00AC654A"/>
    <w:rsid w:val="00AC7055"/>
    <w:rsid w:val="00AC738D"/>
    <w:rsid w:val="00AC7B7D"/>
    <w:rsid w:val="00AC7EE4"/>
    <w:rsid w:val="00AD2FB0"/>
    <w:rsid w:val="00AD3B37"/>
    <w:rsid w:val="00AD4212"/>
    <w:rsid w:val="00AD6C22"/>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7E1"/>
    <w:rsid w:val="00AF30E0"/>
    <w:rsid w:val="00AF4063"/>
    <w:rsid w:val="00AF541C"/>
    <w:rsid w:val="00AF5FB6"/>
    <w:rsid w:val="00AF6057"/>
    <w:rsid w:val="00AF6297"/>
    <w:rsid w:val="00B000E1"/>
    <w:rsid w:val="00B0261C"/>
    <w:rsid w:val="00B03407"/>
    <w:rsid w:val="00B04C2B"/>
    <w:rsid w:val="00B0613A"/>
    <w:rsid w:val="00B06238"/>
    <w:rsid w:val="00B07A4D"/>
    <w:rsid w:val="00B11B70"/>
    <w:rsid w:val="00B11D42"/>
    <w:rsid w:val="00B12226"/>
    <w:rsid w:val="00B14AAA"/>
    <w:rsid w:val="00B1572C"/>
    <w:rsid w:val="00B1605D"/>
    <w:rsid w:val="00B171F3"/>
    <w:rsid w:val="00B2128F"/>
    <w:rsid w:val="00B25883"/>
    <w:rsid w:val="00B263D3"/>
    <w:rsid w:val="00B27AC0"/>
    <w:rsid w:val="00B315C9"/>
    <w:rsid w:val="00B31E1B"/>
    <w:rsid w:val="00B32262"/>
    <w:rsid w:val="00B33AE7"/>
    <w:rsid w:val="00B34D43"/>
    <w:rsid w:val="00B356D4"/>
    <w:rsid w:val="00B35B9E"/>
    <w:rsid w:val="00B35CF5"/>
    <w:rsid w:val="00B361F0"/>
    <w:rsid w:val="00B36E47"/>
    <w:rsid w:val="00B36EBB"/>
    <w:rsid w:val="00B37290"/>
    <w:rsid w:val="00B4259A"/>
    <w:rsid w:val="00B43712"/>
    <w:rsid w:val="00B43CAD"/>
    <w:rsid w:val="00B44D1D"/>
    <w:rsid w:val="00B44F3C"/>
    <w:rsid w:val="00B451DC"/>
    <w:rsid w:val="00B4553C"/>
    <w:rsid w:val="00B46848"/>
    <w:rsid w:val="00B5117D"/>
    <w:rsid w:val="00B51EA6"/>
    <w:rsid w:val="00B554DD"/>
    <w:rsid w:val="00B55B1D"/>
    <w:rsid w:val="00B56F50"/>
    <w:rsid w:val="00B579C6"/>
    <w:rsid w:val="00B6004B"/>
    <w:rsid w:val="00B62167"/>
    <w:rsid w:val="00B6429A"/>
    <w:rsid w:val="00B6448C"/>
    <w:rsid w:val="00B6487F"/>
    <w:rsid w:val="00B6513E"/>
    <w:rsid w:val="00B6571B"/>
    <w:rsid w:val="00B6620B"/>
    <w:rsid w:val="00B66584"/>
    <w:rsid w:val="00B67504"/>
    <w:rsid w:val="00B71270"/>
    <w:rsid w:val="00B723FD"/>
    <w:rsid w:val="00B725A4"/>
    <w:rsid w:val="00B726E9"/>
    <w:rsid w:val="00B72F78"/>
    <w:rsid w:val="00B76217"/>
    <w:rsid w:val="00B76E4A"/>
    <w:rsid w:val="00B82528"/>
    <w:rsid w:val="00B825B4"/>
    <w:rsid w:val="00B82D99"/>
    <w:rsid w:val="00B83808"/>
    <w:rsid w:val="00B8495C"/>
    <w:rsid w:val="00B85589"/>
    <w:rsid w:val="00B86612"/>
    <w:rsid w:val="00B86E61"/>
    <w:rsid w:val="00B90DAB"/>
    <w:rsid w:val="00B91FB3"/>
    <w:rsid w:val="00B95100"/>
    <w:rsid w:val="00B96838"/>
    <w:rsid w:val="00BA0BA0"/>
    <w:rsid w:val="00BA0C64"/>
    <w:rsid w:val="00BA142F"/>
    <w:rsid w:val="00BA34B9"/>
    <w:rsid w:val="00BB024E"/>
    <w:rsid w:val="00BB2033"/>
    <w:rsid w:val="00BB2F82"/>
    <w:rsid w:val="00BB3BC7"/>
    <w:rsid w:val="00BB42E0"/>
    <w:rsid w:val="00BB4462"/>
    <w:rsid w:val="00BB46F2"/>
    <w:rsid w:val="00BB570C"/>
    <w:rsid w:val="00BC025B"/>
    <w:rsid w:val="00BC06A0"/>
    <w:rsid w:val="00BC1A8D"/>
    <w:rsid w:val="00BC1F6F"/>
    <w:rsid w:val="00BC6744"/>
    <w:rsid w:val="00BC6874"/>
    <w:rsid w:val="00BC6D98"/>
    <w:rsid w:val="00BD0A31"/>
    <w:rsid w:val="00BD19B2"/>
    <w:rsid w:val="00BD1D02"/>
    <w:rsid w:val="00BD3452"/>
    <w:rsid w:val="00BD5269"/>
    <w:rsid w:val="00BD601B"/>
    <w:rsid w:val="00BD6FA6"/>
    <w:rsid w:val="00BD76F3"/>
    <w:rsid w:val="00BD7BCB"/>
    <w:rsid w:val="00BE046B"/>
    <w:rsid w:val="00BE0EAB"/>
    <w:rsid w:val="00BE1167"/>
    <w:rsid w:val="00BE1E7E"/>
    <w:rsid w:val="00BE2611"/>
    <w:rsid w:val="00BE37AD"/>
    <w:rsid w:val="00BE37E5"/>
    <w:rsid w:val="00BE3BB3"/>
    <w:rsid w:val="00BE464F"/>
    <w:rsid w:val="00BE53CA"/>
    <w:rsid w:val="00BE5EF7"/>
    <w:rsid w:val="00BE5F01"/>
    <w:rsid w:val="00BE6001"/>
    <w:rsid w:val="00BE624B"/>
    <w:rsid w:val="00BF0C27"/>
    <w:rsid w:val="00BF2398"/>
    <w:rsid w:val="00BF34E1"/>
    <w:rsid w:val="00BF3DE4"/>
    <w:rsid w:val="00BF41DA"/>
    <w:rsid w:val="00BF6DB1"/>
    <w:rsid w:val="00C00FD7"/>
    <w:rsid w:val="00C01C93"/>
    <w:rsid w:val="00C01D58"/>
    <w:rsid w:val="00C01E20"/>
    <w:rsid w:val="00C01E46"/>
    <w:rsid w:val="00C0304E"/>
    <w:rsid w:val="00C03F10"/>
    <w:rsid w:val="00C04D6F"/>
    <w:rsid w:val="00C0640D"/>
    <w:rsid w:val="00C06576"/>
    <w:rsid w:val="00C06591"/>
    <w:rsid w:val="00C074A2"/>
    <w:rsid w:val="00C12C58"/>
    <w:rsid w:val="00C1463E"/>
    <w:rsid w:val="00C14EC9"/>
    <w:rsid w:val="00C1684A"/>
    <w:rsid w:val="00C17DEB"/>
    <w:rsid w:val="00C21EB8"/>
    <w:rsid w:val="00C23EB9"/>
    <w:rsid w:val="00C24F8F"/>
    <w:rsid w:val="00C2781E"/>
    <w:rsid w:val="00C279BC"/>
    <w:rsid w:val="00C33BE2"/>
    <w:rsid w:val="00C33C1C"/>
    <w:rsid w:val="00C3400A"/>
    <w:rsid w:val="00C35792"/>
    <w:rsid w:val="00C37D1F"/>
    <w:rsid w:val="00C419D2"/>
    <w:rsid w:val="00C42017"/>
    <w:rsid w:val="00C42E53"/>
    <w:rsid w:val="00C45B87"/>
    <w:rsid w:val="00C46AB2"/>
    <w:rsid w:val="00C503AC"/>
    <w:rsid w:val="00C504AE"/>
    <w:rsid w:val="00C50906"/>
    <w:rsid w:val="00C51545"/>
    <w:rsid w:val="00C544DA"/>
    <w:rsid w:val="00C56040"/>
    <w:rsid w:val="00C5690B"/>
    <w:rsid w:val="00C56D94"/>
    <w:rsid w:val="00C57D38"/>
    <w:rsid w:val="00C62150"/>
    <w:rsid w:val="00C6220D"/>
    <w:rsid w:val="00C62667"/>
    <w:rsid w:val="00C63311"/>
    <w:rsid w:val="00C65B51"/>
    <w:rsid w:val="00C6605A"/>
    <w:rsid w:val="00C7012D"/>
    <w:rsid w:val="00C734F9"/>
    <w:rsid w:val="00C73AE2"/>
    <w:rsid w:val="00C7485C"/>
    <w:rsid w:val="00C75450"/>
    <w:rsid w:val="00C776C2"/>
    <w:rsid w:val="00C809F7"/>
    <w:rsid w:val="00C85A37"/>
    <w:rsid w:val="00C86233"/>
    <w:rsid w:val="00C8682B"/>
    <w:rsid w:val="00C875E1"/>
    <w:rsid w:val="00C87EC8"/>
    <w:rsid w:val="00C9019C"/>
    <w:rsid w:val="00C97C52"/>
    <w:rsid w:val="00CA01E3"/>
    <w:rsid w:val="00CA02B0"/>
    <w:rsid w:val="00CA357E"/>
    <w:rsid w:val="00CA377F"/>
    <w:rsid w:val="00CA4FA0"/>
    <w:rsid w:val="00CA5479"/>
    <w:rsid w:val="00CA65DE"/>
    <w:rsid w:val="00CA7468"/>
    <w:rsid w:val="00CA798A"/>
    <w:rsid w:val="00CA7B9F"/>
    <w:rsid w:val="00CA7DF3"/>
    <w:rsid w:val="00CA7F07"/>
    <w:rsid w:val="00CB0310"/>
    <w:rsid w:val="00CB09D1"/>
    <w:rsid w:val="00CB0A82"/>
    <w:rsid w:val="00CB237E"/>
    <w:rsid w:val="00CB2B83"/>
    <w:rsid w:val="00CB4C4E"/>
    <w:rsid w:val="00CB6D9D"/>
    <w:rsid w:val="00CC1ADB"/>
    <w:rsid w:val="00CC2A3D"/>
    <w:rsid w:val="00CC3C93"/>
    <w:rsid w:val="00CC6FA7"/>
    <w:rsid w:val="00CC758C"/>
    <w:rsid w:val="00CD115A"/>
    <w:rsid w:val="00CD158C"/>
    <w:rsid w:val="00CD193E"/>
    <w:rsid w:val="00CD20B3"/>
    <w:rsid w:val="00CD28AE"/>
    <w:rsid w:val="00CD3509"/>
    <w:rsid w:val="00CD4255"/>
    <w:rsid w:val="00CD6DA4"/>
    <w:rsid w:val="00CD7E86"/>
    <w:rsid w:val="00CE1560"/>
    <w:rsid w:val="00CE2660"/>
    <w:rsid w:val="00CE45D3"/>
    <w:rsid w:val="00CE60EB"/>
    <w:rsid w:val="00CE685A"/>
    <w:rsid w:val="00CE7237"/>
    <w:rsid w:val="00CF0876"/>
    <w:rsid w:val="00CF0E4C"/>
    <w:rsid w:val="00CF1AAF"/>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05358"/>
    <w:rsid w:val="00D07049"/>
    <w:rsid w:val="00D10712"/>
    <w:rsid w:val="00D10CDF"/>
    <w:rsid w:val="00D12188"/>
    <w:rsid w:val="00D125AE"/>
    <w:rsid w:val="00D1291A"/>
    <w:rsid w:val="00D13E39"/>
    <w:rsid w:val="00D144EF"/>
    <w:rsid w:val="00D145F5"/>
    <w:rsid w:val="00D146BC"/>
    <w:rsid w:val="00D16DDF"/>
    <w:rsid w:val="00D1739C"/>
    <w:rsid w:val="00D220E4"/>
    <w:rsid w:val="00D252C3"/>
    <w:rsid w:val="00D26630"/>
    <w:rsid w:val="00D26741"/>
    <w:rsid w:val="00D271EB"/>
    <w:rsid w:val="00D27641"/>
    <w:rsid w:val="00D311AB"/>
    <w:rsid w:val="00D319C1"/>
    <w:rsid w:val="00D34BED"/>
    <w:rsid w:val="00D40691"/>
    <w:rsid w:val="00D409E6"/>
    <w:rsid w:val="00D413EF"/>
    <w:rsid w:val="00D421C8"/>
    <w:rsid w:val="00D42FFE"/>
    <w:rsid w:val="00D433EF"/>
    <w:rsid w:val="00D452B9"/>
    <w:rsid w:val="00D455D8"/>
    <w:rsid w:val="00D46100"/>
    <w:rsid w:val="00D513D0"/>
    <w:rsid w:val="00D529A1"/>
    <w:rsid w:val="00D558ED"/>
    <w:rsid w:val="00D576A0"/>
    <w:rsid w:val="00D60F51"/>
    <w:rsid w:val="00D61758"/>
    <w:rsid w:val="00D618FB"/>
    <w:rsid w:val="00D63C39"/>
    <w:rsid w:val="00D6474B"/>
    <w:rsid w:val="00D65BE8"/>
    <w:rsid w:val="00D663CB"/>
    <w:rsid w:val="00D664C2"/>
    <w:rsid w:val="00D66518"/>
    <w:rsid w:val="00D70368"/>
    <w:rsid w:val="00D72636"/>
    <w:rsid w:val="00D743CC"/>
    <w:rsid w:val="00D74BA9"/>
    <w:rsid w:val="00D75E26"/>
    <w:rsid w:val="00D762F4"/>
    <w:rsid w:val="00D80620"/>
    <w:rsid w:val="00D82955"/>
    <w:rsid w:val="00D8307C"/>
    <w:rsid w:val="00D83641"/>
    <w:rsid w:val="00D844A1"/>
    <w:rsid w:val="00D86B70"/>
    <w:rsid w:val="00D87A14"/>
    <w:rsid w:val="00D90DA0"/>
    <w:rsid w:val="00D90DD0"/>
    <w:rsid w:val="00D92B91"/>
    <w:rsid w:val="00D9356E"/>
    <w:rsid w:val="00D937D4"/>
    <w:rsid w:val="00D946BC"/>
    <w:rsid w:val="00D96478"/>
    <w:rsid w:val="00D9680F"/>
    <w:rsid w:val="00D96965"/>
    <w:rsid w:val="00D97E89"/>
    <w:rsid w:val="00DA060C"/>
    <w:rsid w:val="00DA1160"/>
    <w:rsid w:val="00DA2E9A"/>
    <w:rsid w:val="00DA47BC"/>
    <w:rsid w:val="00DA56A0"/>
    <w:rsid w:val="00DA779A"/>
    <w:rsid w:val="00DA7865"/>
    <w:rsid w:val="00DB092E"/>
    <w:rsid w:val="00DB324F"/>
    <w:rsid w:val="00DB5FAB"/>
    <w:rsid w:val="00DB6545"/>
    <w:rsid w:val="00DB7149"/>
    <w:rsid w:val="00DB7F6F"/>
    <w:rsid w:val="00DC0701"/>
    <w:rsid w:val="00DC09F2"/>
    <w:rsid w:val="00DC14D4"/>
    <w:rsid w:val="00DC29CF"/>
    <w:rsid w:val="00DC5E5E"/>
    <w:rsid w:val="00DC63F4"/>
    <w:rsid w:val="00DD0036"/>
    <w:rsid w:val="00DD0063"/>
    <w:rsid w:val="00DD05B5"/>
    <w:rsid w:val="00DD191A"/>
    <w:rsid w:val="00DD2117"/>
    <w:rsid w:val="00DD33A6"/>
    <w:rsid w:val="00DD3CE4"/>
    <w:rsid w:val="00DD4AAF"/>
    <w:rsid w:val="00DD547F"/>
    <w:rsid w:val="00DE006A"/>
    <w:rsid w:val="00DE1271"/>
    <w:rsid w:val="00DE2665"/>
    <w:rsid w:val="00DE482E"/>
    <w:rsid w:val="00DE4BA0"/>
    <w:rsid w:val="00DE5899"/>
    <w:rsid w:val="00DE5900"/>
    <w:rsid w:val="00DE6B58"/>
    <w:rsid w:val="00DE7BC1"/>
    <w:rsid w:val="00DF07EF"/>
    <w:rsid w:val="00DF0D8A"/>
    <w:rsid w:val="00DF1349"/>
    <w:rsid w:val="00DF2D40"/>
    <w:rsid w:val="00DF327A"/>
    <w:rsid w:val="00DF3EF4"/>
    <w:rsid w:val="00DF456A"/>
    <w:rsid w:val="00DF6006"/>
    <w:rsid w:val="00DF6524"/>
    <w:rsid w:val="00DF70B2"/>
    <w:rsid w:val="00E029F3"/>
    <w:rsid w:val="00E02DC4"/>
    <w:rsid w:val="00E03B72"/>
    <w:rsid w:val="00E03E1B"/>
    <w:rsid w:val="00E04B8F"/>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6016"/>
    <w:rsid w:val="00E30A18"/>
    <w:rsid w:val="00E312ED"/>
    <w:rsid w:val="00E33521"/>
    <w:rsid w:val="00E3464C"/>
    <w:rsid w:val="00E360DE"/>
    <w:rsid w:val="00E37AC9"/>
    <w:rsid w:val="00E40B76"/>
    <w:rsid w:val="00E41BB6"/>
    <w:rsid w:val="00E42CA1"/>
    <w:rsid w:val="00E433D2"/>
    <w:rsid w:val="00E44151"/>
    <w:rsid w:val="00E47292"/>
    <w:rsid w:val="00E51726"/>
    <w:rsid w:val="00E53D36"/>
    <w:rsid w:val="00E55665"/>
    <w:rsid w:val="00E55E00"/>
    <w:rsid w:val="00E56053"/>
    <w:rsid w:val="00E647C1"/>
    <w:rsid w:val="00E64DC0"/>
    <w:rsid w:val="00E65FEE"/>
    <w:rsid w:val="00E721D2"/>
    <w:rsid w:val="00E7325C"/>
    <w:rsid w:val="00E7400C"/>
    <w:rsid w:val="00E742BB"/>
    <w:rsid w:val="00E74833"/>
    <w:rsid w:val="00E77B47"/>
    <w:rsid w:val="00E800F3"/>
    <w:rsid w:val="00E80505"/>
    <w:rsid w:val="00E83633"/>
    <w:rsid w:val="00E83B09"/>
    <w:rsid w:val="00E8415A"/>
    <w:rsid w:val="00E84425"/>
    <w:rsid w:val="00E8623F"/>
    <w:rsid w:val="00E862C8"/>
    <w:rsid w:val="00E87CA5"/>
    <w:rsid w:val="00E87F78"/>
    <w:rsid w:val="00E925FF"/>
    <w:rsid w:val="00E952FA"/>
    <w:rsid w:val="00E954A2"/>
    <w:rsid w:val="00E9587D"/>
    <w:rsid w:val="00E9632A"/>
    <w:rsid w:val="00E96CEF"/>
    <w:rsid w:val="00E975C1"/>
    <w:rsid w:val="00EA3D64"/>
    <w:rsid w:val="00EA3E12"/>
    <w:rsid w:val="00EA45E0"/>
    <w:rsid w:val="00EA508B"/>
    <w:rsid w:val="00EA6A51"/>
    <w:rsid w:val="00EA6E2D"/>
    <w:rsid w:val="00EB2992"/>
    <w:rsid w:val="00EB306B"/>
    <w:rsid w:val="00EB422B"/>
    <w:rsid w:val="00EB48F1"/>
    <w:rsid w:val="00EB4BB1"/>
    <w:rsid w:val="00EB6182"/>
    <w:rsid w:val="00EB6DD0"/>
    <w:rsid w:val="00EC0296"/>
    <w:rsid w:val="00EC0B31"/>
    <w:rsid w:val="00EC230A"/>
    <w:rsid w:val="00EC27E9"/>
    <w:rsid w:val="00EC334D"/>
    <w:rsid w:val="00EC3DC2"/>
    <w:rsid w:val="00EC47F6"/>
    <w:rsid w:val="00EC5941"/>
    <w:rsid w:val="00EC5C26"/>
    <w:rsid w:val="00EC6130"/>
    <w:rsid w:val="00EC62AF"/>
    <w:rsid w:val="00EC7FD9"/>
    <w:rsid w:val="00ED0CB6"/>
    <w:rsid w:val="00ED2992"/>
    <w:rsid w:val="00ED3B35"/>
    <w:rsid w:val="00ED479D"/>
    <w:rsid w:val="00ED6706"/>
    <w:rsid w:val="00ED6A73"/>
    <w:rsid w:val="00ED6F26"/>
    <w:rsid w:val="00ED73F5"/>
    <w:rsid w:val="00ED7B10"/>
    <w:rsid w:val="00EE054F"/>
    <w:rsid w:val="00EE0780"/>
    <w:rsid w:val="00EE1D00"/>
    <w:rsid w:val="00EE2218"/>
    <w:rsid w:val="00EE2495"/>
    <w:rsid w:val="00EE4087"/>
    <w:rsid w:val="00EE4436"/>
    <w:rsid w:val="00EE445F"/>
    <w:rsid w:val="00EE52E0"/>
    <w:rsid w:val="00EE72BF"/>
    <w:rsid w:val="00EF07A5"/>
    <w:rsid w:val="00EF3152"/>
    <w:rsid w:val="00EF36A3"/>
    <w:rsid w:val="00EF557D"/>
    <w:rsid w:val="00EF77C5"/>
    <w:rsid w:val="00F03520"/>
    <w:rsid w:val="00F066F7"/>
    <w:rsid w:val="00F077B2"/>
    <w:rsid w:val="00F10B72"/>
    <w:rsid w:val="00F11CC4"/>
    <w:rsid w:val="00F12D11"/>
    <w:rsid w:val="00F138A7"/>
    <w:rsid w:val="00F15D9E"/>
    <w:rsid w:val="00F16385"/>
    <w:rsid w:val="00F16389"/>
    <w:rsid w:val="00F1707E"/>
    <w:rsid w:val="00F22E7F"/>
    <w:rsid w:val="00F23F54"/>
    <w:rsid w:val="00F27039"/>
    <w:rsid w:val="00F270BF"/>
    <w:rsid w:val="00F27838"/>
    <w:rsid w:val="00F30183"/>
    <w:rsid w:val="00F30476"/>
    <w:rsid w:val="00F305F6"/>
    <w:rsid w:val="00F308BF"/>
    <w:rsid w:val="00F312EC"/>
    <w:rsid w:val="00F3258B"/>
    <w:rsid w:val="00F339AD"/>
    <w:rsid w:val="00F33B87"/>
    <w:rsid w:val="00F34287"/>
    <w:rsid w:val="00F342E2"/>
    <w:rsid w:val="00F34E55"/>
    <w:rsid w:val="00F359B5"/>
    <w:rsid w:val="00F36FC9"/>
    <w:rsid w:val="00F401A8"/>
    <w:rsid w:val="00F42AB2"/>
    <w:rsid w:val="00F45B9C"/>
    <w:rsid w:val="00F45E3C"/>
    <w:rsid w:val="00F54902"/>
    <w:rsid w:val="00F5525A"/>
    <w:rsid w:val="00F553C7"/>
    <w:rsid w:val="00F56ECA"/>
    <w:rsid w:val="00F5745A"/>
    <w:rsid w:val="00F57E8C"/>
    <w:rsid w:val="00F60845"/>
    <w:rsid w:val="00F63369"/>
    <w:rsid w:val="00F63899"/>
    <w:rsid w:val="00F671A8"/>
    <w:rsid w:val="00F67BE5"/>
    <w:rsid w:val="00F71906"/>
    <w:rsid w:val="00F71E6B"/>
    <w:rsid w:val="00F71FD3"/>
    <w:rsid w:val="00F7274D"/>
    <w:rsid w:val="00F756D0"/>
    <w:rsid w:val="00F75DD7"/>
    <w:rsid w:val="00F80393"/>
    <w:rsid w:val="00F80CE2"/>
    <w:rsid w:val="00F81C99"/>
    <w:rsid w:val="00F82801"/>
    <w:rsid w:val="00F82B3C"/>
    <w:rsid w:val="00F83133"/>
    <w:rsid w:val="00F8471E"/>
    <w:rsid w:val="00F85E74"/>
    <w:rsid w:val="00F87FCC"/>
    <w:rsid w:val="00F903D1"/>
    <w:rsid w:val="00F90A03"/>
    <w:rsid w:val="00F90D66"/>
    <w:rsid w:val="00F9207A"/>
    <w:rsid w:val="00F935B4"/>
    <w:rsid w:val="00F93D44"/>
    <w:rsid w:val="00F95C0E"/>
    <w:rsid w:val="00F968CA"/>
    <w:rsid w:val="00F96BBB"/>
    <w:rsid w:val="00F96E6A"/>
    <w:rsid w:val="00FA0E64"/>
    <w:rsid w:val="00FA6E0E"/>
    <w:rsid w:val="00FA79BA"/>
    <w:rsid w:val="00FB166C"/>
    <w:rsid w:val="00FB50B2"/>
    <w:rsid w:val="00FB523B"/>
    <w:rsid w:val="00FB6FA7"/>
    <w:rsid w:val="00FB7196"/>
    <w:rsid w:val="00FC22E5"/>
    <w:rsid w:val="00FC2EC6"/>
    <w:rsid w:val="00FC3954"/>
    <w:rsid w:val="00FC4E57"/>
    <w:rsid w:val="00FC53DC"/>
    <w:rsid w:val="00FC55B7"/>
    <w:rsid w:val="00FC5FD6"/>
    <w:rsid w:val="00FC723A"/>
    <w:rsid w:val="00FD110D"/>
    <w:rsid w:val="00FD14EB"/>
    <w:rsid w:val="00FD178B"/>
    <w:rsid w:val="00FD218C"/>
    <w:rsid w:val="00FD3745"/>
    <w:rsid w:val="00FD5AF8"/>
    <w:rsid w:val="00FD6AA4"/>
    <w:rsid w:val="00FE2E63"/>
    <w:rsid w:val="00FE3F71"/>
    <w:rsid w:val="00FE4904"/>
    <w:rsid w:val="00FE5BE7"/>
    <w:rsid w:val="00FF171D"/>
    <w:rsid w:val="00FF3C9E"/>
    <w:rsid w:val="00FF47F0"/>
    <w:rsid w:val="00FF64DB"/>
    <w:rsid w:val="00FF73E4"/>
    <w:rsid w:val="00FF766B"/>
    <w:rsid w:val="00FF7D8A"/>
    <w:rsid w:val="01DE1E15"/>
    <w:rsid w:val="01E97279"/>
    <w:rsid w:val="030E73CB"/>
    <w:rsid w:val="032936F6"/>
    <w:rsid w:val="05041D30"/>
    <w:rsid w:val="051D7089"/>
    <w:rsid w:val="05800A23"/>
    <w:rsid w:val="05950A57"/>
    <w:rsid w:val="064641C0"/>
    <w:rsid w:val="070F0B4C"/>
    <w:rsid w:val="073B197D"/>
    <w:rsid w:val="07A0617E"/>
    <w:rsid w:val="08B8339F"/>
    <w:rsid w:val="0A945188"/>
    <w:rsid w:val="0B080929"/>
    <w:rsid w:val="0B7D4ED7"/>
    <w:rsid w:val="0F032044"/>
    <w:rsid w:val="0F111C74"/>
    <w:rsid w:val="0F4C1435"/>
    <w:rsid w:val="102C480D"/>
    <w:rsid w:val="103A5EEF"/>
    <w:rsid w:val="114E78A3"/>
    <w:rsid w:val="127114D8"/>
    <w:rsid w:val="129B20D8"/>
    <w:rsid w:val="13DA0EB3"/>
    <w:rsid w:val="1421626D"/>
    <w:rsid w:val="14A26217"/>
    <w:rsid w:val="16B458A5"/>
    <w:rsid w:val="16BA73B4"/>
    <w:rsid w:val="16E536EF"/>
    <w:rsid w:val="17F804C8"/>
    <w:rsid w:val="19803D18"/>
    <w:rsid w:val="1C956D37"/>
    <w:rsid w:val="1CF939F3"/>
    <w:rsid w:val="1E562C25"/>
    <w:rsid w:val="1EAB1C04"/>
    <w:rsid w:val="1F901064"/>
    <w:rsid w:val="20495B0A"/>
    <w:rsid w:val="21261724"/>
    <w:rsid w:val="21B0162B"/>
    <w:rsid w:val="24137107"/>
    <w:rsid w:val="243A07DB"/>
    <w:rsid w:val="2583016A"/>
    <w:rsid w:val="258A48BE"/>
    <w:rsid w:val="25BE0023"/>
    <w:rsid w:val="25E5250A"/>
    <w:rsid w:val="26513373"/>
    <w:rsid w:val="26E85BC3"/>
    <w:rsid w:val="27F272B5"/>
    <w:rsid w:val="27F31520"/>
    <w:rsid w:val="283C5EAB"/>
    <w:rsid w:val="28D23E26"/>
    <w:rsid w:val="2B1541E7"/>
    <w:rsid w:val="2B521AA4"/>
    <w:rsid w:val="2B732DA8"/>
    <w:rsid w:val="2B983CA3"/>
    <w:rsid w:val="2C5524AE"/>
    <w:rsid w:val="2D6637D7"/>
    <w:rsid w:val="2EE265FC"/>
    <w:rsid w:val="2F087DC3"/>
    <w:rsid w:val="2F593F96"/>
    <w:rsid w:val="315F4B0F"/>
    <w:rsid w:val="31E55B89"/>
    <w:rsid w:val="31E81A6A"/>
    <w:rsid w:val="322F72FD"/>
    <w:rsid w:val="32786EF6"/>
    <w:rsid w:val="34202321"/>
    <w:rsid w:val="358E6221"/>
    <w:rsid w:val="35BC7697"/>
    <w:rsid w:val="36154BBA"/>
    <w:rsid w:val="38370E25"/>
    <w:rsid w:val="38622F16"/>
    <w:rsid w:val="38624702"/>
    <w:rsid w:val="39E040A5"/>
    <w:rsid w:val="3A790FC2"/>
    <w:rsid w:val="3B42216A"/>
    <w:rsid w:val="3CAD4CD2"/>
    <w:rsid w:val="3CD218F9"/>
    <w:rsid w:val="417377D2"/>
    <w:rsid w:val="421529C5"/>
    <w:rsid w:val="42DD30EA"/>
    <w:rsid w:val="431E6016"/>
    <w:rsid w:val="43364782"/>
    <w:rsid w:val="43CE7653"/>
    <w:rsid w:val="44E91969"/>
    <w:rsid w:val="45346C28"/>
    <w:rsid w:val="4866712F"/>
    <w:rsid w:val="48BB14A6"/>
    <w:rsid w:val="490073E8"/>
    <w:rsid w:val="49615088"/>
    <w:rsid w:val="49F730C9"/>
    <w:rsid w:val="4B5135E7"/>
    <w:rsid w:val="4C5E6928"/>
    <w:rsid w:val="4C894DFB"/>
    <w:rsid w:val="4CB66B41"/>
    <w:rsid w:val="4D2A5E68"/>
    <w:rsid w:val="4DE52E32"/>
    <w:rsid w:val="4E077B10"/>
    <w:rsid w:val="4EDD44AD"/>
    <w:rsid w:val="4F961996"/>
    <w:rsid w:val="51255170"/>
    <w:rsid w:val="51E52971"/>
    <w:rsid w:val="51F14779"/>
    <w:rsid w:val="51FF0643"/>
    <w:rsid w:val="52740606"/>
    <w:rsid w:val="54A17506"/>
    <w:rsid w:val="55637075"/>
    <w:rsid w:val="55D450FB"/>
    <w:rsid w:val="571070B5"/>
    <w:rsid w:val="58BE2B52"/>
    <w:rsid w:val="5933000A"/>
    <w:rsid w:val="5AA951FB"/>
    <w:rsid w:val="5AE00D43"/>
    <w:rsid w:val="5B09785F"/>
    <w:rsid w:val="5B306813"/>
    <w:rsid w:val="5BE44133"/>
    <w:rsid w:val="5C0779F3"/>
    <w:rsid w:val="5C44724A"/>
    <w:rsid w:val="5D07748F"/>
    <w:rsid w:val="5D3B6BA3"/>
    <w:rsid w:val="5D8D3742"/>
    <w:rsid w:val="5E1A5B43"/>
    <w:rsid w:val="5EB5483E"/>
    <w:rsid w:val="5ECE61CF"/>
    <w:rsid w:val="5F846534"/>
    <w:rsid w:val="625D0ED5"/>
    <w:rsid w:val="62AB6CDD"/>
    <w:rsid w:val="62CB0B21"/>
    <w:rsid w:val="62FD5F8C"/>
    <w:rsid w:val="64C708FC"/>
    <w:rsid w:val="65B634A1"/>
    <w:rsid w:val="660D28EF"/>
    <w:rsid w:val="668D44AD"/>
    <w:rsid w:val="66AE6241"/>
    <w:rsid w:val="6807406E"/>
    <w:rsid w:val="68BB67E1"/>
    <w:rsid w:val="690A2DCA"/>
    <w:rsid w:val="694D5E9B"/>
    <w:rsid w:val="6A36449F"/>
    <w:rsid w:val="6ACB5AC8"/>
    <w:rsid w:val="6B1C23D3"/>
    <w:rsid w:val="6B1C3E67"/>
    <w:rsid w:val="6CBF7D74"/>
    <w:rsid w:val="6E776E55"/>
    <w:rsid w:val="6EE52976"/>
    <w:rsid w:val="6F393B8A"/>
    <w:rsid w:val="6F4767E1"/>
    <w:rsid w:val="6FC446FE"/>
    <w:rsid w:val="70360599"/>
    <w:rsid w:val="730C3E0A"/>
    <w:rsid w:val="73FA5D53"/>
    <w:rsid w:val="740C55CD"/>
    <w:rsid w:val="74580397"/>
    <w:rsid w:val="75CD318F"/>
    <w:rsid w:val="767E7731"/>
    <w:rsid w:val="76BB13D7"/>
    <w:rsid w:val="76FB1F6E"/>
    <w:rsid w:val="771A0B81"/>
    <w:rsid w:val="78BC288B"/>
    <w:rsid w:val="78DB2840"/>
    <w:rsid w:val="78DC26AE"/>
    <w:rsid w:val="793D4148"/>
    <w:rsid w:val="7A5421E3"/>
    <w:rsid w:val="7A796645"/>
    <w:rsid w:val="7D860C2E"/>
    <w:rsid w:val="7DE05086"/>
    <w:rsid w:val="7E1A042F"/>
    <w:rsid w:val="7EC33B5B"/>
    <w:rsid w:val="7F296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4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jc w:val="left"/>
    </w:pPr>
    <w:rPr>
      <w:i/>
      <w:iCs/>
      <w:sz w:val="20"/>
    </w:rPr>
  </w:style>
  <w:style w:type="paragraph" w:styleId="6">
    <w:name w:val="toc 7"/>
    <w:basedOn w:val="1"/>
    <w:next w:val="1"/>
    <w:qFormat/>
    <w:uiPriority w:val="0"/>
    <w:pPr>
      <w:ind w:left="1440"/>
      <w:jc w:val="left"/>
    </w:pPr>
    <w:rPr>
      <w:sz w:val="18"/>
      <w:szCs w:val="18"/>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53"/>
    <w:qFormat/>
    <w:uiPriority w:val="0"/>
    <w:pPr>
      <w:shd w:val="clear" w:color="auto" w:fill="000080"/>
    </w:pPr>
    <w:rPr>
      <w:sz w:val="24"/>
      <w:szCs w:val="24"/>
    </w:rPr>
  </w:style>
  <w:style w:type="paragraph" w:styleId="9">
    <w:name w:val="annotation text"/>
    <w:basedOn w:val="1"/>
    <w:link w:val="44"/>
    <w:qFormat/>
    <w:uiPriority w:val="0"/>
    <w:pPr>
      <w:jc w:val="left"/>
    </w:pPr>
  </w:style>
  <w:style w:type="paragraph" w:styleId="10">
    <w:name w:val="Body Text"/>
    <w:basedOn w:val="1"/>
    <w:qFormat/>
    <w:uiPriority w:val="0"/>
    <w:rPr>
      <w:rFonts w:ascii="仿宋_GB2312" w:eastAsia="仿宋_GB2312"/>
      <w:sz w:val="32"/>
    </w:rPr>
  </w:style>
  <w:style w:type="paragraph" w:styleId="11">
    <w:name w:val="Body Text Indent"/>
    <w:basedOn w:val="1"/>
    <w:qFormat/>
    <w:uiPriority w:val="0"/>
    <w:pPr>
      <w:spacing w:after="120"/>
      <w:ind w:left="420" w:leftChars="200"/>
    </w:pPr>
  </w:style>
  <w:style w:type="paragraph" w:styleId="12">
    <w:name w:val="toc 5"/>
    <w:basedOn w:val="1"/>
    <w:next w:val="1"/>
    <w:qFormat/>
    <w:uiPriority w:val="0"/>
    <w:pPr>
      <w:ind w:left="960"/>
      <w:jc w:val="left"/>
    </w:pPr>
    <w:rPr>
      <w:sz w:val="18"/>
      <w:szCs w:val="18"/>
    </w:rPr>
  </w:style>
  <w:style w:type="paragraph" w:styleId="13">
    <w:name w:val="Plain Text"/>
    <w:basedOn w:val="1"/>
    <w:link w:val="45"/>
    <w:qFormat/>
    <w:uiPriority w:val="0"/>
    <w:rPr>
      <w:rFonts w:ascii="宋体" w:hAnsi="Courier New"/>
    </w:rPr>
  </w:style>
  <w:style w:type="paragraph" w:styleId="14">
    <w:name w:val="toc 8"/>
    <w:basedOn w:val="1"/>
    <w:next w:val="1"/>
    <w:qFormat/>
    <w:uiPriority w:val="0"/>
    <w:pPr>
      <w:ind w:left="1680"/>
      <w:jc w:val="left"/>
    </w:pPr>
    <w:rPr>
      <w:sz w:val="18"/>
      <w:szCs w:val="18"/>
    </w:rPr>
  </w:style>
  <w:style w:type="paragraph" w:styleId="15">
    <w:name w:val="Date"/>
    <w:basedOn w:val="1"/>
    <w:next w:val="1"/>
    <w:link w:val="50"/>
    <w:qFormat/>
    <w:uiPriority w:val="0"/>
    <w:pPr>
      <w:ind w:left="100" w:leftChars="2500"/>
    </w:pPr>
    <w:rPr>
      <w:sz w:val="24"/>
      <w:szCs w:val="24"/>
    </w:rPr>
  </w:style>
  <w:style w:type="paragraph" w:styleId="16">
    <w:name w:val="Body Text Indent 2"/>
    <w:basedOn w:val="1"/>
    <w:link w:val="43"/>
    <w:qFormat/>
    <w:uiPriority w:val="0"/>
    <w:pPr>
      <w:spacing w:after="120" w:line="480" w:lineRule="auto"/>
      <w:ind w:left="420" w:leftChars="200"/>
    </w:pPr>
  </w:style>
  <w:style w:type="paragraph" w:styleId="17">
    <w:name w:val="Balloon Text"/>
    <w:basedOn w:val="1"/>
    <w:link w:val="48"/>
    <w:qFormat/>
    <w:uiPriority w:val="0"/>
    <w:rPr>
      <w:sz w:val="18"/>
      <w:szCs w:val="18"/>
    </w:rPr>
  </w:style>
  <w:style w:type="paragraph" w:styleId="18">
    <w:name w:val="footer"/>
    <w:basedOn w:val="1"/>
    <w:link w:val="75"/>
    <w:qFormat/>
    <w:uiPriority w:val="99"/>
    <w:pPr>
      <w:tabs>
        <w:tab w:val="center" w:pos="4153"/>
        <w:tab w:val="right" w:pos="8306"/>
      </w:tabs>
      <w:snapToGrid w:val="0"/>
      <w:jc w:val="left"/>
    </w:pPr>
    <w:rPr>
      <w:sz w:val="18"/>
      <w:szCs w:val="18"/>
    </w:rPr>
  </w:style>
  <w:style w:type="paragraph" w:styleId="19">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spacing w:line="360" w:lineRule="auto"/>
      <w:jc w:val="left"/>
    </w:pPr>
    <w:rPr>
      <w:rFonts w:ascii="宋体" w:hAnsi="宋体"/>
      <w:b/>
      <w:caps/>
      <w:color w:val="FF0000"/>
      <w:szCs w:val="21"/>
    </w:rPr>
  </w:style>
  <w:style w:type="paragraph" w:styleId="21">
    <w:name w:val="toc 4"/>
    <w:basedOn w:val="1"/>
    <w:next w:val="1"/>
    <w:qFormat/>
    <w:uiPriority w:val="0"/>
    <w:pPr>
      <w:ind w:left="720"/>
      <w:jc w:val="left"/>
    </w:pPr>
    <w:rPr>
      <w:sz w:val="18"/>
      <w:szCs w:val="18"/>
    </w:rPr>
  </w:style>
  <w:style w:type="paragraph" w:styleId="22">
    <w:name w:val="toc 6"/>
    <w:basedOn w:val="1"/>
    <w:next w:val="1"/>
    <w:qFormat/>
    <w:uiPriority w:val="0"/>
    <w:pPr>
      <w:ind w:left="1200"/>
      <w:jc w:val="left"/>
    </w:pPr>
    <w:rPr>
      <w:sz w:val="18"/>
      <w:szCs w:val="18"/>
    </w:rPr>
  </w:style>
  <w:style w:type="paragraph" w:styleId="23">
    <w:name w:val="Body Text Indent 3"/>
    <w:basedOn w:val="1"/>
    <w:link w:val="54"/>
    <w:qFormat/>
    <w:uiPriority w:val="0"/>
    <w:pPr>
      <w:spacing w:after="120"/>
      <w:ind w:left="420" w:leftChars="200"/>
    </w:pPr>
    <w:rPr>
      <w:sz w:val="16"/>
      <w:szCs w:val="16"/>
    </w:rPr>
  </w:style>
  <w:style w:type="paragraph" w:styleId="24">
    <w:name w:val="toc 2"/>
    <w:basedOn w:val="1"/>
    <w:next w:val="1"/>
    <w:unhideWhenUsed/>
    <w:qFormat/>
    <w:uiPriority w:val="0"/>
    <w:pPr>
      <w:ind w:left="420" w:leftChars="200"/>
    </w:pPr>
  </w:style>
  <w:style w:type="paragraph" w:styleId="25">
    <w:name w:val="toc 9"/>
    <w:basedOn w:val="1"/>
    <w:next w:val="1"/>
    <w:qFormat/>
    <w:uiPriority w:val="0"/>
    <w:pPr>
      <w:ind w:left="1920"/>
      <w:jc w:val="left"/>
    </w:pPr>
    <w:rPr>
      <w:sz w:val="18"/>
      <w:szCs w:val="18"/>
    </w:rPr>
  </w:style>
  <w:style w:type="paragraph" w:styleId="26">
    <w:name w:val="index 1"/>
    <w:basedOn w:val="1"/>
    <w:next w:val="1"/>
    <w:qFormat/>
    <w:uiPriority w:val="0"/>
    <w:rPr>
      <w:sz w:val="24"/>
      <w:szCs w:val="24"/>
    </w:rPr>
  </w:style>
  <w:style w:type="paragraph" w:styleId="27">
    <w:name w:val="Title"/>
    <w:basedOn w:val="1"/>
    <w:next w:val="1"/>
    <w:link w:val="52"/>
    <w:qFormat/>
    <w:uiPriority w:val="0"/>
    <w:pPr>
      <w:spacing w:before="160" w:after="40" w:line="0" w:lineRule="atLeast"/>
      <w:ind w:left="425" w:hanging="425"/>
      <w:jc w:val="left"/>
      <w:outlineLvl w:val="0"/>
    </w:pPr>
    <w:rPr>
      <w:rFonts w:ascii="Arial" w:hAnsi="Arial"/>
      <w:b/>
      <w:bCs/>
      <w:sz w:val="32"/>
      <w:szCs w:val="32"/>
    </w:rPr>
  </w:style>
  <w:style w:type="paragraph" w:styleId="28">
    <w:name w:val="annotation subject"/>
    <w:basedOn w:val="9"/>
    <w:next w:val="9"/>
    <w:link w:val="56"/>
    <w:qFormat/>
    <w:uiPriority w:val="0"/>
    <w:rPr>
      <w:b/>
      <w:bCs/>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TML Definition"/>
    <w:basedOn w:val="31"/>
    <w:qFormat/>
    <w:uiPriority w:val="0"/>
    <w:rPr>
      <w:i/>
    </w:rPr>
  </w:style>
  <w:style w:type="character" w:styleId="36">
    <w:name w:val="Hyperlink"/>
    <w:qFormat/>
    <w:uiPriority w:val="0"/>
    <w:rPr>
      <w:rFonts w:cs="Times New Roman"/>
      <w:color w:val="1F4F88"/>
      <w:u w:val="none"/>
    </w:rPr>
  </w:style>
  <w:style w:type="character" w:styleId="37">
    <w:name w:val="HTML Code"/>
    <w:basedOn w:val="31"/>
    <w:qFormat/>
    <w:uiPriority w:val="0"/>
    <w:rPr>
      <w:rFonts w:ascii="Consolas" w:hAnsi="Consolas" w:eastAsia="Consolas" w:cs="Consolas"/>
      <w:color w:val="C7254E"/>
      <w:sz w:val="21"/>
      <w:szCs w:val="21"/>
      <w:shd w:val="clear" w:fill="F9F2F4"/>
    </w:rPr>
  </w:style>
  <w:style w:type="character" w:styleId="38">
    <w:name w:val="annotation reference"/>
    <w:qFormat/>
    <w:uiPriority w:val="0"/>
    <w:rPr>
      <w:sz w:val="21"/>
      <w:szCs w:val="21"/>
    </w:rPr>
  </w:style>
  <w:style w:type="character" w:styleId="39">
    <w:name w:val="HTML Keyboard"/>
    <w:basedOn w:val="31"/>
    <w:qFormat/>
    <w:uiPriority w:val="0"/>
    <w:rPr>
      <w:rFonts w:hint="default" w:ascii="Consolas" w:hAnsi="Consolas" w:eastAsia="Consolas" w:cs="Consolas"/>
      <w:color w:val="FFFFFF"/>
      <w:sz w:val="21"/>
      <w:szCs w:val="21"/>
      <w:shd w:val="clear" w:fill="333333"/>
    </w:rPr>
  </w:style>
  <w:style w:type="character" w:styleId="40">
    <w:name w:val="HTML Sample"/>
    <w:basedOn w:val="31"/>
    <w:qFormat/>
    <w:uiPriority w:val="0"/>
    <w:rPr>
      <w:rFonts w:hint="default" w:ascii="Consolas" w:hAnsi="Consolas" w:eastAsia="Consolas" w:cs="Consolas"/>
      <w:sz w:val="21"/>
      <w:szCs w:val="21"/>
    </w:rPr>
  </w:style>
  <w:style w:type="character" w:customStyle="1" w:styleId="41">
    <w:name w:val="标题 1 Char"/>
    <w:link w:val="2"/>
    <w:qFormat/>
    <w:uiPriority w:val="0"/>
    <w:rPr>
      <w:b/>
      <w:bCs/>
      <w:kern w:val="44"/>
      <w:sz w:val="44"/>
      <w:szCs w:val="44"/>
    </w:rPr>
  </w:style>
  <w:style w:type="character" w:customStyle="1" w:styleId="42">
    <w:name w:val="标题 2 Char"/>
    <w:link w:val="4"/>
    <w:qFormat/>
    <w:uiPriority w:val="0"/>
    <w:rPr>
      <w:rFonts w:ascii="Arial" w:hAnsi="Arial" w:eastAsia="黑体"/>
      <w:b/>
      <w:bCs/>
      <w:kern w:val="2"/>
      <w:sz w:val="32"/>
      <w:szCs w:val="32"/>
    </w:rPr>
  </w:style>
  <w:style w:type="character" w:customStyle="1" w:styleId="43">
    <w:name w:val="正文文本缩进 2 Char"/>
    <w:link w:val="16"/>
    <w:qFormat/>
    <w:uiPriority w:val="0"/>
    <w:rPr>
      <w:kern w:val="2"/>
      <w:sz w:val="21"/>
    </w:rPr>
  </w:style>
  <w:style w:type="character" w:customStyle="1" w:styleId="44">
    <w:name w:val="批注文字 Char"/>
    <w:link w:val="9"/>
    <w:qFormat/>
    <w:uiPriority w:val="0"/>
    <w:rPr>
      <w:kern w:val="2"/>
      <w:sz w:val="21"/>
    </w:rPr>
  </w:style>
  <w:style w:type="character" w:customStyle="1" w:styleId="45">
    <w:name w:val="纯文本 Char1"/>
    <w:link w:val="13"/>
    <w:qFormat/>
    <w:uiPriority w:val="0"/>
    <w:rPr>
      <w:rFonts w:ascii="宋体" w:hAnsi="Courier New" w:eastAsia="宋体"/>
      <w:kern w:val="2"/>
      <w:sz w:val="21"/>
      <w:lang w:val="en-US" w:eastAsia="zh-CN" w:bidi="ar-SA"/>
    </w:rPr>
  </w:style>
  <w:style w:type="character" w:customStyle="1" w:styleId="46">
    <w:name w:val="Char Char3"/>
    <w:qFormat/>
    <w:uiPriority w:val="0"/>
    <w:rPr>
      <w:rFonts w:ascii="宋体" w:hAnsi="Courier New" w:eastAsia="宋体"/>
      <w:kern w:val="2"/>
      <w:sz w:val="21"/>
      <w:lang w:val="en-US" w:eastAsia="zh-CN" w:bidi="ar-SA"/>
    </w:rPr>
  </w:style>
  <w:style w:type="character" w:customStyle="1" w:styleId="47">
    <w:name w:val="apple-converted-space"/>
    <w:basedOn w:val="31"/>
    <w:qFormat/>
    <w:uiPriority w:val="0"/>
  </w:style>
  <w:style w:type="character" w:customStyle="1" w:styleId="48">
    <w:name w:val="批注框文本 Char"/>
    <w:link w:val="17"/>
    <w:qFormat/>
    <w:uiPriority w:val="0"/>
    <w:rPr>
      <w:kern w:val="2"/>
      <w:sz w:val="18"/>
      <w:szCs w:val="18"/>
    </w:rPr>
  </w:style>
  <w:style w:type="character" w:customStyle="1" w:styleId="49">
    <w:name w:val="Char Char5"/>
    <w:qFormat/>
    <w:uiPriority w:val="0"/>
    <w:rPr>
      <w:rFonts w:ascii="宋体" w:hAnsi="Courier New" w:eastAsia="宋体"/>
      <w:kern w:val="2"/>
      <w:sz w:val="21"/>
      <w:lang w:val="en-US" w:eastAsia="zh-CN" w:bidi="ar-SA"/>
    </w:rPr>
  </w:style>
  <w:style w:type="character" w:customStyle="1" w:styleId="50">
    <w:name w:val="日期 Char"/>
    <w:link w:val="15"/>
    <w:qFormat/>
    <w:uiPriority w:val="0"/>
    <w:rPr>
      <w:kern w:val="2"/>
      <w:sz w:val="24"/>
      <w:szCs w:val="24"/>
    </w:rPr>
  </w:style>
  <w:style w:type="character" w:customStyle="1" w:styleId="51">
    <w:name w:val="纯文本 Char"/>
    <w:qFormat/>
    <w:uiPriority w:val="0"/>
    <w:rPr>
      <w:rFonts w:ascii="宋体" w:hAnsi="Courier New" w:eastAsia="宋体"/>
      <w:kern w:val="2"/>
      <w:sz w:val="21"/>
      <w:lang w:val="en-US" w:eastAsia="zh-CN" w:bidi="ar-SA"/>
    </w:rPr>
  </w:style>
  <w:style w:type="character" w:customStyle="1" w:styleId="52">
    <w:name w:val="标题 Char"/>
    <w:link w:val="27"/>
    <w:qFormat/>
    <w:uiPriority w:val="0"/>
    <w:rPr>
      <w:rFonts w:ascii="Arial" w:hAnsi="Arial" w:cs="Arial"/>
      <w:b/>
      <w:bCs/>
      <w:kern w:val="2"/>
      <w:sz w:val="32"/>
      <w:szCs w:val="32"/>
    </w:rPr>
  </w:style>
  <w:style w:type="character" w:customStyle="1" w:styleId="53">
    <w:name w:val="文档结构图 Char"/>
    <w:link w:val="8"/>
    <w:qFormat/>
    <w:uiPriority w:val="0"/>
    <w:rPr>
      <w:kern w:val="2"/>
      <w:sz w:val="24"/>
      <w:szCs w:val="24"/>
      <w:shd w:val="clear" w:color="auto" w:fill="000080"/>
    </w:rPr>
  </w:style>
  <w:style w:type="character" w:customStyle="1" w:styleId="54">
    <w:name w:val="正文文本缩进 3 Char"/>
    <w:link w:val="23"/>
    <w:qFormat/>
    <w:uiPriority w:val="0"/>
    <w:rPr>
      <w:kern w:val="2"/>
      <w:sz w:val="16"/>
      <w:szCs w:val="16"/>
    </w:rPr>
  </w:style>
  <w:style w:type="character" w:customStyle="1" w:styleId="55">
    <w:name w:val="页眉 Char"/>
    <w:link w:val="19"/>
    <w:qFormat/>
    <w:uiPriority w:val="99"/>
    <w:rPr>
      <w:rFonts w:eastAsia="宋体"/>
      <w:kern w:val="2"/>
      <w:sz w:val="18"/>
      <w:szCs w:val="18"/>
      <w:lang w:val="en-US" w:eastAsia="zh-CN" w:bidi="ar-SA"/>
    </w:rPr>
  </w:style>
  <w:style w:type="character" w:customStyle="1" w:styleId="56">
    <w:name w:val="批注主题 Char"/>
    <w:link w:val="28"/>
    <w:qFormat/>
    <w:uiPriority w:val="0"/>
    <w:rPr>
      <w:b/>
      <w:bCs/>
      <w:kern w:val="2"/>
      <w:sz w:val="21"/>
    </w:rPr>
  </w:style>
  <w:style w:type="character" w:customStyle="1" w:styleId="57">
    <w:name w:val="HTML Markup"/>
    <w:qFormat/>
    <w:uiPriority w:val="0"/>
    <w:rPr>
      <w:vanish/>
      <w:color w:val="FF0000"/>
    </w:rPr>
  </w:style>
  <w:style w:type="character" w:customStyle="1" w:styleId="58">
    <w:name w:val="Char Char2"/>
    <w:qFormat/>
    <w:uiPriority w:val="0"/>
    <w:rPr>
      <w:rFonts w:ascii="宋体" w:hAnsi="Courier New" w:cs="宋体"/>
      <w:kern w:val="2"/>
      <w:sz w:val="21"/>
      <w:szCs w:val="21"/>
    </w:rPr>
  </w:style>
  <w:style w:type="paragraph" w:customStyle="1" w:styleId="59">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0">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1列"/>
    <w:basedOn w:val="1"/>
    <w:qFormat/>
    <w:uiPriority w:val="0"/>
    <w:pPr>
      <w:spacing w:line="360" w:lineRule="auto"/>
      <w:ind w:left="401" w:hanging="401" w:hangingChars="191"/>
    </w:pPr>
    <w:rPr>
      <w:szCs w:val="24"/>
    </w:rPr>
  </w:style>
  <w:style w:type="paragraph" w:customStyle="1" w:styleId="62">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63">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64">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5">
    <w:name w:val="列出段落1"/>
    <w:basedOn w:val="1"/>
    <w:qFormat/>
    <w:uiPriority w:val="0"/>
    <w:pPr>
      <w:ind w:firstLine="420" w:firstLineChars="200"/>
    </w:pPr>
    <w:rPr>
      <w:rFonts w:ascii="Calibri" w:hAnsi="Calibri"/>
      <w:szCs w:val="22"/>
    </w:rPr>
  </w:style>
  <w:style w:type="paragraph" w:customStyle="1" w:styleId="6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7">
    <w:name w:val="Char Char Char Char Char Char Char"/>
    <w:basedOn w:val="1"/>
    <w:qFormat/>
    <w:uiPriority w:val="0"/>
    <w:rPr>
      <w:rFonts w:ascii="Verdana" w:hAnsi="Verdana"/>
      <w:kern w:val="0"/>
      <w:sz w:val="20"/>
      <w:lang w:eastAsia="en-US"/>
    </w:rPr>
  </w:style>
  <w:style w:type="paragraph" w:customStyle="1" w:styleId="68">
    <w:name w:val="二级列表 Char"/>
    <w:basedOn w:val="1"/>
    <w:qFormat/>
    <w:uiPriority w:val="0"/>
    <w:rPr>
      <w:rFonts w:ascii="Calibri" w:hAnsi="Calibri"/>
    </w:rPr>
  </w:style>
  <w:style w:type="paragraph" w:customStyle="1" w:styleId="69">
    <w:name w:val="BODY TEXT"/>
    <w:basedOn w:val="1"/>
    <w:link w:val="70"/>
    <w:qFormat/>
    <w:uiPriority w:val="0"/>
    <w:pPr>
      <w:adjustRightInd w:val="0"/>
      <w:spacing w:before="120" w:afterLines="50" w:line="280" w:lineRule="atLeast"/>
      <w:textAlignment w:val="baseline"/>
    </w:pPr>
    <w:rPr>
      <w:rFonts w:eastAsia="新宋体"/>
      <w:szCs w:val="21"/>
    </w:rPr>
  </w:style>
  <w:style w:type="character" w:customStyle="1" w:styleId="70">
    <w:name w:val="BODY TEXT Char"/>
    <w:link w:val="69"/>
    <w:qFormat/>
    <w:uiPriority w:val="0"/>
    <w:rPr>
      <w:rFonts w:eastAsia="新宋体"/>
      <w:kern w:val="2"/>
      <w:sz w:val="21"/>
      <w:szCs w:val="21"/>
    </w:rPr>
  </w:style>
  <w:style w:type="character" w:customStyle="1" w:styleId="71">
    <w:name w:val="纯文本 字符"/>
    <w:qFormat/>
    <w:uiPriority w:val="0"/>
    <w:rPr>
      <w:rFonts w:ascii="宋体" w:hAnsi="Courier New" w:eastAsia="宋体"/>
      <w:kern w:val="2"/>
      <w:sz w:val="21"/>
      <w:lang w:val="en-US" w:eastAsia="zh-CN" w:bidi="ar-SA"/>
    </w:rPr>
  </w:style>
  <w:style w:type="paragraph" w:customStyle="1" w:styleId="72">
    <w:name w:val="Tabelle"/>
    <w:basedOn w:val="1"/>
    <w:qFormat/>
    <w:uiPriority w:val="0"/>
    <w:pPr>
      <w:widowControl/>
      <w:spacing w:before="40" w:after="40"/>
      <w:jc w:val="left"/>
    </w:pPr>
    <w:rPr>
      <w:rFonts w:ascii="Arial" w:hAnsi="Arial"/>
      <w:kern w:val="0"/>
      <w:sz w:val="20"/>
      <w:lang w:eastAsia="de-DE"/>
    </w:rPr>
  </w:style>
  <w:style w:type="paragraph" w:customStyle="1" w:styleId="73">
    <w:name w:val="Fließtext"/>
    <w:basedOn w:val="1"/>
    <w:qFormat/>
    <w:uiPriority w:val="0"/>
    <w:pPr>
      <w:widowControl/>
      <w:spacing w:before="40" w:after="40"/>
      <w:jc w:val="left"/>
    </w:pPr>
    <w:rPr>
      <w:rFonts w:ascii="Arial" w:hAnsi="Arial"/>
      <w:kern w:val="0"/>
      <w:sz w:val="20"/>
      <w:lang w:eastAsia="de-DE"/>
    </w:rPr>
  </w:style>
  <w:style w:type="paragraph" w:styleId="74">
    <w:name w:val="List Paragraph"/>
    <w:basedOn w:val="1"/>
    <w:unhideWhenUsed/>
    <w:qFormat/>
    <w:uiPriority w:val="99"/>
    <w:pPr>
      <w:ind w:firstLine="420" w:firstLineChars="200"/>
    </w:pPr>
  </w:style>
  <w:style w:type="character" w:customStyle="1" w:styleId="75">
    <w:name w:val="页脚 Char"/>
    <w:link w:val="18"/>
    <w:qFormat/>
    <w:uiPriority w:val="99"/>
    <w:rPr>
      <w:kern w:val="2"/>
      <w:sz w:val="18"/>
      <w:szCs w:val="18"/>
    </w:rPr>
  </w:style>
  <w:style w:type="paragraph" w:customStyle="1" w:styleId="76">
    <w:name w:val="标书正文格式"/>
    <w:basedOn w:val="13"/>
    <w:qFormat/>
    <w:uiPriority w:val="0"/>
    <w:pPr>
      <w:spacing w:line="360" w:lineRule="auto"/>
      <w:ind w:firstLine="200" w:firstLineChars="200"/>
    </w:pPr>
    <w:rPr>
      <w:rFonts w:hAnsi="宋体"/>
      <w:color w:val="000000"/>
      <w:szCs w:val="24"/>
    </w:rPr>
  </w:style>
  <w:style w:type="character" w:customStyle="1" w:styleId="7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80CB2-7B62-4DC6-89B2-3D05668646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2281</Words>
  <Characters>13005</Characters>
  <Lines>108</Lines>
  <Paragraphs>30</Paragraphs>
  <TotalTime>12</TotalTime>
  <ScaleCrop>false</ScaleCrop>
  <LinksUpToDate>false</LinksUpToDate>
  <CharactersWithSpaces>15256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2019-11-16T00:44:00Z</dcterms:created>
  <dc:creator>微软用户</dc:creator>
  <cp:lastModifiedBy>真言</cp:lastModifiedBy>
  <cp:lastPrinted>2020-12-22T00:46:00Z</cp:lastPrinted>
  <dcterms:modified xsi:type="dcterms:W3CDTF">2021-12-02T03:51:41Z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ECC654C5F5E9426C95714CC802DD0FDB</vt:lpwstr>
  </property>
</Properties>
</file>