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黑体" w:hAnsi="Calibri" w:eastAsia="黑体" w:cs="黑体"/>
          <w:sz w:val="28"/>
          <w:szCs w:val="28"/>
        </w:rPr>
      </w:pPr>
      <w:r>
        <w:rPr>
          <w:rFonts w:hint="eastAsia" w:ascii="黑体" w:hAnsi="Calibri" w:eastAsia="黑体" w:cs="黑体"/>
          <w:sz w:val="28"/>
          <w:szCs w:val="28"/>
          <w:lang w:bidi="ar"/>
        </w:rPr>
        <w:t xml:space="preserve">             </w:t>
      </w:r>
    </w:p>
    <w:p>
      <w:pPr>
        <w:pStyle w:val="21"/>
        <w:widowControl/>
        <w:ind w:firstLine="0" w:firstLineChars="0"/>
        <w:jc w:val="center"/>
      </w:pPr>
    </w:p>
    <w:p>
      <w:pPr>
        <w:pStyle w:val="21"/>
        <w:widowControl/>
        <w:ind w:firstLine="0" w:firstLineChars="0"/>
        <w:jc w:val="center"/>
        <w:rPr>
          <w:b/>
          <w:sz w:val="32"/>
          <w:szCs w:val="32"/>
        </w:rPr>
      </w:pPr>
      <w:r>
        <w:drawing>
          <wp:inline distT="0" distB="0" distL="114300" distR="114300">
            <wp:extent cx="3476625" cy="1209675"/>
            <wp:effectExtent l="0" t="0" r="31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76625" cy="1209675"/>
                    </a:xfrm>
                    <a:prstGeom prst="rect">
                      <a:avLst/>
                    </a:prstGeom>
                    <a:noFill/>
                    <a:ln>
                      <a:noFill/>
                    </a:ln>
                  </pic:spPr>
                </pic:pic>
              </a:graphicData>
            </a:graphic>
          </wp:inline>
        </w:drawing>
      </w:r>
    </w:p>
    <w:p>
      <w:pPr>
        <w:spacing w:before="156" w:beforeLines="50" w:after="156" w:afterLines="50"/>
        <w:jc w:val="center"/>
        <w:rPr>
          <w:rFonts w:ascii="宋体" w:hAnsi="宋体" w:eastAsia="宋体" w:cs="宋体"/>
          <w:b/>
          <w:sz w:val="48"/>
          <w:szCs w:val="48"/>
        </w:rPr>
      </w:pPr>
      <w:bookmarkStart w:id="0" w:name="_Toc262474472"/>
      <w:bookmarkStart w:id="1" w:name="_Toc262477091"/>
      <w:bookmarkStart w:id="2" w:name="_Toc262475853"/>
    </w:p>
    <w:p>
      <w:pPr>
        <w:spacing w:before="156" w:beforeLines="50" w:after="156" w:afterLines="50"/>
        <w:jc w:val="center"/>
        <w:rPr>
          <w:rFonts w:ascii="宋体" w:hAnsi="宋体" w:eastAsia="宋体" w:cs="宋体"/>
          <w:b/>
          <w:sz w:val="48"/>
          <w:szCs w:val="48"/>
        </w:rPr>
      </w:pPr>
      <w:r>
        <w:rPr>
          <w:rFonts w:hint="eastAsia" w:ascii="宋体" w:hAnsi="宋体" w:eastAsia="宋体" w:cs="宋体"/>
          <w:b/>
          <w:sz w:val="48"/>
          <w:szCs w:val="48"/>
          <w:lang w:bidi="ar"/>
        </w:rPr>
        <w:t>中国重汽集团</w:t>
      </w:r>
      <w:bookmarkEnd w:id="0"/>
      <w:bookmarkEnd w:id="1"/>
      <w:bookmarkEnd w:id="2"/>
    </w:p>
    <w:p>
      <w:pPr>
        <w:jc w:val="center"/>
        <w:rPr>
          <w:rFonts w:hint="eastAsia" w:ascii="宋体" w:hAnsi="宋体" w:eastAsia="宋体" w:cs="宋体"/>
          <w:b/>
          <w:sz w:val="44"/>
          <w:szCs w:val="44"/>
          <w:lang w:eastAsia="zh-CN" w:bidi="ar"/>
        </w:rPr>
      </w:pPr>
      <w:r>
        <w:rPr>
          <w:rFonts w:hint="eastAsia" w:ascii="宋体" w:hAnsi="宋体" w:eastAsia="宋体" w:cs="宋体"/>
          <w:b/>
          <w:sz w:val="44"/>
          <w:szCs w:val="44"/>
          <w:lang w:val="en-US" w:eastAsia="zh-CN" w:bidi="ar"/>
        </w:rPr>
        <w:t>信息化资源池</w:t>
      </w:r>
      <w:r>
        <w:rPr>
          <w:rFonts w:hint="eastAsia" w:ascii="宋体" w:hAnsi="宋体" w:eastAsia="宋体" w:cs="宋体"/>
          <w:b/>
          <w:sz w:val="44"/>
          <w:szCs w:val="44"/>
          <w:lang w:bidi="ar"/>
        </w:rPr>
        <w:t>项目</w:t>
      </w:r>
      <w:r>
        <w:rPr>
          <w:rFonts w:hint="eastAsia" w:ascii="宋体" w:hAnsi="宋体" w:eastAsia="宋体" w:cs="宋体"/>
          <w:b/>
          <w:sz w:val="44"/>
          <w:szCs w:val="44"/>
          <w:lang w:eastAsia="zh-CN" w:bidi="ar"/>
        </w:rPr>
        <w:t>（</w:t>
      </w:r>
      <w:r>
        <w:rPr>
          <w:rFonts w:hint="eastAsia" w:ascii="宋体" w:hAnsi="宋体" w:eastAsia="宋体" w:cs="宋体"/>
          <w:b/>
          <w:sz w:val="44"/>
          <w:szCs w:val="44"/>
          <w:lang w:val="en-US" w:eastAsia="zh-CN" w:bidi="ar"/>
        </w:rPr>
        <w:t>数据分析资源池</w:t>
      </w:r>
      <w:r>
        <w:rPr>
          <w:rFonts w:hint="eastAsia" w:ascii="宋体" w:hAnsi="宋体" w:eastAsia="宋体" w:cs="宋体"/>
          <w:b/>
          <w:sz w:val="44"/>
          <w:szCs w:val="44"/>
          <w:lang w:eastAsia="zh-CN" w:bidi="ar"/>
        </w:rPr>
        <w:t>）</w:t>
      </w:r>
    </w:p>
    <w:p>
      <w:pPr>
        <w:jc w:val="center"/>
        <w:rPr>
          <w:rFonts w:ascii="黑体" w:hAnsi="宋体" w:eastAsia="黑体" w:cs="黑体"/>
          <w:b/>
          <w:sz w:val="52"/>
          <w:szCs w:val="52"/>
        </w:rPr>
      </w:pPr>
      <w:r>
        <w:rPr>
          <w:rFonts w:hint="eastAsia" w:ascii="黑体" w:hAnsi="宋体" w:eastAsia="黑体" w:cs="黑体"/>
          <w:b/>
          <w:sz w:val="52"/>
          <w:szCs w:val="52"/>
          <w:lang w:bidi="ar"/>
        </w:rPr>
        <w:t>招</w:t>
      </w:r>
    </w:p>
    <w:p>
      <w:pPr>
        <w:jc w:val="center"/>
        <w:rPr>
          <w:rFonts w:ascii="黑体" w:hAnsi="宋体" w:eastAsia="黑体" w:cs="黑体"/>
          <w:b/>
          <w:sz w:val="52"/>
          <w:szCs w:val="52"/>
        </w:rPr>
      </w:pPr>
      <w:r>
        <w:rPr>
          <w:rFonts w:hint="eastAsia" w:ascii="黑体" w:hAnsi="宋体" w:eastAsia="黑体" w:cs="黑体"/>
          <w:b/>
          <w:sz w:val="52"/>
          <w:szCs w:val="52"/>
          <w:lang w:bidi="ar"/>
        </w:rPr>
        <w:t>标</w:t>
      </w:r>
    </w:p>
    <w:p>
      <w:pPr>
        <w:jc w:val="center"/>
        <w:rPr>
          <w:rFonts w:ascii="黑体" w:hAnsi="宋体" w:eastAsia="黑体" w:cs="黑体"/>
          <w:b/>
          <w:sz w:val="52"/>
          <w:szCs w:val="52"/>
        </w:rPr>
      </w:pPr>
      <w:r>
        <w:rPr>
          <w:rFonts w:hint="eastAsia" w:ascii="黑体" w:hAnsi="宋体" w:eastAsia="黑体" w:cs="黑体"/>
          <w:b/>
          <w:sz w:val="52"/>
          <w:szCs w:val="52"/>
          <w:lang w:bidi="ar"/>
        </w:rPr>
        <w:t>文</w:t>
      </w:r>
    </w:p>
    <w:p>
      <w:pPr>
        <w:jc w:val="center"/>
        <w:rPr>
          <w:rFonts w:ascii="黑体" w:hAnsi="宋体" w:eastAsia="黑体" w:cs="黑体"/>
          <w:b/>
          <w:sz w:val="52"/>
          <w:szCs w:val="52"/>
          <w:lang w:bidi="ar"/>
        </w:rPr>
      </w:pPr>
      <w:r>
        <w:rPr>
          <w:rFonts w:hint="eastAsia" w:ascii="黑体" w:hAnsi="宋体" w:eastAsia="黑体" w:cs="黑体"/>
          <w:b/>
          <w:sz w:val="52"/>
          <w:szCs w:val="52"/>
          <w:lang w:bidi="ar"/>
        </w:rPr>
        <w:t>件</w:t>
      </w:r>
    </w:p>
    <w:p>
      <w:pPr>
        <w:jc w:val="center"/>
        <w:rPr>
          <w:rFonts w:ascii="黑体" w:hAnsi="宋体" w:eastAsia="黑体" w:cs="黑体"/>
          <w:b/>
          <w:sz w:val="52"/>
          <w:szCs w:val="52"/>
          <w:lang w:bidi="ar"/>
        </w:rPr>
      </w:pPr>
    </w:p>
    <w:p>
      <w:pPr>
        <w:pStyle w:val="21"/>
        <w:widowControl/>
        <w:ind w:firstLine="0" w:firstLineChars="0"/>
        <w:rPr>
          <w:b/>
          <w:sz w:val="32"/>
          <w:szCs w:val="32"/>
        </w:rPr>
      </w:pPr>
    </w:p>
    <w:p>
      <w:pPr>
        <w:jc w:val="center"/>
        <w:rPr>
          <w:rFonts w:ascii="黑体" w:hAnsi="Calibri" w:eastAsia="黑体" w:cs="黑体"/>
          <w:sz w:val="44"/>
          <w:szCs w:val="44"/>
        </w:rPr>
      </w:pPr>
      <w:r>
        <w:rPr>
          <w:rFonts w:hint="eastAsia" w:ascii="黑体" w:hAnsi="Calibri" w:eastAsia="黑体" w:cs="黑体"/>
          <w:sz w:val="44"/>
          <w:szCs w:val="44"/>
          <w:lang w:bidi="ar"/>
        </w:rPr>
        <w:t>中国重汽集团济南动力有限公司</w:t>
      </w:r>
    </w:p>
    <w:p>
      <w:pPr>
        <w:spacing w:line="380" w:lineRule="exact"/>
        <w:jc w:val="center"/>
        <w:rPr>
          <w:rFonts w:ascii="黑体" w:hAnsi="Calibri" w:eastAsia="黑体" w:cs="黑体"/>
          <w:sz w:val="44"/>
          <w:szCs w:val="44"/>
        </w:rPr>
      </w:pPr>
    </w:p>
    <w:p>
      <w:pPr>
        <w:spacing w:before="156" w:beforeLines="50" w:line="380" w:lineRule="exact"/>
        <w:jc w:val="center"/>
        <w:rPr>
          <w:rFonts w:ascii="黑体" w:hAnsi="Calibri" w:eastAsia="黑体" w:cs="黑体"/>
          <w:sz w:val="44"/>
          <w:szCs w:val="44"/>
        </w:rPr>
      </w:pPr>
      <w:r>
        <w:rPr>
          <w:rFonts w:hint="eastAsia" w:ascii="黑体" w:hAnsi="Calibri" w:eastAsia="黑体" w:cs="黑体"/>
          <w:sz w:val="44"/>
          <w:szCs w:val="44"/>
          <w:lang w:bidi="ar"/>
        </w:rPr>
        <w:t>二〇二二年三月</w:t>
      </w:r>
    </w:p>
    <w:p>
      <w:pPr>
        <w:pStyle w:val="13"/>
        <w:widowControl/>
        <w:tabs>
          <w:tab w:val="right" w:leader="dot" w:pos="8705"/>
        </w:tabs>
        <w:jc w:val="center"/>
        <w:rPr>
          <w:b w:val="0"/>
          <w:bCs/>
          <w:sz w:val="36"/>
          <w:szCs w:val="36"/>
        </w:rPr>
      </w:pPr>
      <w:r>
        <w:rPr>
          <w:color w:val="FF0000"/>
          <w:lang w:bidi="ar"/>
        </w:rPr>
        <w:br w:type="page"/>
      </w:r>
      <w:r>
        <w:rPr>
          <w:rFonts w:hint="eastAsia" w:cs="宋体"/>
          <w:b w:val="0"/>
          <w:bCs/>
          <w:sz w:val="36"/>
          <w:szCs w:val="36"/>
        </w:rPr>
        <w:t>目</w:t>
      </w:r>
      <w:r>
        <w:rPr>
          <w:b w:val="0"/>
          <w:bCs/>
          <w:sz w:val="36"/>
          <w:szCs w:val="36"/>
        </w:rPr>
        <w:t xml:space="preserve">  </w:t>
      </w:r>
      <w:r>
        <w:rPr>
          <w:rFonts w:hint="eastAsia" w:cs="宋体"/>
          <w:b w:val="0"/>
          <w:bCs/>
          <w:sz w:val="36"/>
          <w:szCs w:val="36"/>
        </w:rPr>
        <w:t>录</w:t>
      </w:r>
    </w:p>
    <w:p>
      <w:pPr>
        <w:pStyle w:val="13"/>
        <w:tabs>
          <w:tab w:val="right" w:leader="dot" w:pos="8715"/>
        </w:tabs>
      </w:pPr>
      <w:r>
        <w:rPr>
          <w:b w:val="0"/>
          <w:bCs/>
          <w:sz w:val="36"/>
          <w:szCs w:val="36"/>
        </w:rPr>
        <w:fldChar w:fldCharType="begin"/>
      </w:r>
      <w:r>
        <w:rPr>
          <w:b w:val="0"/>
          <w:bCs/>
          <w:sz w:val="36"/>
          <w:szCs w:val="36"/>
        </w:rPr>
        <w:instrText xml:space="preserve"> TOC \o "1-3" \h \z \u </w:instrText>
      </w:r>
      <w:r>
        <w:rPr>
          <w:b w:val="0"/>
          <w:bCs/>
          <w:sz w:val="36"/>
          <w:szCs w:val="36"/>
        </w:rPr>
        <w:fldChar w:fldCharType="separate"/>
      </w:r>
      <w:r>
        <w:fldChar w:fldCharType="begin"/>
      </w:r>
      <w:r>
        <w:instrText xml:space="preserve"> HYPERLINK \l "_Toc4004" </w:instrText>
      </w:r>
      <w:r>
        <w:fldChar w:fldCharType="separate"/>
      </w:r>
      <w:r>
        <w:t xml:space="preserve">1 </w:t>
      </w:r>
      <w:r>
        <w:rPr>
          <w:rFonts w:hint="eastAsia" w:cs="宋体"/>
        </w:rPr>
        <w:t>项目名称</w:t>
      </w:r>
      <w:r>
        <w:tab/>
      </w:r>
      <w:r>
        <w:fldChar w:fldCharType="end"/>
      </w:r>
    </w:p>
    <w:p>
      <w:pPr>
        <w:pStyle w:val="13"/>
        <w:tabs>
          <w:tab w:val="right" w:leader="dot" w:pos="8715"/>
        </w:tabs>
      </w:pPr>
      <w:r>
        <w:fldChar w:fldCharType="begin"/>
      </w:r>
      <w:r>
        <w:instrText xml:space="preserve"> HYPERLINK \l "_Toc17573" </w:instrText>
      </w:r>
      <w:r>
        <w:fldChar w:fldCharType="separate"/>
      </w:r>
      <w:r>
        <w:rPr>
          <w:rFonts w:cs="宋体"/>
        </w:rPr>
        <w:t xml:space="preserve">2 </w:t>
      </w:r>
      <w:r>
        <w:rPr>
          <w:rFonts w:hint="eastAsia" w:cs="宋体"/>
        </w:rPr>
        <w:t>招标内容及形式</w:t>
      </w:r>
      <w:r>
        <w:tab/>
      </w:r>
      <w:r>
        <w:fldChar w:fldCharType="end"/>
      </w:r>
    </w:p>
    <w:p>
      <w:pPr>
        <w:pStyle w:val="14"/>
        <w:tabs>
          <w:tab w:val="right" w:leader="dot" w:pos="8715"/>
        </w:tabs>
      </w:pPr>
      <w:r>
        <w:fldChar w:fldCharType="begin"/>
      </w:r>
      <w:r>
        <w:instrText xml:space="preserve"> HYPERLINK \l "_Toc14504" </w:instrText>
      </w:r>
      <w:r>
        <w:fldChar w:fldCharType="separate"/>
      </w:r>
      <w:r>
        <w:rPr>
          <w:rFonts w:hint="eastAsia"/>
        </w:rPr>
        <w:t>2.1招标形式与内容</w:t>
      </w:r>
      <w:r>
        <w:tab/>
      </w:r>
      <w:r>
        <w:fldChar w:fldCharType="end"/>
      </w:r>
    </w:p>
    <w:p>
      <w:pPr>
        <w:pStyle w:val="14"/>
        <w:tabs>
          <w:tab w:val="right" w:leader="dot" w:pos="8715"/>
        </w:tabs>
      </w:pPr>
      <w:r>
        <w:fldChar w:fldCharType="begin"/>
      </w:r>
      <w:r>
        <w:instrText xml:space="preserve"> HYPERLINK \l "_Toc1211" </w:instrText>
      </w:r>
      <w:r>
        <w:fldChar w:fldCharType="separate"/>
      </w:r>
      <w:r>
        <w:t>2.</w:t>
      </w:r>
      <w:r>
        <w:rPr>
          <w:rFonts w:hint="eastAsia"/>
        </w:rPr>
        <w:t>2</w:t>
      </w:r>
      <w:r>
        <w:rPr>
          <w:rFonts w:hint="eastAsia" w:cs="宋体"/>
        </w:rPr>
        <w:t>议程安排</w:t>
      </w:r>
      <w:r>
        <w:tab/>
      </w:r>
      <w:r>
        <w:fldChar w:fldCharType="end"/>
      </w:r>
    </w:p>
    <w:p>
      <w:pPr>
        <w:pStyle w:val="13"/>
        <w:tabs>
          <w:tab w:val="right" w:leader="dot" w:pos="8715"/>
        </w:tabs>
      </w:pPr>
      <w:r>
        <w:fldChar w:fldCharType="begin"/>
      </w:r>
      <w:r>
        <w:instrText xml:space="preserve"> HYPERLINK \l "_Toc17566" </w:instrText>
      </w:r>
      <w:r>
        <w:fldChar w:fldCharType="separate"/>
      </w:r>
      <w:r>
        <w:t xml:space="preserve">3 </w:t>
      </w:r>
      <w:r>
        <w:rPr>
          <w:rFonts w:hint="eastAsia" w:cs="宋体"/>
        </w:rPr>
        <w:t>有关说明</w:t>
      </w:r>
      <w:r>
        <w:tab/>
      </w:r>
      <w:r>
        <w:fldChar w:fldCharType="end"/>
      </w:r>
    </w:p>
    <w:p>
      <w:pPr>
        <w:pStyle w:val="14"/>
        <w:tabs>
          <w:tab w:val="right" w:leader="dot" w:pos="8715"/>
        </w:tabs>
      </w:pPr>
      <w:r>
        <w:fldChar w:fldCharType="begin"/>
      </w:r>
      <w:r>
        <w:instrText xml:space="preserve"> HYPERLINK \l "_Toc852" </w:instrText>
      </w:r>
      <w:r>
        <w:fldChar w:fldCharType="separate"/>
      </w:r>
      <w:r>
        <w:rPr>
          <w:rFonts w:hint="eastAsia" w:cs="宋体"/>
        </w:rPr>
        <w:t>3.1总则</w:t>
      </w:r>
      <w:r>
        <w:tab/>
      </w:r>
      <w:r>
        <w:fldChar w:fldCharType="end"/>
      </w:r>
    </w:p>
    <w:p>
      <w:pPr>
        <w:pStyle w:val="14"/>
        <w:tabs>
          <w:tab w:val="right" w:leader="dot" w:pos="8715"/>
        </w:tabs>
      </w:pPr>
      <w:r>
        <w:fldChar w:fldCharType="begin"/>
      </w:r>
      <w:r>
        <w:instrText xml:space="preserve"> HYPERLINK \l "_Toc19461" </w:instrText>
      </w:r>
      <w:r>
        <w:fldChar w:fldCharType="separate"/>
      </w:r>
      <w:r>
        <w:rPr>
          <w:rFonts w:hint="eastAsia" w:cs="宋体"/>
        </w:rPr>
        <w:t>3.2定义</w:t>
      </w:r>
      <w:r>
        <w:tab/>
      </w:r>
      <w:r>
        <w:fldChar w:fldCharType="end"/>
      </w:r>
    </w:p>
    <w:p>
      <w:pPr>
        <w:pStyle w:val="14"/>
        <w:tabs>
          <w:tab w:val="right" w:leader="dot" w:pos="8715"/>
        </w:tabs>
      </w:pPr>
      <w:r>
        <w:fldChar w:fldCharType="begin"/>
      </w:r>
      <w:r>
        <w:instrText xml:space="preserve"> HYPERLINK \l "_Toc9130" </w:instrText>
      </w:r>
      <w:r>
        <w:fldChar w:fldCharType="separate"/>
      </w:r>
      <w:r>
        <w:rPr>
          <w:rFonts w:hint="eastAsia" w:cs="宋体"/>
          <w:szCs w:val="24"/>
        </w:rPr>
        <w:t>3.3项目实施方</w:t>
      </w:r>
      <w:r>
        <w:rPr>
          <w:rFonts w:hint="eastAsia" w:cs="宋体"/>
        </w:rPr>
        <w:t>式</w:t>
      </w:r>
      <w:r>
        <w:tab/>
      </w:r>
      <w:r>
        <w:fldChar w:fldCharType="end"/>
      </w:r>
    </w:p>
    <w:p>
      <w:pPr>
        <w:pStyle w:val="14"/>
        <w:tabs>
          <w:tab w:val="right" w:leader="dot" w:pos="8715"/>
        </w:tabs>
      </w:pPr>
      <w:r>
        <w:fldChar w:fldCharType="begin"/>
      </w:r>
      <w:r>
        <w:instrText xml:space="preserve"> HYPERLINK \l "_Toc1793" </w:instrText>
      </w:r>
      <w:r>
        <w:fldChar w:fldCharType="separate"/>
      </w:r>
      <w:r>
        <w:rPr>
          <w:rFonts w:hint="eastAsia" w:cs="宋体"/>
        </w:rPr>
        <w:t>3.4投标人须知</w:t>
      </w:r>
      <w:r>
        <w:tab/>
      </w:r>
      <w:r>
        <w:fldChar w:fldCharType="end"/>
      </w:r>
    </w:p>
    <w:p>
      <w:pPr>
        <w:pStyle w:val="13"/>
        <w:tabs>
          <w:tab w:val="right" w:leader="dot" w:pos="8715"/>
        </w:tabs>
      </w:pPr>
      <w:r>
        <w:fldChar w:fldCharType="begin"/>
      </w:r>
      <w:r>
        <w:instrText xml:space="preserve"> HYPERLINK \l "_Toc24542" </w:instrText>
      </w:r>
      <w:r>
        <w:fldChar w:fldCharType="separate"/>
      </w:r>
      <w:r>
        <w:rPr>
          <w:rFonts w:cs="宋体"/>
        </w:rPr>
        <w:t xml:space="preserve">4 </w:t>
      </w:r>
      <w:r>
        <w:rPr>
          <w:rFonts w:hint="eastAsia" w:cs="宋体"/>
        </w:rPr>
        <w:t>交货及付款</w:t>
      </w:r>
      <w:r>
        <w:tab/>
      </w:r>
      <w:r>
        <w:fldChar w:fldCharType="end"/>
      </w:r>
    </w:p>
    <w:p>
      <w:pPr>
        <w:pStyle w:val="13"/>
        <w:tabs>
          <w:tab w:val="right" w:leader="dot" w:pos="8715"/>
        </w:tabs>
      </w:pPr>
      <w:r>
        <w:fldChar w:fldCharType="begin"/>
      </w:r>
      <w:r>
        <w:instrText xml:space="preserve"> HYPERLINK \l "_Toc18320" </w:instrText>
      </w:r>
      <w:r>
        <w:fldChar w:fldCharType="separate"/>
      </w:r>
      <w:r>
        <w:rPr>
          <w:rFonts w:hint="eastAsia"/>
        </w:rPr>
        <w:t>5投标说明</w:t>
      </w:r>
      <w:r>
        <w:tab/>
      </w:r>
      <w:r>
        <w:fldChar w:fldCharType="end"/>
      </w:r>
    </w:p>
    <w:p>
      <w:pPr>
        <w:pStyle w:val="14"/>
        <w:tabs>
          <w:tab w:val="right" w:leader="dot" w:pos="8715"/>
        </w:tabs>
      </w:pPr>
      <w:r>
        <w:fldChar w:fldCharType="begin"/>
      </w:r>
      <w:r>
        <w:instrText xml:space="preserve"> HYPERLINK \l "_Toc2250" </w:instrText>
      </w:r>
      <w:r>
        <w:fldChar w:fldCharType="separate"/>
      </w:r>
      <w:r>
        <w:rPr>
          <w:rFonts w:hint="eastAsia" w:cs="宋体"/>
        </w:rPr>
        <w:t>5.1招标要求</w:t>
      </w:r>
      <w:r>
        <w:tab/>
      </w:r>
      <w:r>
        <w:fldChar w:fldCharType="end"/>
      </w:r>
    </w:p>
    <w:p>
      <w:pPr>
        <w:pStyle w:val="14"/>
        <w:tabs>
          <w:tab w:val="right" w:leader="dot" w:pos="8715"/>
        </w:tabs>
      </w:pPr>
      <w:r>
        <w:fldChar w:fldCharType="begin"/>
      </w:r>
      <w:r>
        <w:instrText xml:space="preserve"> HYPERLINK \l "_Toc11928" </w:instrText>
      </w:r>
      <w:r>
        <w:fldChar w:fldCharType="separate"/>
      </w:r>
      <w:r>
        <w:rPr>
          <w:rFonts w:hint="eastAsia" w:cs="黑体"/>
          <w:bCs/>
          <w:szCs w:val="21"/>
        </w:rPr>
        <w:t>中国重汽集团济南动力有限公司</w:t>
      </w:r>
      <w:r>
        <w:tab/>
      </w:r>
      <w:r>
        <w:fldChar w:fldCharType="end"/>
      </w:r>
    </w:p>
    <w:p>
      <w:pPr>
        <w:pStyle w:val="14"/>
        <w:tabs>
          <w:tab w:val="right" w:leader="dot" w:pos="8715"/>
        </w:tabs>
      </w:pPr>
      <w:r>
        <w:fldChar w:fldCharType="begin"/>
      </w:r>
      <w:r>
        <w:instrText xml:space="preserve"> HYPERLINK \l "_Toc18798" </w:instrText>
      </w:r>
      <w:r>
        <w:fldChar w:fldCharType="separate"/>
      </w:r>
      <w:r>
        <w:rPr>
          <w:rFonts w:hint="eastAsia" w:cs="宋体"/>
        </w:rPr>
        <w:t>5.2投标报价</w:t>
      </w:r>
      <w:r>
        <w:tab/>
      </w:r>
      <w:r>
        <w:fldChar w:fldCharType="end"/>
      </w:r>
    </w:p>
    <w:p>
      <w:pPr>
        <w:pStyle w:val="14"/>
        <w:tabs>
          <w:tab w:val="right" w:leader="dot" w:pos="8715"/>
        </w:tabs>
      </w:pPr>
      <w:r>
        <w:fldChar w:fldCharType="begin"/>
      </w:r>
      <w:r>
        <w:instrText xml:space="preserve"> HYPERLINK \l "_Toc14874" </w:instrText>
      </w:r>
      <w:r>
        <w:fldChar w:fldCharType="separate"/>
      </w:r>
      <w:r>
        <w:rPr>
          <w:rFonts w:hint="eastAsia" w:cs="宋体"/>
        </w:rPr>
        <w:t>5.3招标文件的组成</w:t>
      </w:r>
      <w:r>
        <w:tab/>
      </w:r>
      <w:r>
        <w:fldChar w:fldCharType="end"/>
      </w:r>
    </w:p>
    <w:p>
      <w:pPr>
        <w:pStyle w:val="14"/>
        <w:tabs>
          <w:tab w:val="right" w:leader="dot" w:pos="8715"/>
        </w:tabs>
      </w:pPr>
      <w:r>
        <w:fldChar w:fldCharType="begin"/>
      </w:r>
      <w:r>
        <w:instrText xml:space="preserve"> HYPERLINK \l "_Toc12989" </w:instrText>
      </w:r>
      <w:r>
        <w:fldChar w:fldCharType="separate"/>
      </w:r>
      <w:r>
        <w:rPr>
          <w:rFonts w:hint="eastAsia" w:cs="宋体"/>
        </w:rPr>
        <w:t>5.4招标文件的澄清</w:t>
      </w:r>
      <w:r>
        <w:tab/>
      </w:r>
      <w:r>
        <w:fldChar w:fldCharType="end"/>
      </w:r>
    </w:p>
    <w:p>
      <w:pPr>
        <w:pStyle w:val="14"/>
        <w:tabs>
          <w:tab w:val="right" w:leader="dot" w:pos="8715"/>
        </w:tabs>
      </w:pPr>
      <w:r>
        <w:fldChar w:fldCharType="begin"/>
      </w:r>
      <w:r>
        <w:instrText xml:space="preserve"> HYPERLINK \l "_Toc32336" </w:instrText>
      </w:r>
      <w:r>
        <w:fldChar w:fldCharType="separate"/>
      </w:r>
      <w:r>
        <w:rPr>
          <w:rFonts w:hint="eastAsia" w:cs="宋体"/>
        </w:rPr>
        <w:t>5.5招标文件的修改</w:t>
      </w:r>
      <w:r>
        <w:tab/>
      </w:r>
      <w:r>
        <w:fldChar w:fldCharType="end"/>
      </w:r>
    </w:p>
    <w:p>
      <w:pPr>
        <w:pStyle w:val="13"/>
        <w:tabs>
          <w:tab w:val="right" w:leader="dot" w:pos="8715"/>
        </w:tabs>
      </w:pPr>
      <w:r>
        <w:fldChar w:fldCharType="begin"/>
      </w:r>
      <w:r>
        <w:instrText xml:space="preserve"> HYPERLINK \l "_Toc31442" </w:instrText>
      </w:r>
      <w:r>
        <w:fldChar w:fldCharType="separate"/>
      </w:r>
      <w:r>
        <w:rPr>
          <w:rFonts w:hint="eastAsia" w:cs="宋体"/>
        </w:rPr>
        <w:t>6投标文件的内容和要求</w:t>
      </w:r>
      <w:r>
        <w:tab/>
      </w:r>
      <w:r>
        <w:fldChar w:fldCharType="end"/>
      </w:r>
    </w:p>
    <w:p>
      <w:pPr>
        <w:pStyle w:val="14"/>
        <w:tabs>
          <w:tab w:val="right" w:leader="dot" w:pos="8715"/>
        </w:tabs>
      </w:pPr>
      <w:r>
        <w:fldChar w:fldCharType="begin"/>
      </w:r>
      <w:r>
        <w:instrText xml:space="preserve"> HYPERLINK \l "_Toc10378" </w:instrText>
      </w:r>
      <w:r>
        <w:fldChar w:fldCharType="separate"/>
      </w:r>
      <w:r>
        <w:rPr>
          <w:rFonts w:hint="eastAsia" w:cs="宋体"/>
        </w:rPr>
        <w:t>6.1投标文件计量单位</w:t>
      </w:r>
      <w:r>
        <w:tab/>
      </w:r>
      <w:r>
        <w:fldChar w:fldCharType="end"/>
      </w:r>
    </w:p>
    <w:p>
      <w:pPr>
        <w:pStyle w:val="14"/>
        <w:tabs>
          <w:tab w:val="right" w:leader="dot" w:pos="8715"/>
        </w:tabs>
      </w:pPr>
      <w:r>
        <w:fldChar w:fldCharType="begin"/>
      </w:r>
      <w:r>
        <w:instrText xml:space="preserve"> HYPERLINK \l "_Toc13017" </w:instrText>
      </w:r>
      <w:r>
        <w:fldChar w:fldCharType="separate"/>
      </w:r>
      <w:r>
        <w:rPr>
          <w:rFonts w:hint="eastAsia" w:cs="宋体"/>
        </w:rPr>
        <w:t>6.2投标文件组成</w:t>
      </w:r>
      <w:r>
        <w:tab/>
      </w:r>
      <w:r>
        <w:fldChar w:fldCharType="end"/>
      </w:r>
    </w:p>
    <w:p>
      <w:pPr>
        <w:pStyle w:val="14"/>
        <w:tabs>
          <w:tab w:val="right" w:leader="dot" w:pos="8715"/>
        </w:tabs>
      </w:pPr>
      <w:r>
        <w:fldChar w:fldCharType="begin"/>
      </w:r>
      <w:r>
        <w:instrText xml:space="preserve"> HYPERLINK \l "_Toc8696" </w:instrText>
      </w:r>
      <w:r>
        <w:fldChar w:fldCharType="separate"/>
      </w:r>
      <w:r>
        <w:rPr>
          <w:rFonts w:hint="eastAsia" w:cs="宋体"/>
        </w:rPr>
        <w:t>6.3有效期</w:t>
      </w:r>
      <w:r>
        <w:tab/>
      </w:r>
      <w:r>
        <w:fldChar w:fldCharType="end"/>
      </w:r>
    </w:p>
    <w:p>
      <w:pPr>
        <w:pStyle w:val="14"/>
        <w:tabs>
          <w:tab w:val="right" w:leader="dot" w:pos="8715"/>
        </w:tabs>
      </w:pPr>
      <w:r>
        <w:fldChar w:fldCharType="begin"/>
      </w:r>
      <w:r>
        <w:instrText xml:space="preserve"> HYPERLINK \l "_Toc4396" </w:instrText>
      </w:r>
      <w:r>
        <w:fldChar w:fldCharType="separate"/>
      </w:r>
      <w:r>
        <w:rPr>
          <w:rFonts w:hint="eastAsia" w:cs="宋体"/>
        </w:rPr>
        <w:t>6.4投标文件格式</w:t>
      </w:r>
      <w:r>
        <w:tab/>
      </w:r>
      <w:r>
        <w:fldChar w:fldCharType="end"/>
      </w:r>
    </w:p>
    <w:p>
      <w:pPr>
        <w:pStyle w:val="14"/>
        <w:tabs>
          <w:tab w:val="right" w:leader="dot" w:pos="8715"/>
        </w:tabs>
      </w:pPr>
      <w:r>
        <w:fldChar w:fldCharType="begin"/>
      </w:r>
      <w:r>
        <w:instrText xml:space="preserve"> HYPERLINK \l "_Toc6599" </w:instrText>
      </w:r>
      <w:r>
        <w:fldChar w:fldCharType="separate"/>
      </w:r>
      <w:r>
        <w:rPr>
          <w:rFonts w:hint="eastAsia" w:cs="宋体"/>
        </w:rPr>
        <w:t>6.5投标文件的装袋、密封和递交</w:t>
      </w:r>
      <w:r>
        <w:tab/>
      </w:r>
      <w:r>
        <w:fldChar w:fldCharType="end"/>
      </w:r>
    </w:p>
    <w:p>
      <w:pPr>
        <w:pStyle w:val="14"/>
        <w:tabs>
          <w:tab w:val="right" w:leader="dot" w:pos="8715"/>
        </w:tabs>
      </w:pPr>
      <w:r>
        <w:fldChar w:fldCharType="begin"/>
      </w:r>
      <w:r>
        <w:instrText xml:space="preserve"> HYPERLINK \l "_Toc6523" </w:instrText>
      </w:r>
      <w:r>
        <w:fldChar w:fldCharType="separate"/>
      </w:r>
      <w:r>
        <w:rPr>
          <w:rFonts w:hint="eastAsia" w:cs="宋体"/>
        </w:rPr>
        <w:t>6.6投标文件的澄清</w:t>
      </w:r>
      <w:r>
        <w:tab/>
      </w:r>
      <w:r>
        <w:fldChar w:fldCharType="end"/>
      </w:r>
    </w:p>
    <w:p>
      <w:pPr>
        <w:pStyle w:val="13"/>
        <w:tabs>
          <w:tab w:val="right" w:leader="dot" w:pos="8715"/>
        </w:tabs>
      </w:pPr>
      <w:r>
        <w:fldChar w:fldCharType="begin"/>
      </w:r>
      <w:r>
        <w:instrText xml:space="preserve"> HYPERLINK \l "_Toc14661" </w:instrText>
      </w:r>
      <w:r>
        <w:fldChar w:fldCharType="separate"/>
      </w:r>
      <w:r>
        <w:rPr>
          <w:rFonts w:hint="eastAsia" w:ascii="Times New Roman" w:hAnsi="Times New Roman" w:cs="宋体"/>
        </w:rPr>
        <w:t>7开标</w:t>
      </w:r>
      <w:r>
        <w:tab/>
      </w:r>
      <w:r>
        <w:fldChar w:fldCharType="end"/>
      </w:r>
    </w:p>
    <w:p>
      <w:pPr>
        <w:pStyle w:val="13"/>
        <w:tabs>
          <w:tab w:val="right" w:leader="dot" w:pos="8715"/>
        </w:tabs>
      </w:pPr>
      <w:r>
        <w:fldChar w:fldCharType="begin"/>
      </w:r>
      <w:r>
        <w:instrText xml:space="preserve"> HYPERLINK \l "_Toc31467" </w:instrText>
      </w:r>
      <w:r>
        <w:fldChar w:fldCharType="separate"/>
      </w:r>
      <w:r>
        <w:rPr>
          <w:rFonts w:hint="eastAsia" w:cs="宋体"/>
        </w:rPr>
        <w:t>8讲标及评标</w:t>
      </w:r>
      <w:r>
        <w:tab/>
      </w:r>
      <w:r>
        <w:fldChar w:fldCharType="end"/>
      </w:r>
    </w:p>
    <w:p>
      <w:pPr>
        <w:pStyle w:val="14"/>
        <w:tabs>
          <w:tab w:val="right" w:leader="dot" w:pos="8715"/>
        </w:tabs>
      </w:pPr>
      <w:r>
        <w:fldChar w:fldCharType="begin"/>
      </w:r>
      <w:r>
        <w:instrText xml:space="preserve"> HYPERLINK \l "_Toc6617" </w:instrText>
      </w:r>
      <w:r>
        <w:fldChar w:fldCharType="separate"/>
      </w:r>
      <w:r>
        <w:rPr>
          <w:rFonts w:hint="eastAsia" w:cs="宋体"/>
        </w:rPr>
        <w:t>8.1中标及合同签订</w:t>
      </w:r>
      <w:r>
        <w:tab/>
      </w:r>
      <w:r>
        <w:fldChar w:fldCharType="end"/>
      </w:r>
    </w:p>
    <w:p>
      <w:pPr>
        <w:pStyle w:val="14"/>
        <w:tabs>
          <w:tab w:val="right" w:leader="dot" w:pos="8715"/>
        </w:tabs>
      </w:pPr>
      <w:r>
        <w:fldChar w:fldCharType="begin"/>
      </w:r>
      <w:r>
        <w:instrText xml:space="preserve"> HYPERLINK \l "_Toc31901" </w:instrText>
      </w:r>
      <w:r>
        <w:fldChar w:fldCharType="separate"/>
      </w:r>
      <w:r>
        <w:rPr>
          <w:rFonts w:hint="eastAsia" w:cs="宋体"/>
        </w:rPr>
        <w:t>8.2废标</w:t>
      </w:r>
      <w:r>
        <w:tab/>
      </w:r>
      <w:r>
        <w:fldChar w:fldCharType="end"/>
      </w:r>
    </w:p>
    <w:p>
      <w:pPr>
        <w:pStyle w:val="14"/>
        <w:tabs>
          <w:tab w:val="right" w:leader="dot" w:pos="8715"/>
        </w:tabs>
      </w:pPr>
      <w:r>
        <w:fldChar w:fldCharType="begin"/>
      </w:r>
      <w:r>
        <w:instrText xml:space="preserve"> HYPERLINK \l "_Toc5145" </w:instrText>
      </w:r>
      <w:r>
        <w:fldChar w:fldCharType="separate"/>
      </w:r>
      <w:r>
        <w:rPr>
          <w:rFonts w:hint="eastAsia" w:cs="宋体"/>
        </w:rPr>
        <w:t>8.3瑕疵滞后发现的处理</w:t>
      </w:r>
      <w:r>
        <w:tab/>
      </w:r>
      <w:r>
        <w:fldChar w:fldCharType="end"/>
      </w:r>
    </w:p>
    <w:p>
      <w:pPr>
        <w:pStyle w:val="14"/>
        <w:tabs>
          <w:tab w:val="right" w:leader="dot" w:pos="8715"/>
        </w:tabs>
      </w:pPr>
      <w:r>
        <w:fldChar w:fldCharType="begin"/>
      </w:r>
      <w:r>
        <w:instrText xml:space="preserve"> HYPERLINK \l "_Toc21242" </w:instrText>
      </w:r>
      <w:r>
        <w:fldChar w:fldCharType="separate"/>
      </w:r>
      <w:r>
        <w:rPr>
          <w:rFonts w:hint="eastAsia"/>
        </w:rPr>
        <w:t>8.4合同以双方最终签署的版本为准</w:t>
      </w:r>
      <w:r>
        <w:tab/>
      </w:r>
      <w:r>
        <w:fldChar w:fldCharType="end"/>
      </w:r>
    </w:p>
    <w:p>
      <w:pPr>
        <w:pStyle w:val="14"/>
        <w:tabs>
          <w:tab w:val="right" w:leader="dot" w:pos="8715"/>
        </w:tabs>
      </w:pPr>
      <w:r>
        <w:fldChar w:fldCharType="begin"/>
      </w:r>
      <w:r>
        <w:instrText xml:space="preserve"> HYPERLINK \l "_Toc30795" </w:instrText>
      </w:r>
      <w:r>
        <w:fldChar w:fldCharType="separate"/>
      </w:r>
      <w:r>
        <w:rPr>
          <w:rFonts w:hint="eastAsia" w:cs="宋体"/>
        </w:rPr>
        <w:t>8.5解释权</w:t>
      </w:r>
      <w:r>
        <w:tab/>
      </w:r>
      <w:r>
        <w:fldChar w:fldCharType="end"/>
      </w:r>
    </w:p>
    <w:p>
      <w:pPr>
        <w:pStyle w:val="21"/>
        <w:widowControl/>
        <w:ind w:firstLine="480"/>
        <w:rPr>
          <w:lang w:bidi="ar"/>
        </w:rPr>
        <w:sectPr>
          <w:headerReference r:id="rId3" w:type="default"/>
          <w:footerReference r:id="rId4" w:type="default"/>
          <w:pgSz w:w="12242" w:h="15842"/>
          <w:pgMar w:top="1418" w:right="1752" w:bottom="1135" w:left="1418" w:header="737" w:footer="431" w:gutter="357"/>
          <w:pgNumType w:fmt="upperRoman" w:start="1"/>
          <w:cols w:space="425" w:num="1"/>
          <w:docGrid w:type="lines" w:linePitch="312" w:charSpace="0"/>
        </w:sectPr>
      </w:pPr>
      <w:r>
        <w:fldChar w:fldCharType="end"/>
      </w:r>
    </w:p>
    <w:p>
      <w:pPr>
        <w:pStyle w:val="22"/>
        <w:keepNext w:val="0"/>
        <w:widowControl/>
      </w:pPr>
      <w:bookmarkStart w:id="3" w:name="_Toc4004"/>
      <w:r>
        <w:rPr>
          <w:rFonts w:hint="eastAsia" w:cs="宋体"/>
        </w:rPr>
        <w:t>项目名称</w:t>
      </w:r>
      <w:bookmarkEnd w:id="3"/>
    </w:p>
    <w:p>
      <w:pPr>
        <w:pStyle w:val="21"/>
        <w:widowControl/>
        <w:ind w:firstLine="480"/>
        <w:rPr>
          <w:rFonts w:cs="宋体"/>
        </w:rPr>
      </w:pPr>
      <w:r>
        <w:rPr>
          <w:rFonts w:hint="eastAsia" w:cs="宋体"/>
        </w:rPr>
        <w:t>项目名称：</w:t>
      </w:r>
      <w:r>
        <w:rPr>
          <w:rFonts w:hint="eastAsia" w:cs="宋体"/>
          <w:b/>
          <w:lang w:val="en-US" w:eastAsia="zh-CN"/>
        </w:rPr>
        <w:t>信息化资源池</w:t>
      </w:r>
      <w:r>
        <w:rPr>
          <w:rFonts w:hint="eastAsia" w:cs="宋体"/>
          <w:b/>
        </w:rPr>
        <w:t>项目</w:t>
      </w:r>
      <w:r>
        <w:rPr>
          <w:rFonts w:hint="eastAsia" w:cs="宋体"/>
          <w:b/>
          <w:lang w:eastAsia="zh-CN"/>
        </w:rPr>
        <w:t>（</w:t>
      </w:r>
      <w:r>
        <w:rPr>
          <w:rFonts w:hint="eastAsia" w:cs="宋体"/>
          <w:b/>
          <w:lang w:val="en-US" w:eastAsia="zh-CN"/>
        </w:rPr>
        <w:t>数据分析资源池</w:t>
      </w:r>
      <w:r>
        <w:rPr>
          <w:rFonts w:hint="eastAsia" w:cs="宋体"/>
          <w:b/>
          <w:lang w:eastAsia="zh-CN"/>
        </w:rPr>
        <w:t>）</w:t>
      </w:r>
      <w:r>
        <w:rPr>
          <w:rFonts w:hint="eastAsia" w:cs="宋体"/>
          <w:b/>
        </w:rPr>
        <w:t>。</w:t>
      </w:r>
    </w:p>
    <w:p>
      <w:pPr>
        <w:pStyle w:val="21"/>
        <w:widowControl/>
        <w:ind w:firstLine="480"/>
        <w:rPr>
          <w:rFonts w:cs="宋体"/>
        </w:rPr>
      </w:pPr>
      <w:r>
        <w:rPr>
          <w:rFonts w:hint="eastAsia" w:cs="宋体"/>
        </w:rPr>
        <w:t>中国重汽集团济南动力有限公司（以下简称招标人）就中国重汽集团企业管理与信息化部第三方运维服务进行招标，特邀请具有项目资质及承担能力的供应商进行投标。</w:t>
      </w:r>
    </w:p>
    <w:p>
      <w:pPr>
        <w:pStyle w:val="22"/>
        <w:keepNext w:val="0"/>
        <w:widowControl/>
        <w:pBdr>
          <w:top w:val="single" w:color="auto" w:sz="48" w:space="0"/>
        </w:pBdr>
        <w:rPr>
          <w:rFonts w:cs="宋体"/>
        </w:rPr>
      </w:pPr>
      <w:bookmarkStart w:id="4" w:name="_Toc17573"/>
      <w:r>
        <w:rPr>
          <w:rFonts w:hint="eastAsia" w:cs="宋体"/>
        </w:rPr>
        <w:t>招标内容及形式</w:t>
      </w:r>
      <w:bookmarkEnd w:id="4"/>
    </w:p>
    <w:p>
      <w:pPr>
        <w:pStyle w:val="24"/>
        <w:keepNext w:val="0"/>
        <w:widowControl/>
        <w:numPr>
          <w:ilvl w:val="1"/>
          <w:numId w:val="0"/>
        </w:numPr>
        <w:ind w:firstLine="562" w:firstLineChars="200"/>
      </w:pPr>
      <w:bookmarkStart w:id="5" w:name="_Toc14504"/>
      <w:r>
        <w:rPr>
          <w:rFonts w:hint="eastAsia"/>
        </w:rPr>
        <w:t>2.1招标形式与内容</w:t>
      </w:r>
      <w:bookmarkEnd w:id="5"/>
    </w:p>
    <w:p>
      <w:pPr>
        <w:ind w:firstLine="480" w:firstLineChars="200"/>
        <w:rPr>
          <w:rFonts w:hint="eastAsia" w:ascii="Times New Roman" w:hAnsi="Times New Roman" w:eastAsia="宋体" w:cs="宋体"/>
          <w:sz w:val="24"/>
          <w:szCs w:val="22"/>
          <w:lang w:val="en-US" w:eastAsia="zh-CN"/>
        </w:rPr>
      </w:pPr>
      <w:r>
        <w:rPr>
          <w:rFonts w:hint="eastAsia" w:ascii="Times New Roman" w:hAnsi="Times New Roman" w:eastAsia="宋体" w:cs="宋体"/>
          <w:sz w:val="24"/>
          <w:szCs w:val="22"/>
        </w:rPr>
        <w:t>本次招标</w:t>
      </w:r>
      <w:r>
        <w:rPr>
          <w:rFonts w:hint="eastAsia" w:ascii="Times New Roman" w:hAnsi="Times New Roman" w:eastAsia="宋体" w:cs="宋体"/>
          <w:sz w:val="24"/>
          <w:szCs w:val="22"/>
          <w:lang w:val="en-US" w:eastAsia="zh-CN"/>
        </w:rPr>
        <w:t>信息化资源池</w:t>
      </w:r>
      <w:r>
        <w:rPr>
          <w:rFonts w:hint="eastAsia" w:ascii="Times New Roman" w:hAnsi="Times New Roman" w:eastAsia="宋体" w:cs="宋体"/>
          <w:sz w:val="24"/>
          <w:szCs w:val="22"/>
        </w:rPr>
        <w:t>项目</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rPr>
        <w:t>数据分析资源池</w:t>
      </w:r>
      <w:r>
        <w:rPr>
          <w:rFonts w:hint="eastAsia" w:ascii="Times New Roman" w:hAnsi="Times New Roman" w:eastAsia="宋体" w:cs="宋体"/>
          <w:sz w:val="24"/>
          <w:szCs w:val="22"/>
          <w:lang w:val="en-US" w:eastAsia="zh-CN"/>
        </w:rPr>
        <w:t>)</w:t>
      </w:r>
    </w:p>
    <w:p>
      <w:pPr>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本项目采用公开招标的方式</w:t>
      </w:r>
    </w:p>
    <w:p>
      <w:pPr>
        <w:pStyle w:val="24"/>
        <w:keepNext w:val="0"/>
        <w:widowControl/>
        <w:numPr>
          <w:ilvl w:val="1"/>
          <w:numId w:val="0"/>
        </w:numPr>
        <w:ind w:firstLine="562" w:firstLineChars="200"/>
      </w:pPr>
      <w:bookmarkStart w:id="6" w:name="_Toc1211"/>
      <w:r>
        <w:t>2.</w:t>
      </w:r>
      <w:r>
        <w:rPr>
          <w:rFonts w:hint="eastAsia"/>
        </w:rPr>
        <w:t>2</w:t>
      </w:r>
      <w:r>
        <w:rPr>
          <w:rFonts w:hint="eastAsia" w:cs="宋体"/>
        </w:rPr>
        <w:t>议程安排</w:t>
      </w:r>
      <w:bookmarkEnd w:id="6"/>
    </w:p>
    <w:p>
      <w:pPr>
        <w:spacing w:line="360" w:lineRule="auto"/>
        <w:ind w:firstLine="420" w:firstLineChars="200"/>
        <w:rPr>
          <w:rFonts w:ascii="宋体" w:hAnsi="Courier New" w:eastAsia="宋体" w:cs="宋体"/>
          <w:szCs w:val="20"/>
          <w:highlight w:val="none"/>
        </w:rPr>
      </w:pPr>
      <w:r>
        <w:rPr>
          <w:rFonts w:hint="eastAsia" w:ascii="宋体" w:hAnsi="Courier New" w:eastAsia="宋体" w:cs="宋体"/>
          <w:szCs w:val="20"/>
          <w:lang w:bidi="ar"/>
        </w:rPr>
        <w:t>1</w:t>
      </w:r>
      <w:r>
        <w:rPr>
          <w:rFonts w:hint="eastAsia" w:ascii="宋体" w:hAnsi="Courier New" w:eastAsia="宋体" w:cs="宋体"/>
          <w:szCs w:val="20"/>
          <w:highlight w:val="none"/>
          <w:lang w:bidi="ar"/>
        </w:rPr>
        <w:t>、发标时间：202</w:t>
      </w:r>
      <w:r>
        <w:rPr>
          <w:rFonts w:ascii="宋体" w:hAnsi="Courier New" w:eastAsia="宋体" w:cs="宋体"/>
          <w:szCs w:val="20"/>
          <w:highlight w:val="none"/>
          <w:lang w:bidi="ar"/>
        </w:rPr>
        <w:t>2</w:t>
      </w:r>
      <w:r>
        <w:rPr>
          <w:rFonts w:hint="eastAsia" w:ascii="宋体" w:hAnsi="Courier New" w:eastAsia="宋体" w:cs="宋体"/>
          <w:szCs w:val="20"/>
          <w:highlight w:val="none"/>
          <w:lang w:bidi="ar"/>
        </w:rPr>
        <w:t>年</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3</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bidi="ar"/>
        </w:rPr>
        <w:t>月</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 xml:space="preserve">12 </w:t>
      </w:r>
      <w:r>
        <w:rPr>
          <w:rFonts w:hint="eastAsia" w:ascii="宋体" w:hAnsi="Courier New" w:eastAsia="宋体" w:cs="宋体"/>
          <w:szCs w:val="20"/>
          <w:highlight w:val="none"/>
          <w:lang w:bidi="ar"/>
        </w:rPr>
        <w:t xml:space="preserve">日 </w:t>
      </w:r>
    </w:p>
    <w:p>
      <w:pPr>
        <w:spacing w:line="360" w:lineRule="auto"/>
        <w:ind w:firstLine="420" w:firstLineChars="200"/>
        <w:rPr>
          <w:rFonts w:ascii="宋体" w:hAnsi="Courier New" w:eastAsia="宋体" w:cs="宋体"/>
          <w:szCs w:val="20"/>
          <w:highlight w:val="none"/>
        </w:rPr>
      </w:pPr>
      <w:r>
        <w:rPr>
          <w:rFonts w:hint="eastAsia" w:ascii="宋体" w:hAnsi="Courier New" w:eastAsia="宋体" w:cs="宋体"/>
          <w:szCs w:val="20"/>
          <w:highlight w:val="none"/>
          <w:lang w:bidi="ar"/>
        </w:rPr>
        <w:t>2、答疑时间：截止至202</w:t>
      </w:r>
      <w:r>
        <w:rPr>
          <w:rFonts w:ascii="宋体" w:hAnsi="Courier New" w:eastAsia="宋体" w:cs="宋体"/>
          <w:szCs w:val="20"/>
          <w:highlight w:val="none"/>
          <w:lang w:bidi="ar"/>
        </w:rPr>
        <w:t>2</w:t>
      </w:r>
      <w:r>
        <w:rPr>
          <w:rFonts w:hint="eastAsia" w:ascii="宋体" w:hAnsi="Courier New" w:eastAsia="宋体" w:cs="宋体"/>
          <w:szCs w:val="20"/>
          <w:highlight w:val="none"/>
          <w:lang w:bidi="ar"/>
        </w:rPr>
        <w:t>年</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 xml:space="preserve">3 </w:t>
      </w:r>
      <w:r>
        <w:rPr>
          <w:rFonts w:hint="eastAsia" w:ascii="宋体" w:hAnsi="Courier New" w:eastAsia="宋体" w:cs="宋体"/>
          <w:szCs w:val="20"/>
          <w:highlight w:val="none"/>
          <w:lang w:bidi="ar"/>
        </w:rPr>
        <w:t>月</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26</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bidi="ar"/>
        </w:rPr>
        <w:t>日下午</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5</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bidi="ar"/>
        </w:rPr>
        <w:t>点前，逾期不受理</w:t>
      </w:r>
    </w:p>
    <w:p>
      <w:pPr>
        <w:spacing w:line="360" w:lineRule="auto"/>
        <w:ind w:firstLine="1890" w:firstLineChars="900"/>
        <w:rPr>
          <w:rFonts w:ascii="宋体" w:hAnsi="Courier New" w:eastAsia="宋体" w:cs="宋体"/>
          <w:color w:val="000000"/>
          <w:szCs w:val="20"/>
          <w:highlight w:val="none"/>
          <w:lang w:bidi="ar"/>
        </w:rPr>
      </w:pPr>
      <w:r>
        <w:rPr>
          <w:rFonts w:hint="eastAsia" w:ascii="宋体" w:hAnsi="Courier New" w:eastAsia="宋体" w:cs="宋体"/>
          <w:color w:val="000000"/>
          <w:szCs w:val="20"/>
          <w:highlight w:val="none"/>
          <w:lang w:bidi="ar"/>
        </w:rPr>
        <w:t xml:space="preserve">联 系 人：张 </w:t>
      </w:r>
      <w:r>
        <w:rPr>
          <w:rFonts w:ascii="宋体" w:hAnsi="Courier New" w:eastAsia="宋体" w:cs="宋体"/>
          <w:color w:val="000000"/>
          <w:szCs w:val="20"/>
          <w:highlight w:val="none"/>
          <w:lang w:bidi="ar"/>
        </w:rPr>
        <w:t xml:space="preserve"> </w:t>
      </w:r>
      <w:r>
        <w:rPr>
          <w:rFonts w:hint="eastAsia" w:ascii="宋体" w:hAnsi="Courier New" w:eastAsia="宋体" w:cs="宋体"/>
          <w:color w:val="000000"/>
          <w:szCs w:val="20"/>
          <w:highlight w:val="none"/>
          <w:lang w:bidi="ar"/>
        </w:rPr>
        <w:t xml:space="preserve">鹤 </w:t>
      </w:r>
      <w:r>
        <w:rPr>
          <w:rFonts w:ascii="宋体" w:hAnsi="Courier New" w:eastAsia="宋体" w:cs="宋体"/>
          <w:color w:val="000000"/>
          <w:szCs w:val="20"/>
          <w:highlight w:val="none"/>
          <w:lang w:bidi="ar"/>
        </w:rPr>
        <w:t>18005313368</w:t>
      </w:r>
      <w:r>
        <w:rPr>
          <w:rFonts w:hint="eastAsia" w:ascii="宋体" w:hAnsi="Courier New" w:eastAsia="宋体" w:cs="宋体"/>
          <w:color w:val="000000"/>
          <w:szCs w:val="20"/>
          <w:highlight w:val="none"/>
          <w:lang w:bidi="ar"/>
        </w:rPr>
        <w:t xml:space="preserve"> （技术部分）</w:t>
      </w:r>
    </w:p>
    <w:p>
      <w:pPr>
        <w:spacing w:line="360" w:lineRule="auto"/>
        <w:ind w:firstLine="2940" w:firstLineChars="1400"/>
        <w:rPr>
          <w:rFonts w:ascii="宋体" w:hAnsi="Courier New" w:eastAsia="宋体" w:cs="宋体"/>
          <w:color w:val="000000"/>
          <w:szCs w:val="20"/>
          <w:highlight w:val="none"/>
        </w:rPr>
      </w:pPr>
      <w:r>
        <w:rPr>
          <w:rFonts w:hint="eastAsia" w:ascii="宋体" w:hAnsi="Courier New" w:eastAsia="宋体" w:cs="宋体"/>
          <w:color w:val="000000"/>
          <w:szCs w:val="20"/>
          <w:highlight w:val="none"/>
          <w:lang w:bidi="ar"/>
        </w:rPr>
        <w:t>林海峰 15562567081 （商务部分）</w:t>
      </w:r>
    </w:p>
    <w:p>
      <w:pPr>
        <w:spacing w:line="360" w:lineRule="auto"/>
        <w:ind w:firstLine="420" w:firstLineChars="200"/>
        <w:rPr>
          <w:rFonts w:ascii="宋体" w:hAnsi="Courier New" w:eastAsia="宋体" w:cs="宋体"/>
          <w:color w:val="000000"/>
          <w:szCs w:val="20"/>
          <w:highlight w:val="none"/>
        </w:rPr>
      </w:pPr>
      <w:r>
        <w:rPr>
          <w:rFonts w:hint="eastAsia" w:ascii="宋体" w:hAnsi="Courier New" w:eastAsia="宋体" w:cs="宋体"/>
          <w:color w:val="000000"/>
          <w:szCs w:val="20"/>
          <w:highlight w:val="none"/>
          <w:lang w:bidi="ar"/>
        </w:rPr>
        <w:t>3、投标报名截止时间：202</w:t>
      </w:r>
      <w:r>
        <w:rPr>
          <w:rFonts w:ascii="宋体" w:hAnsi="Courier New" w:eastAsia="宋体" w:cs="宋体"/>
          <w:color w:val="000000"/>
          <w:szCs w:val="20"/>
          <w:highlight w:val="none"/>
          <w:lang w:bidi="ar"/>
        </w:rPr>
        <w:t>2</w:t>
      </w:r>
      <w:r>
        <w:rPr>
          <w:rFonts w:hint="eastAsia" w:ascii="宋体" w:hAnsi="Courier New" w:eastAsia="宋体" w:cs="宋体"/>
          <w:color w:val="000000"/>
          <w:szCs w:val="20"/>
          <w:highlight w:val="none"/>
          <w:lang w:bidi="ar"/>
        </w:rPr>
        <w:t>年</w:t>
      </w:r>
      <w:r>
        <w:rPr>
          <w:rFonts w:ascii="宋体" w:hAnsi="Courier New" w:eastAsia="宋体" w:cs="宋体"/>
          <w:color w:val="000000"/>
          <w:szCs w:val="20"/>
          <w:highlight w:val="none"/>
          <w:lang w:bidi="ar"/>
        </w:rPr>
        <w:t xml:space="preserve"> </w:t>
      </w:r>
      <w:r>
        <w:rPr>
          <w:rFonts w:hint="eastAsia" w:ascii="宋体" w:hAnsi="Courier New" w:eastAsia="宋体" w:cs="宋体"/>
          <w:color w:val="000000"/>
          <w:szCs w:val="20"/>
          <w:highlight w:val="none"/>
          <w:lang w:val="en-US" w:eastAsia="zh-CN" w:bidi="ar"/>
        </w:rPr>
        <w:t>3</w:t>
      </w:r>
      <w:r>
        <w:rPr>
          <w:rFonts w:ascii="宋体" w:hAnsi="Courier New" w:eastAsia="宋体" w:cs="宋体"/>
          <w:color w:val="000000"/>
          <w:szCs w:val="20"/>
          <w:highlight w:val="none"/>
          <w:lang w:bidi="ar"/>
        </w:rPr>
        <w:t xml:space="preserve"> </w:t>
      </w:r>
      <w:r>
        <w:rPr>
          <w:rFonts w:hint="eastAsia" w:ascii="宋体" w:hAnsi="Courier New" w:eastAsia="宋体" w:cs="宋体"/>
          <w:color w:val="000000"/>
          <w:szCs w:val="20"/>
          <w:highlight w:val="none"/>
          <w:lang w:bidi="ar"/>
        </w:rPr>
        <w:t>月</w:t>
      </w:r>
      <w:r>
        <w:rPr>
          <w:rFonts w:ascii="宋体" w:hAnsi="Courier New" w:eastAsia="宋体" w:cs="宋体"/>
          <w:color w:val="000000"/>
          <w:szCs w:val="20"/>
          <w:highlight w:val="none"/>
          <w:lang w:bidi="ar"/>
        </w:rPr>
        <w:t xml:space="preserve"> </w:t>
      </w:r>
      <w:r>
        <w:rPr>
          <w:rFonts w:hint="eastAsia" w:ascii="宋体" w:hAnsi="Courier New" w:eastAsia="宋体" w:cs="宋体"/>
          <w:color w:val="000000"/>
          <w:szCs w:val="20"/>
          <w:highlight w:val="none"/>
          <w:lang w:val="en-US" w:eastAsia="zh-CN" w:bidi="ar"/>
        </w:rPr>
        <w:t>25</w:t>
      </w:r>
      <w:r>
        <w:rPr>
          <w:rFonts w:ascii="宋体" w:hAnsi="Courier New" w:eastAsia="宋体" w:cs="宋体"/>
          <w:color w:val="000000"/>
          <w:szCs w:val="20"/>
          <w:highlight w:val="none"/>
          <w:lang w:bidi="ar"/>
        </w:rPr>
        <w:t xml:space="preserve"> </w:t>
      </w:r>
      <w:r>
        <w:rPr>
          <w:rFonts w:hint="eastAsia" w:ascii="宋体" w:hAnsi="Courier New" w:eastAsia="宋体" w:cs="宋体"/>
          <w:color w:val="000000"/>
          <w:szCs w:val="20"/>
          <w:highlight w:val="none"/>
          <w:lang w:bidi="ar"/>
        </w:rPr>
        <w:t>日下午5点前，逾期不受理</w:t>
      </w:r>
    </w:p>
    <w:p>
      <w:pPr>
        <w:spacing w:line="360" w:lineRule="auto"/>
        <w:ind w:left="420" w:leftChars="200" w:firstLine="420" w:firstLineChars="200"/>
        <w:rPr>
          <w:rFonts w:ascii="宋体" w:hAnsi="Courier New" w:eastAsia="宋体" w:cs="宋体"/>
          <w:color w:val="000000"/>
          <w:szCs w:val="20"/>
          <w:highlight w:val="none"/>
        </w:rPr>
      </w:pPr>
      <w:r>
        <w:rPr>
          <w:rFonts w:hint="eastAsia" w:ascii="宋体" w:hAnsi="Courier New" w:eastAsia="宋体" w:cs="宋体"/>
          <w:color w:val="000000"/>
          <w:szCs w:val="20"/>
          <w:highlight w:val="none"/>
          <w:lang w:bidi="ar"/>
        </w:rPr>
        <w:t>报名方式：将附表9填写完毕后，加盖公章，扫描成PDF发送至j</w:t>
      </w:r>
      <w:bookmarkStart w:id="7" w:name="_Hlt20314909"/>
      <w:bookmarkStart w:id="8" w:name="_Hlt20314908"/>
      <w:r>
        <w:rPr>
          <w:rFonts w:hint="eastAsia" w:ascii="宋体" w:hAnsi="Courier New" w:eastAsia="宋体" w:cs="宋体"/>
          <w:color w:val="000000"/>
          <w:szCs w:val="20"/>
          <w:highlight w:val="none"/>
          <w:lang w:bidi="ar"/>
        </w:rPr>
        <w:t>t</w:t>
      </w:r>
      <w:bookmarkEnd w:id="7"/>
      <w:bookmarkEnd w:id="8"/>
      <w:r>
        <w:rPr>
          <w:rFonts w:hint="eastAsia" w:ascii="宋体" w:hAnsi="Courier New" w:eastAsia="宋体" w:cs="宋体"/>
          <w:color w:val="000000"/>
          <w:szCs w:val="20"/>
          <w:highlight w:val="none"/>
          <w:lang w:bidi="ar"/>
        </w:rPr>
        <w:t>xxhb@sinotruk.com，并电话确认</w:t>
      </w:r>
    </w:p>
    <w:p>
      <w:pPr>
        <w:spacing w:line="360" w:lineRule="auto"/>
        <w:ind w:firstLine="735"/>
        <w:rPr>
          <w:rFonts w:ascii="宋体" w:hAnsi="Courier New" w:eastAsia="宋体" w:cs="宋体"/>
          <w:color w:val="000000"/>
          <w:szCs w:val="20"/>
          <w:highlight w:val="none"/>
        </w:rPr>
      </w:pPr>
      <w:r>
        <w:rPr>
          <w:rFonts w:hint="eastAsia" w:ascii="宋体" w:hAnsi="Courier New" w:eastAsia="宋体" w:cs="宋体"/>
          <w:color w:val="000000"/>
          <w:szCs w:val="20"/>
          <w:highlight w:val="none"/>
          <w:lang w:bidi="ar"/>
        </w:rPr>
        <w:t>联 系 人：林海峰  15562567081</w:t>
      </w:r>
    </w:p>
    <w:p>
      <w:pPr>
        <w:spacing w:line="360" w:lineRule="auto"/>
        <w:ind w:firstLine="420" w:firstLineChars="200"/>
        <w:rPr>
          <w:rFonts w:ascii="宋体" w:hAnsi="Courier New" w:eastAsia="宋体" w:cs="宋体"/>
          <w:szCs w:val="20"/>
          <w:highlight w:val="none"/>
        </w:rPr>
      </w:pPr>
      <w:r>
        <w:rPr>
          <w:rFonts w:hint="eastAsia" w:ascii="宋体" w:hAnsi="Courier New" w:eastAsia="宋体" w:cs="宋体"/>
          <w:szCs w:val="20"/>
          <w:highlight w:val="none"/>
          <w:lang w:bidi="ar"/>
        </w:rPr>
        <w:t>4、开标时间：暂定202</w:t>
      </w:r>
      <w:r>
        <w:rPr>
          <w:rFonts w:ascii="宋体" w:hAnsi="Courier New" w:eastAsia="宋体" w:cs="宋体"/>
          <w:szCs w:val="20"/>
          <w:highlight w:val="none"/>
          <w:lang w:bidi="ar"/>
        </w:rPr>
        <w:t>2</w:t>
      </w:r>
      <w:r>
        <w:rPr>
          <w:rFonts w:hint="eastAsia" w:ascii="宋体" w:hAnsi="Courier New" w:eastAsia="宋体" w:cs="宋体"/>
          <w:szCs w:val="20"/>
          <w:highlight w:val="none"/>
          <w:lang w:bidi="ar"/>
        </w:rPr>
        <w:t>年</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val="en-US" w:eastAsia="zh-CN" w:bidi="ar"/>
        </w:rPr>
        <w:t>3</w:t>
      </w:r>
      <w:r>
        <w:rPr>
          <w:rFonts w:hint="eastAsia" w:ascii="宋体" w:hAnsi="Courier New" w:eastAsia="宋体" w:cs="宋体"/>
          <w:szCs w:val="20"/>
          <w:highlight w:val="none"/>
          <w:lang w:bidi="ar"/>
        </w:rPr>
        <w:t>月</w:t>
      </w:r>
      <w:r>
        <w:rPr>
          <w:rFonts w:hint="eastAsia" w:ascii="宋体" w:hAnsi="Courier New" w:eastAsia="宋体" w:cs="宋体"/>
          <w:szCs w:val="20"/>
          <w:highlight w:val="none"/>
          <w:lang w:val="en-US" w:eastAsia="zh-CN" w:bidi="ar"/>
        </w:rPr>
        <w:t xml:space="preserve"> 28</w:t>
      </w:r>
      <w:r>
        <w:rPr>
          <w:rFonts w:ascii="宋体" w:hAnsi="Courier New" w:eastAsia="宋体" w:cs="宋体"/>
          <w:szCs w:val="20"/>
          <w:highlight w:val="none"/>
          <w:lang w:bidi="ar"/>
        </w:rPr>
        <w:t xml:space="preserve"> </w:t>
      </w:r>
      <w:r>
        <w:rPr>
          <w:rFonts w:hint="eastAsia" w:ascii="宋体" w:hAnsi="Courier New" w:eastAsia="宋体" w:cs="宋体"/>
          <w:szCs w:val="20"/>
          <w:highlight w:val="none"/>
          <w:lang w:bidi="ar"/>
        </w:rPr>
        <w:t>日</w:t>
      </w:r>
      <w:r>
        <w:rPr>
          <w:rFonts w:ascii="宋体" w:hAnsi="Courier New" w:eastAsia="宋体" w:cs="宋体"/>
          <w:szCs w:val="20"/>
          <w:highlight w:val="none"/>
          <w:lang w:bidi="ar"/>
        </w:rPr>
        <w:t>9</w:t>
      </w:r>
      <w:r>
        <w:rPr>
          <w:rFonts w:hint="eastAsia" w:ascii="宋体" w:hAnsi="Courier New" w:eastAsia="宋体" w:cs="宋体"/>
          <w:szCs w:val="20"/>
          <w:highlight w:val="none"/>
          <w:lang w:bidi="ar"/>
        </w:rPr>
        <w:t>时</w:t>
      </w:r>
      <w:r>
        <w:rPr>
          <w:rFonts w:ascii="宋体" w:hAnsi="Courier New" w:eastAsia="宋体" w:cs="宋体"/>
          <w:szCs w:val="20"/>
          <w:highlight w:val="none"/>
          <w:lang w:bidi="ar"/>
        </w:rPr>
        <w:t>0</w:t>
      </w:r>
      <w:r>
        <w:rPr>
          <w:rFonts w:hint="eastAsia" w:ascii="宋体" w:hAnsi="Courier New" w:eastAsia="宋体" w:cs="宋体"/>
          <w:szCs w:val="20"/>
          <w:highlight w:val="none"/>
          <w:lang w:bidi="ar"/>
        </w:rPr>
        <w:t>0分，若有变动另行通知。</w:t>
      </w:r>
    </w:p>
    <w:p>
      <w:pPr>
        <w:rPr>
          <w:rFonts w:ascii="Calibri" w:hAnsi="Calibri" w:eastAsia="宋体" w:cs="Times New Roman"/>
          <w:szCs w:val="21"/>
        </w:rPr>
      </w:pPr>
      <w:r>
        <w:rPr>
          <w:rFonts w:hint="eastAsia" w:ascii="宋体" w:hAnsi="Courier New" w:eastAsia="宋体" w:cs="宋体"/>
          <w:color w:val="000000"/>
          <w:szCs w:val="20"/>
          <w:lang w:bidi="ar"/>
        </w:rPr>
        <w:t>投标人应提供</w:t>
      </w:r>
      <w:r>
        <w:rPr>
          <w:rFonts w:hint="eastAsia" w:ascii="宋体" w:hAnsi="宋体" w:eastAsia="宋体" w:cs="宋体"/>
          <w:color w:val="000000"/>
          <w:lang w:bidi="ar"/>
        </w:rPr>
        <w:t>营业执照副本原件、</w:t>
      </w:r>
      <w:r>
        <w:rPr>
          <w:rFonts w:hint="eastAsia" w:ascii="宋体" w:hAnsi="Courier New" w:eastAsia="宋体" w:cs="宋体"/>
          <w:color w:val="000000"/>
          <w:szCs w:val="20"/>
          <w:lang w:bidi="ar"/>
        </w:rPr>
        <w:t>法定代表人资格证明、法人授权委托书原件。</w:t>
      </w:r>
    </w:p>
    <w:tbl>
      <w:tblPr>
        <w:tblStyle w:val="18"/>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380"/>
        <w:gridCol w:w="1891"/>
        <w:gridCol w:w="174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2380" w:type="dxa"/>
          </w:tcPr>
          <w:p>
            <w:pPr>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名称</w:t>
            </w:r>
          </w:p>
        </w:tc>
        <w:tc>
          <w:tcPr>
            <w:tcW w:w="1891" w:type="dxa"/>
          </w:tcPr>
          <w:p>
            <w:pPr>
              <w:spacing w:line="360" w:lineRule="auto"/>
              <w:jc w:val="center"/>
              <w:rPr>
                <w:rFonts w:ascii="宋体" w:hAnsi="宋体" w:eastAsia="宋体" w:cs="宋体"/>
                <w:kern w:val="0"/>
                <w:sz w:val="24"/>
              </w:rPr>
            </w:pPr>
            <w:r>
              <w:rPr>
                <w:rFonts w:hint="eastAsia" w:ascii="宋体" w:hAnsi="宋体" w:eastAsia="宋体" w:cs="宋体"/>
                <w:kern w:val="0"/>
                <w:sz w:val="24"/>
              </w:rPr>
              <w:t>开标时间</w:t>
            </w:r>
          </w:p>
        </w:tc>
        <w:tc>
          <w:tcPr>
            <w:tcW w:w="1746" w:type="dxa"/>
          </w:tcPr>
          <w:p>
            <w:pPr>
              <w:spacing w:line="360" w:lineRule="auto"/>
              <w:jc w:val="center"/>
              <w:rPr>
                <w:rFonts w:ascii="宋体" w:hAnsi="宋体" w:eastAsia="宋体" w:cs="宋体"/>
                <w:kern w:val="0"/>
                <w:sz w:val="24"/>
              </w:rPr>
            </w:pPr>
            <w:r>
              <w:rPr>
                <w:rFonts w:hint="eastAsia" w:ascii="宋体" w:hAnsi="宋体" w:eastAsia="宋体" w:cs="宋体"/>
                <w:kern w:val="0"/>
                <w:sz w:val="24"/>
              </w:rPr>
              <w:t>开标地点</w:t>
            </w:r>
          </w:p>
        </w:tc>
        <w:tc>
          <w:tcPr>
            <w:tcW w:w="1747" w:type="dxa"/>
          </w:tcPr>
          <w:p>
            <w:pPr>
              <w:spacing w:line="360" w:lineRule="auto"/>
              <w:jc w:val="center"/>
              <w:rPr>
                <w:rFonts w:ascii="宋体" w:hAnsi="宋体" w:eastAsia="宋体" w:cs="宋体"/>
                <w:kern w:val="0"/>
                <w:sz w:val="24"/>
              </w:rPr>
            </w:pPr>
            <w:r>
              <w:rPr>
                <w:rFonts w:hint="eastAsia" w:ascii="宋体" w:hAnsi="宋体" w:eastAsia="宋体" w:cs="宋体"/>
                <w:kern w:val="0"/>
                <w:sz w:val="24"/>
              </w:rPr>
              <w:t>候场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pPr>
              <w:spacing w:line="360" w:lineRule="auto"/>
              <w:jc w:val="center"/>
              <w:rPr>
                <w:rFonts w:ascii="宋体" w:hAnsi="宋体" w:eastAsia="宋体" w:cs="宋体"/>
                <w:kern w:val="0"/>
                <w:sz w:val="24"/>
              </w:rPr>
            </w:pPr>
            <w:r>
              <w:rPr>
                <w:rFonts w:hint="eastAsia" w:ascii="宋体" w:hAnsi="宋体" w:eastAsia="宋体" w:cs="宋体"/>
                <w:kern w:val="0"/>
                <w:sz w:val="24"/>
              </w:rPr>
              <w:t>1</w:t>
            </w:r>
          </w:p>
        </w:tc>
        <w:tc>
          <w:tcPr>
            <w:tcW w:w="2380" w:type="dxa"/>
          </w:tcPr>
          <w:p>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信息化资源池</w:t>
            </w:r>
          </w:p>
          <w:p>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（数据分析资源池）</w:t>
            </w:r>
          </w:p>
        </w:tc>
        <w:tc>
          <w:tcPr>
            <w:tcW w:w="1891" w:type="dxa"/>
            <w:vAlign w:val="top"/>
          </w:tcPr>
          <w:p>
            <w:pPr>
              <w:spacing w:line="360"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lang w:val="en-US" w:eastAsia="zh-CN"/>
              </w:rPr>
              <w:t>2022.3.28</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上午9点</w:t>
            </w:r>
          </w:p>
        </w:tc>
        <w:tc>
          <w:tcPr>
            <w:tcW w:w="1746" w:type="dxa"/>
            <w:vAlign w:val="top"/>
          </w:tcPr>
          <w:p>
            <w:pPr>
              <w:spacing w:line="360"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lang w:val="en-US" w:eastAsia="zh-CN"/>
              </w:rPr>
              <w:t>重汽科技大厦</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309会议室</w:t>
            </w:r>
          </w:p>
        </w:tc>
        <w:tc>
          <w:tcPr>
            <w:tcW w:w="1747" w:type="dxa"/>
            <w:vAlign w:val="top"/>
          </w:tcPr>
          <w:p>
            <w:pPr>
              <w:spacing w:line="360"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highlight w:val="none"/>
                <w:lang w:val="en-US" w:eastAsia="zh-CN"/>
              </w:rPr>
              <w:t>重汽科技大厦</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305会议室</w:t>
            </w:r>
          </w:p>
        </w:tc>
      </w:tr>
    </w:tbl>
    <w:p>
      <w:pPr>
        <w:pStyle w:val="22"/>
        <w:keepNext w:val="0"/>
        <w:widowControl/>
        <w:pBdr>
          <w:top w:val="single" w:color="auto" w:sz="48" w:space="0"/>
        </w:pBdr>
      </w:pPr>
      <w:bookmarkStart w:id="9" w:name="_Toc17566"/>
      <w:r>
        <w:rPr>
          <w:rFonts w:hint="eastAsia" w:cs="宋体"/>
        </w:rPr>
        <w:t>有关说明</w:t>
      </w:r>
      <w:bookmarkEnd w:id="9"/>
    </w:p>
    <w:p>
      <w:pPr>
        <w:pStyle w:val="24"/>
        <w:keepNext w:val="0"/>
        <w:widowControl/>
        <w:numPr>
          <w:ilvl w:val="1"/>
          <w:numId w:val="0"/>
        </w:numPr>
        <w:ind w:firstLine="562" w:firstLineChars="200"/>
      </w:pPr>
      <w:bookmarkStart w:id="10" w:name="_Toc852"/>
      <w:bookmarkStart w:id="11" w:name="_Toc270497415"/>
      <w:r>
        <w:rPr>
          <w:rFonts w:hint="eastAsia" w:cs="宋体"/>
        </w:rPr>
        <w:t>3.1总则</w:t>
      </w:r>
      <w:bookmarkEnd w:id="10"/>
      <w:bookmarkEnd w:id="11"/>
    </w:p>
    <w:p>
      <w:pPr>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根据中华人民共和国招标投标法，经中国重型汽车集团有限公司批准，现对</w:t>
      </w:r>
      <w:r>
        <w:rPr>
          <w:rFonts w:hint="eastAsia" w:ascii="Times New Roman" w:hAnsi="Times New Roman" w:eastAsia="宋体" w:cs="宋体"/>
          <w:sz w:val="24"/>
          <w:szCs w:val="22"/>
          <w:lang w:val="en-US" w:eastAsia="zh-CN"/>
        </w:rPr>
        <w:t>信息化资源池</w:t>
      </w:r>
      <w:r>
        <w:rPr>
          <w:rFonts w:hint="eastAsia" w:ascii="Times New Roman" w:hAnsi="Times New Roman" w:eastAsia="宋体" w:cs="宋体"/>
          <w:sz w:val="24"/>
          <w:szCs w:val="22"/>
        </w:rPr>
        <w:t>项目</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lang w:val="en-US" w:eastAsia="zh-CN"/>
        </w:rPr>
        <w:t>数据分析资源池</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rPr>
        <w:t>进行招标。</w:t>
      </w:r>
    </w:p>
    <w:p>
      <w:pPr>
        <w:pStyle w:val="24"/>
        <w:keepNext w:val="0"/>
        <w:widowControl/>
        <w:numPr>
          <w:ilvl w:val="1"/>
          <w:numId w:val="0"/>
        </w:numPr>
        <w:ind w:firstLine="562" w:firstLineChars="200"/>
      </w:pPr>
      <w:bookmarkStart w:id="12" w:name="_Toc19461"/>
      <w:r>
        <w:rPr>
          <w:rFonts w:hint="eastAsia" w:cs="宋体"/>
        </w:rPr>
        <w:t>3.2定义</w:t>
      </w:r>
      <w:bookmarkEnd w:id="12"/>
    </w:p>
    <w:p>
      <w:pPr>
        <w:pStyle w:val="25"/>
        <w:widowControl/>
        <w:numPr>
          <w:ilvl w:val="0"/>
          <w:numId w:val="6"/>
        </w:numPr>
      </w:pPr>
      <w:r>
        <w:rPr>
          <w:rFonts w:hint="eastAsia" w:cs="宋体"/>
        </w:rPr>
        <w:t>招标人：中国重汽集团济南动力有限公司</w:t>
      </w:r>
    </w:p>
    <w:p>
      <w:pPr>
        <w:pStyle w:val="25"/>
        <w:widowControl/>
        <w:numPr>
          <w:ilvl w:val="0"/>
          <w:numId w:val="6"/>
        </w:numPr>
      </w:pPr>
      <w:r>
        <w:rPr>
          <w:rFonts w:hint="eastAsia" w:cs="宋体"/>
        </w:rPr>
        <w:t>投标人：由招标人认可的符合投标资格的参加本项目投标的供应商</w:t>
      </w:r>
    </w:p>
    <w:p>
      <w:pPr>
        <w:pStyle w:val="25"/>
        <w:widowControl/>
        <w:numPr>
          <w:ilvl w:val="0"/>
          <w:numId w:val="6"/>
        </w:numPr>
      </w:pPr>
      <w:bookmarkStart w:id="13" w:name="_Toc270497418"/>
      <w:r>
        <w:rPr>
          <w:rFonts w:hint="eastAsia" w:cs="宋体"/>
        </w:rPr>
        <w:t>产品：指投标人为本项目提供的培训服务及项目交付物</w:t>
      </w:r>
    </w:p>
    <w:bookmarkEnd w:id="13"/>
    <w:p>
      <w:pPr>
        <w:pStyle w:val="24"/>
        <w:keepNext w:val="0"/>
        <w:widowControl/>
        <w:numPr>
          <w:ilvl w:val="1"/>
          <w:numId w:val="0"/>
        </w:numPr>
        <w:ind w:firstLine="562" w:firstLineChars="200"/>
      </w:pPr>
      <w:bookmarkStart w:id="14" w:name="_Toc270497419"/>
      <w:bookmarkStart w:id="15" w:name="_Toc9130"/>
      <w:r>
        <w:rPr>
          <w:rFonts w:hint="eastAsia" w:cs="宋体"/>
          <w:szCs w:val="24"/>
        </w:rPr>
        <w:t>3.3项目实施方</w:t>
      </w:r>
      <w:r>
        <w:rPr>
          <w:rFonts w:hint="eastAsia" w:cs="宋体"/>
        </w:rPr>
        <w:t>式</w:t>
      </w:r>
      <w:bookmarkEnd w:id="14"/>
      <w:bookmarkEnd w:id="15"/>
    </w:p>
    <w:p>
      <w:pPr>
        <w:pStyle w:val="21"/>
        <w:widowControl/>
        <w:adjustRightInd w:val="0"/>
        <w:snapToGrid w:val="0"/>
        <w:spacing w:line="300" w:lineRule="auto"/>
        <w:ind w:left="-105" w:leftChars="-50" w:firstLine="444" w:firstLineChars="185"/>
        <w:rPr>
          <w:szCs w:val="24"/>
        </w:rPr>
      </w:pPr>
      <w:r>
        <w:rPr>
          <w:rFonts w:hint="eastAsia" w:cs="宋体"/>
          <w:szCs w:val="24"/>
        </w:rPr>
        <w:t>本项目所采用的实施方式为第三方服务厂商服务。</w:t>
      </w:r>
    </w:p>
    <w:p>
      <w:pPr>
        <w:pStyle w:val="24"/>
        <w:keepNext w:val="0"/>
        <w:widowControl/>
        <w:numPr>
          <w:ilvl w:val="1"/>
          <w:numId w:val="0"/>
        </w:numPr>
        <w:ind w:firstLine="562" w:firstLineChars="200"/>
      </w:pPr>
      <w:bookmarkStart w:id="16" w:name="_Toc1793"/>
      <w:bookmarkStart w:id="17" w:name="_Toc264881857"/>
      <w:bookmarkStart w:id="18" w:name="_Toc234922352"/>
      <w:bookmarkStart w:id="19" w:name="_Toc265850577"/>
      <w:r>
        <w:rPr>
          <w:rFonts w:hint="eastAsia" w:cs="宋体"/>
        </w:rPr>
        <w:t>3.4投标人须知</w:t>
      </w:r>
      <w:bookmarkEnd w:id="16"/>
      <w:bookmarkEnd w:id="17"/>
      <w:bookmarkEnd w:id="18"/>
      <w:bookmarkEnd w:id="19"/>
    </w:p>
    <w:p>
      <w:pPr>
        <w:pStyle w:val="25"/>
        <w:widowControl/>
        <w:numPr>
          <w:ilvl w:val="0"/>
          <w:numId w:val="7"/>
        </w:numPr>
      </w:pPr>
      <w:r>
        <w:rPr>
          <w:rFonts w:hint="eastAsia" w:cs="宋体"/>
        </w:rPr>
        <w:t>投标人须确保遵守国家有关投标的</w:t>
      </w:r>
      <w:r>
        <w:rPr>
          <w:rFonts w:hint="eastAsia" w:cs="宋体"/>
          <w:lang w:val="en-US" w:eastAsia="zh-CN"/>
        </w:rPr>
        <w:t>法律、法规等相关要求</w:t>
      </w:r>
      <w:r>
        <w:rPr>
          <w:rFonts w:hint="eastAsia" w:cs="宋体"/>
        </w:rPr>
        <w:t>。</w:t>
      </w:r>
    </w:p>
    <w:p>
      <w:pPr>
        <w:pStyle w:val="25"/>
        <w:widowControl/>
        <w:numPr>
          <w:ilvl w:val="0"/>
          <w:numId w:val="7"/>
        </w:numPr>
      </w:pPr>
      <w:r>
        <w:rPr>
          <w:rFonts w:hint="eastAsia" w:cs="宋体"/>
        </w:rPr>
        <w:t>投标人须确保</w:t>
      </w:r>
      <w:r>
        <w:rPr>
          <w:rFonts w:hint="eastAsia" w:cs="宋体"/>
          <w:lang w:val="en-US" w:eastAsia="zh-CN"/>
        </w:rPr>
        <w:t>符合5.1招标要求中的招标人资质要求。</w:t>
      </w:r>
    </w:p>
    <w:p>
      <w:pPr>
        <w:pStyle w:val="25"/>
        <w:widowControl/>
        <w:numPr>
          <w:ilvl w:val="0"/>
          <w:numId w:val="7"/>
        </w:numPr>
      </w:pPr>
      <w:r>
        <w:rPr>
          <w:rFonts w:hint="eastAsia" w:cs="宋体"/>
        </w:rPr>
        <w:t>投标人须确保具有良好的商业信誉和诚实的职业道德。</w:t>
      </w:r>
    </w:p>
    <w:p>
      <w:pPr>
        <w:pStyle w:val="25"/>
        <w:widowControl/>
        <w:numPr>
          <w:ilvl w:val="0"/>
          <w:numId w:val="7"/>
        </w:numPr>
      </w:pPr>
      <w:r>
        <w:rPr>
          <w:rFonts w:hint="eastAsia" w:cs="宋体"/>
        </w:rPr>
        <w:t>投标人应仔细阅读并理解招标文件的全部内容，并做出实质性响应。</w:t>
      </w:r>
    </w:p>
    <w:p>
      <w:pPr>
        <w:pStyle w:val="25"/>
        <w:widowControl/>
        <w:numPr>
          <w:ilvl w:val="0"/>
          <w:numId w:val="7"/>
        </w:numPr>
      </w:pPr>
      <w:r>
        <w:rPr>
          <w:rFonts w:hint="eastAsia" w:cs="宋体"/>
        </w:rPr>
        <w:t>投标人须确保项目交付物的功能满足招标文件的要求。</w:t>
      </w:r>
    </w:p>
    <w:p>
      <w:pPr>
        <w:pStyle w:val="25"/>
        <w:widowControl/>
        <w:numPr>
          <w:ilvl w:val="0"/>
          <w:numId w:val="7"/>
        </w:numPr>
      </w:pPr>
      <w:r>
        <w:rPr>
          <w:rFonts w:hint="eastAsia" w:cs="宋体"/>
        </w:rPr>
        <w:t>投标人应当按照招标文件规定的内容和要求编制投标文件。</w:t>
      </w:r>
    </w:p>
    <w:p>
      <w:pPr>
        <w:pStyle w:val="25"/>
        <w:widowControl/>
        <w:numPr>
          <w:ilvl w:val="0"/>
          <w:numId w:val="7"/>
        </w:numPr>
      </w:pPr>
      <w:r>
        <w:rPr>
          <w:rFonts w:hint="eastAsia" w:cs="宋体"/>
        </w:rPr>
        <w:t>投标人须确保有能力在规定期限内完成招标文件规定的全部内容。</w:t>
      </w:r>
    </w:p>
    <w:p>
      <w:pPr>
        <w:pStyle w:val="25"/>
        <w:widowControl/>
        <w:numPr>
          <w:ilvl w:val="0"/>
          <w:numId w:val="7"/>
        </w:numPr>
      </w:pPr>
      <w:r>
        <w:rPr>
          <w:rFonts w:hint="eastAsia" w:cs="宋体"/>
        </w:rPr>
        <w:t>投标人在收到招标文件后，如有疑问，应以书面形式向招标人提出，招标人将以书面形式予以答复，但不说明答复的来源。</w:t>
      </w:r>
    </w:p>
    <w:p>
      <w:pPr>
        <w:pStyle w:val="25"/>
        <w:widowControl/>
        <w:numPr>
          <w:ilvl w:val="0"/>
          <w:numId w:val="7"/>
        </w:numPr>
      </w:pPr>
      <w:r>
        <w:rPr>
          <w:rFonts w:hint="eastAsia" w:cs="宋体"/>
        </w:rPr>
        <w:t>在投标截止日期前</w:t>
      </w:r>
      <w:r>
        <w:rPr>
          <w:color w:val="000000"/>
        </w:rPr>
        <w:t>5</w:t>
      </w:r>
      <w:r>
        <w:rPr>
          <w:rFonts w:hint="eastAsia" w:cs="宋体"/>
        </w:rPr>
        <w:t>天，招标人都可能会以补充通知的方式修改招标文件。</w:t>
      </w:r>
    </w:p>
    <w:p>
      <w:pPr>
        <w:pStyle w:val="25"/>
        <w:widowControl/>
        <w:numPr>
          <w:ilvl w:val="0"/>
          <w:numId w:val="7"/>
        </w:numPr>
      </w:pPr>
      <w:r>
        <w:rPr>
          <w:rFonts w:hint="eastAsia" w:cs="宋体"/>
        </w:rPr>
        <w:t>无论投标结果如何，投标人应承担编制投标文件、递交投标文件、考察等所涉及的一切费用。</w:t>
      </w:r>
    </w:p>
    <w:p>
      <w:pPr>
        <w:pStyle w:val="25"/>
        <w:widowControl/>
        <w:numPr>
          <w:ilvl w:val="0"/>
          <w:numId w:val="0"/>
        </w:numPr>
      </w:pPr>
      <w:r>
        <w:rPr>
          <w:rFonts w:hint="eastAsia" w:cs="宋体"/>
        </w:rPr>
        <w:t>10）招标人对未中标者不作任何解释。</w:t>
      </w:r>
    </w:p>
    <w:p>
      <w:pPr>
        <w:pStyle w:val="25"/>
        <w:widowControl/>
        <w:numPr>
          <w:ilvl w:val="0"/>
          <w:numId w:val="0"/>
        </w:numPr>
      </w:pPr>
      <w:r>
        <w:rPr>
          <w:rFonts w:hint="eastAsia" w:cs="宋体"/>
        </w:rPr>
        <w:t>11）如投标方代表不是法人代表，须持有盖有法人单位公章的《法人代表授权书》。</w:t>
      </w:r>
    </w:p>
    <w:p>
      <w:pPr>
        <w:pStyle w:val="25"/>
        <w:widowControl/>
        <w:numPr>
          <w:ilvl w:val="0"/>
          <w:numId w:val="0"/>
        </w:numPr>
        <w:rPr>
          <w:rFonts w:cs="宋体"/>
        </w:rPr>
      </w:pPr>
      <w:r>
        <w:rPr>
          <w:rFonts w:hint="eastAsia" w:cs="宋体"/>
        </w:rPr>
        <w:t>12）讲标方案需存储在</w:t>
      </w:r>
      <w:r>
        <w:rPr>
          <w:rFonts w:cs="宋体"/>
        </w:rPr>
        <w:t>U</w:t>
      </w:r>
      <w:r>
        <w:rPr>
          <w:rFonts w:hint="eastAsia" w:cs="宋体"/>
        </w:rPr>
        <w:t>盘中单独装入密封袋，随投标材料一并提供，投标人在讲标时不允许使用个人自带电脑，投标人在讲标时，须由拟担任招标项目建设的项目经理及项目组成员讲标，其中讲标和答疑时间控制在</w:t>
      </w:r>
      <w:r>
        <w:rPr>
          <w:rFonts w:hint="eastAsia"/>
        </w:rPr>
        <w:t>2</w:t>
      </w:r>
      <w:r>
        <w:t>0</w:t>
      </w:r>
      <w:r>
        <w:rPr>
          <w:rFonts w:hint="eastAsia"/>
        </w:rPr>
        <w:t>分钟</w:t>
      </w:r>
      <w:r>
        <w:rPr>
          <w:rFonts w:hint="eastAsia" w:cs="宋体"/>
        </w:rPr>
        <w:t>左右。若中标，非经招标人同意，项目经理及项目组成员不得在项目建设中途更换。</w:t>
      </w:r>
    </w:p>
    <w:p>
      <w:pPr>
        <w:pStyle w:val="25"/>
        <w:widowControl/>
        <w:numPr>
          <w:ilvl w:val="0"/>
          <w:numId w:val="0"/>
        </w:numPr>
      </w:pPr>
      <w:r>
        <w:rPr>
          <w:rFonts w:hint="eastAsia" w:cs="宋体"/>
        </w:rPr>
        <w:t>13) 关于保证金的收取</w:t>
      </w:r>
      <w:r>
        <w:rPr>
          <w:rFonts w:hint="eastAsia" w:cs="宋体"/>
          <w:lang w:eastAsia="zh-CN"/>
        </w:rPr>
        <w:t>，</w:t>
      </w:r>
      <w:r>
        <w:rPr>
          <w:rFonts w:hint="eastAsia" w:cs="宋体"/>
          <w:lang w:val="en-US" w:eastAsia="zh-CN"/>
        </w:rPr>
        <w:t>数据分析</w:t>
      </w:r>
      <w:r>
        <w:rPr>
          <w:rFonts w:hint="eastAsia" w:cs="宋体"/>
        </w:rPr>
        <w:t>资源池2万元人民币。投标人须在</w:t>
      </w:r>
      <w:r>
        <w:rPr>
          <w:rFonts w:hint="eastAsia" w:cs="宋体"/>
          <w:lang w:val="en-US" w:eastAsia="zh-CN"/>
        </w:rPr>
        <w:t>3</w:t>
      </w:r>
      <w:r>
        <w:rPr>
          <w:rFonts w:hint="eastAsia" w:cs="宋体"/>
        </w:rPr>
        <w:t>月</w:t>
      </w:r>
      <w:r>
        <w:rPr>
          <w:rFonts w:hint="eastAsia" w:cs="宋体"/>
          <w:lang w:val="en-US" w:eastAsia="zh-CN"/>
        </w:rPr>
        <w:t>25</w:t>
      </w:r>
      <w:r>
        <w:rPr>
          <w:rFonts w:hint="eastAsia" w:cs="宋体"/>
        </w:rPr>
        <w:t>日</w:t>
      </w:r>
      <w:r>
        <w:rPr>
          <w:rFonts w:hint="eastAsia" w:cs="宋体"/>
        </w:rPr>
        <w:t>17:</w:t>
      </w:r>
      <w:r>
        <w:rPr>
          <w:rFonts w:cs="宋体"/>
        </w:rPr>
        <w:t>00</w:t>
      </w:r>
      <w:r>
        <w:rPr>
          <w:rFonts w:hint="eastAsia" w:cs="宋体"/>
        </w:rPr>
        <w:t>前将投标保证金由投标人的基本户转出汇至如下账户：（</w:t>
      </w:r>
      <w:r>
        <w:rPr>
          <w:rFonts w:hint="eastAsia"/>
        </w:rPr>
        <w:t>汇款时请备注：2022年信息化资源池项目</w:t>
      </w:r>
      <w:r>
        <w:rPr>
          <w:rFonts w:hint="eastAsia"/>
          <w:lang w:val="en-US" w:eastAsia="zh-CN"/>
        </w:rPr>
        <w:t>x</w:t>
      </w:r>
      <w:r>
        <w:rPr>
          <w:rFonts w:hint="eastAsia"/>
        </w:rPr>
        <w:t>x保证金-xxx单位</w:t>
      </w:r>
      <w:r>
        <w:rPr>
          <w:rFonts w:hint="eastAsia" w:cs="宋体"/>
        </w:rPr>
        <w:t>）</w:t>
      </w:r>
    </w:p>
    <w:tbl>
      <w:tblPr>
        <w:tblStyle w:val="17"/>
        <w:tblW w:w="6823" w:type="dxa"/>
        <w:jc w:val="center"/>
        <w:tblLayout w:type="fixed"/>
        <w:tblCellMar>
          <w:top w:w="0" w:type="dxa"/>
          <w:left w:w="0" w:type="dxa"/>
          <w:bottom w:w="0" w:type="dxa"/>
          <w:right w:w="0" w:type="dxa"/>
        </w:tblCellMar>
      </w:tblPr>
      <w:tblGrid>
        <w:gridCol w:w="6823"/>
      </w:tblGrid>
      <w:tr>
        <w:tblPrEx>
          <w:tblCellMar>
            <w:top w:w="0" w:type="dxa"/>
            <w:left w:w="0" w:type="dxa"/>
            <w:bottom w:w="0" w:type="dxa"/>
            <w:right w:w="0" w:type="dxa"/>
          </w:tblCellMar>
        </w:tblPrEx>
        <w:trPr>
          <w:trHeight w:val="611" w:hRule="exact"/>
          <w:jc w:val="center"/>
        </w:trPr>
        <w:tc>
          <w:tcPr>
            <w:tcW w:w="6823" w:type="dxa"/>
            <w:tcBorders>
              <w:top w:val="single" w:color="000000" w:sz="4" w:space="0"/>
              <w:left w:val="single" w:color="000000" w:sz="4" w:space="0"/>
              <w:bottom w:val="single" w:color="000000" w:sz="4" w:space="0"/>
              <w:right w:val="single" w:color="000000" w:sz="4" w:space="0"/>
            </w:tcBorders>
          </w:tcPr>
          <w:p>
            <w:pPr>
              <w:pStyle w:val="32"/>
              <w:autoSpaceDN w:val="0"/>
              <w:spacing w:before="138"/>
              <w:ind w:left="105"/>
              <w:rPr>
                <w:rFonts w:ascii="Times New Roman" w:hAnsi="Times New Roman" w:cs="宋体"/>
                <w:sz w:val="24"/>
              </w:rPr>
            </w:pPr>
            <w:r>
              <w:rPr>
                <w:rFonts w:hint="eastAsia" w:ascii="Times New Roman" w:hAnsi="Times New Roman" w:cs="宋体"/>
                <w:sz w:val="24"/>
              </w:rPr>
              <w:t>开户银行：中国建设银行济南天桥支行</w:t>
            </w:r>
          </w:p>
        </w:tc>
      </w:tr>
      <w:tr>
        <w:tblPrEx>
          <w:tblCellMar>
            <w:top w:w="0" w:type="dxa"/>
            <w:left w:w="0" w:type="dxa"/>
            <w:bottom w:w="0" w:type="dxa"/>
            <w:right w:w="0" w:type="dxa"/>
          </w:tblCellMar>
        </w:tblPrEx>
        <w:trPr>
          <w:trHeight w:val="563" w:hRule="exact"/>
          <w:jc w:val="center"/>
        </w:trPr>
        <w:tc>
          <w:tcPr>
            <w:tcW w:w="6823" w:type="dxa"/>
            <w:tcBorders>
              <w:top w:val="single" w:color="000000" w:sz="4" w:space="0"/>
              <w:left w:val="single" w:color="000000" w:sz="4" w:space="0"/>
              <w:bottom w:val="single" w:color="000000" w:sz="4" w:space="0"/>
              <w:right w:val="single" w:color="000000" w:sz="4" w:space="0"/>
            </w:tcBorders>
          </w:tcPr>
          <w:p>
            <w:pPr>
              <w:pStyle w:val="32"/>
              <w:autoSpaceDN w:val="0"/>
              <w:spacing w:before="83"/>
              <w:ind w:left="105"/>
              <w:rPr>
                <w:rFonts w:ascii="Times New Roman" w:hAnsi="Times New Roman" w:cs="宋体"/>
                <w:sz w:val="24"/>
              </w:rPr>
            </w:pPr>
            <w:r>
              <w:rPr>
                <w:rFonts w:hint="eastAsia" w:ascii="Times New Roman" w:hAnsi="Times New Roman" w:cs="宋体"/>
                <w:sz w:val="24"/>
              </w:rPr>
              <w:t>户名：中国重汽集团济南动力有限公司</w:t>
            </w:r>
          </w:p>
        </w:tc>
      </w:tr>
      <w:tr>
        <w:tblPrEx>
          <w:tblCellMar>
            <w:top w:w="0" w:type="dxa"/>
            <w:left w:w="0" w:type="dxa"/>
            <w:bottom w:w="0" w:type="dxa"/>
            <w:right w:w="0" w:type="dxa"/>
          </w:tblCellMar>
        </w:tblPrEx>
        <w:trPr>
          <w:trHeight w:val="571" w:hRule="exact"/>
          <w:jc w:val="center"/>
        </w:trPr>
        <w:tc>
          <w:tcPr>
            <w:tcW w:w="6823" w:type="dxa"/>
            <w:tcBorders>
              <w:top w:val="single" w:color="000000" w:sz="4" w:space="0"/>
              <w:left w:val="single" w:color="000000" w:sz="4" w:space="0"/>
              <w:bottom w:val="single" w:color="000000" w:sz="4" w:space="0"/>
              <w:right w:val="single" w:color="000000" w:sz="4" w:space="0"/>
            </w:tcBorders>
          </w:tcPr>
          <w:p>
            <w:pPr>
              <w:pStyle w:val="32"/>
              <w:autoSpaceDN w:val="0"/>
              <w:spacing w:before="83"/>
              <w:ind w:left="105"/>
              <w:rPr>
                <w:rFonts w:ascii="Times New Roman" w:hAnsi="Times New Roman" w:cs="宋体"/>
                <w:sz w:val="24"/>
              </w:rPr>
            </w:pPr>
            <w:r>
              <w:rPr>
                <w:rFonts w:hint="eastAsia" w:ascii="Times New Roman" w:hAnsi="Times New Roman" w:cs="宋体"/>
                <w:sz w:val="24"/>
              </w:rPr>
              <w:t>账号：37001616508050150300</w:t>
            </w:r>
          </w:p>
        </w:tc>
      </w:tr>
      <w:tr>
        <w:tblPrEx>
          <w:tblCellMar>
            <w:top w:w="0" w:type="dxa"/>
            <w:left w:w="0" w:type="dxa"/>
            <w:bottom w:w="0" w:type="dxa"/>
            <w:right w:w="0" w:type="dxa"/>
          </w:tblCellMar>
        </w:tblPrEx>
        <w:trPr>
          <w:trHeight w:val="565" w:hRule="exact"/>
          <w:jc w:val="center"/>
        </w:trPr>
        <w:tc>
          <w:tcPr>
            <w:tcW w:w="6823" w:type="dxa"/>
            <w:tcBorders>
              <w:top w:val="single" w:color="000000" w:sz="4" w:space="0"/>
              <w:left w:val="single" w:color="000000" w:sz="4" w:space="0"/>
              <w:bottom w:val="single" w:color="000000" w:sz="4" w:space="0"/>
              <w:right w:val="single" w:color="000000" w:sz="4" w:space="0"/>
            </w:tcBorders>
          </w:tcPr>
          <w:p>
            <w:pPr>
              <w:pStyle w:val="32"/>
              <w:autoSpaceDN w:val="0"/>
              <w:spacing w:before="83"/>
              <w:ind w:left="105"/>
              <w:rPr>
                <w:rFonts w:ascii="Times New Roman" w:hAnsi="Times New Roman" w:cs="宋体"/>
                <w:sz w:val="24"/>
              </w:rPr>
            </w:pPr>
            <w:r>
              <w:rPr>
                <w:rFonts w:hint="eastAsia" w:ascii="Times New Roman" w:hAnsi="Times New Roman" w:cs="宋体"/>
                <w:sz w:val="24"/>
              </w:rPr>
              <w:t>纳税人识别号：91370100787411873C</w:t>
            </w:r>
          </w:p>
        </w:tc>
      </w:tr>
    </w:tbl>
    <w:p>
      <w:pPr>
        <w:adjustRightInd w:val="0"/>
        <w:snapToGrid w:val="0"/>
        <w:spacing w:line="360" w:lineRule="auto"/>
        <w:rPr>
          <w:rFonts w:ascii="Times New Roman" w:hAnsi="Times New Roman" w:eastAsia="宋体" w:cs="宋体"/>
          <w:sz w:val="24"/>
          <w:szCs w:val="22"/>
        </w:rPr>
      </w:pPr>
      <w:r>
        <w:rPr>
          <w:rFonts w:hint="eastAsia" w:ascii="Times New Roman" w:hAnsi="Times New Roman" w:eastAsia="宋体" w:cs="宋体"/>
          <w:sz w:val="24"/>
          <w:szCs w:val="22"/>
        </w:rPr>
        <w:t>1</w:t>
      </w:r>
      <w:r>
        <w:rPr>
          <w:rFonts w:ascii="Times New Roman" w:hAnsi="Times New Roman" w:eastAsia="宋体" w:cs="宋体"/>
          <w:sz w:val="24"/>
          <w:szCs w:val="22"/>
        </w:rPr>
        <w:t>4</w:t>
      </w:r>
      <w:r>
        <w:rPr>
          <w:rFonts w:hint="eastAsia" w:ascii="Times New Roman" w:hAnsi="Times New Roman" w:eastAsia="宋体" w:cs="宋体"/>
          <w:sz w:val="24"/>
          <w:szCs w:val="22"/>
        </w:rPr>
        <w:t>）</w:t>
      </w:r>
      <w:r>
        <w:rPr>
          <w:rFonts w:hint="eastAsia" w:ascii="Times New Roman" w:hAnsi="Times New Roman" w:eastAsia="宋体" w:cs="宋体"/>
          <w:sz w:val="24"/>
          <w:szCs w:val="22"/>
        </w:rPr>
        <w:tab/>
      </w:r>
      <w:r>
        <w:rPr>
          <w:rFonts w:hint="eastAsia" w:ascii="Times New Roman" w:hAnsi="Times New Roman" w:eastAsia="宋体" w:cs="宋体"/>
          <w:sz w:val="24"/>
          <w:szCs w:val="22"/>
        </w:rPr>
        <w:t>关于保证金的没收与退还。</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①截至开标前</w:t>
      </w:r>
      <w:r>
        <w:rPr>
          <w:rFonts w:ascii="Times New Roman" w:hAnsi="Times New Roman" w:eastAsia="宋体" w:cs="宋体"/>
          <w:sz w:val="24"/>
          <w:szCs w:val="22"/>
        </w:rPr>
        <w:t>3</w:t>
      </w:r>
      <w:r>
        <w:rPr>
          <w:rFonts w:hint="eastAsia" w:ascii="Times New Roman" w:hAnsi="Times New Roman" w:eastAsia="宋体" w:cs="宋体"/>
          <w:sz w:val="24"/>
          <w:szCs w:val="22"/>
        </w:rPr>
        <w:t>天，拟投标人无正当理由、未以书面形式递交说明而在投标截止日不来投标的</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lang w:val="en-US" w:eastAsia="zh-CN"/>
        </w:rPr>
        <w:t>没收保证金</w:t>
      </w:r>
      <w:r>
        <w:rPr>
          <w:rFonts w:hint="eastAsia" w:ascii="Times New Roman" w:hAnsi="Times New Roman" w:eastAsia="宋体" w:cs="宋体"/>
          <w:sz w:val="24"/>
          <w:szCs w:val="22"/>
        </w:rPr>
        <w:t>；</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②拟投标人递送文件后，无正当理由放弃投标的</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lang w:val="en-US" w:eastAsia="zh-CN"/>
        </w:rPr>
        <w:t>没收保证金</w:t>
      </w:r>
      <w:r>
        <w:rPr>
          <w:rFonts w:hint="eastAsia" w:ascii="Times New Roman" w:hAnsi="Times New Roman" w:eastAsia="宋体" w:cs="宋体"/>
          <w:sz w:val="24"/>
          <w:szCs w:val="22"/>
        </w:rPr>
        <w:t>；</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③自中标（成交）通知发出之日起</w:t>
      </w:r>
      <w:r>
        <w:rPr>
          <w:rFonts w:ascii="Times New Roman" w:hAnsi="Times New Roman" w:eastAsia="宋体" w:cs="宋体"/>
          <w:sz w:val="24"/>
          <w:szCs w:val="22"/>
        </w:rPr>
        <w:t>30</w:t>
      </w:r>
      <w:r>
        <w:rPr>
          <w:rFonts w:hint="eastAsia" w:ascii="Times New Roman" w:hAnsi="Times New Roman" w:eastAsia="宋体" w:cs="宋体"/>
          <w:sz w:val="24"/>
          <w:szCs w:val="22"/>
        </w:rPr>
        <w:t>日内，中标（成交）单位无正当理由不签订合同的</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lang w:val="en-US" w:eastAsia="zh-CN"/>
        </w:rPr>
        <w:t>没收保证金</w:t>
      </w:r>
      <w:r>
        <w:rPr>
          <w:rFonts w:hint="eastAsia" w:ascii="Times New Roman" w:hAnsi="Times New Roman" w:eastAsia="宋体" w:cs="宋体"/>
          <w:sz w:val="24"/>
          <w:szCs w:val="22"/>
        </w:rPr>
        <w:t>；</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④投标过程中被查实有串标、围标、陪标等违规违纪行为的</w:t>
      </w:r>
      <w:r>
        <w:rPr>
          <w:rFonts w:hint="eastAsia" w:ascii="Times New Roman" w:hAnsi="Times New Roman" w:eastAsia="宋体" w:cs="宋体"/>
          <w:sz w:val="24"/>
          <w:szCs w:val="22"/>
          <w:lang w:eastAsia="zh-CN"/>
        </w:rPr>
        <w:t>，</w:t>
      </w:r>
      <w:r>
        <w:rPr>
          <w:rFonts w:hint="eastAsia" w:ascii="Times New Roman" w:hAnsi="Times New Roman" w:eastAsia="宋体" w:cs="宋体"/>
          <w:sz w:val="24"/>
          <w:szCs w:val="22"/>
          <w:lang w:val="en-US" w:eastAsia="zh-CN"/>
        </w:rPr>
        <w:t>没收保证金</w:t>
      </w:r>
      <w:r>
        <w:rPr>
          <w:rFonts w:hint="eastAsia" w:ascii="Times New Roman" w:hAnsi="Times New Roman" w:eastAsia="宋体" w:cs="宋体"/>
          <w:sz w:val="24"/>
          <w:szCs w:val="22"/>
        </w:rPr>
        <w:t>；</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Times New Roman" w:hAnsi="Times New Roman" w:eastAsia="宋体" w:cs="宋体"/>
          <w:sz w:val="24"/>
          <w:szCs w:val="22"/>
        </w:rPr>
        <w:t>⑤投标人有违约违规行为或被投诉、举报的，在调查处理期间，保证金暂不退还，待调查处理结束后按有关规定处理；</w:t>
      </w:r>
    </w:p>
    <w:p>
      <w:pPr>
        <w:adjustRightInd w:val="0"/>
        <w:snapToGrid w:val="0"/>
        <w:spacing w:line="360" w:lineRule="auto"/>
        <w:ind w:firstLine="480" w:firstLineChars="200"/>
        <w:rPr>
          <w:rFonts w:ascii="Times New Roman" w:hAnsi="Times New Roman" w:eastAsia="宋体" w:cs="宋体"/>
          <w:sz w:val="24"/>
          <w:szCs w:val="22"/>
        </w:rPr>
      </w:pPr>
      <w:r>
        <w:rPr>
          <w:rFonts w:hint="eastAsia" w:ascii="宋体" w:hAnsi="宋体" w:eastAsia="宋体" w:cs="宋体"/>
          <w:sz w:val="24"/>
          <w:szCs w:val="22"/>
        </w:rPr>
        <w:t>⑥</w:t>
      </w:r>
      <w:r>
        <w:rPr>
          <w:rFonts w:hint="eastAsia" w:ascii="Times New Roman" w:hAnsi="Times New Roman" w:eastAsia="宋体" w:cs="宋体"/>
          <w:sz w:val="24"/>
          <w:szCs w:val="22"/>
        </w:rPr>
        <w:t>自中标（成交）通知发出之日起</w:t>
      </w:r>
      <w:r>
        <w:rPr>
          <w:rFonts w:ascii="Times New Roman" w:hAnsi="Times New Roman" w:eastAsia="宋体" w:cs="宋体"/>
          <w:sz w:val="24"/>
          <w:szCs w:val="22"/>
        </w:rPr>
        <w:t>5</w:t>
      </w:r>
      <w:r>
        <w:rPr>
          <w:rFonts w:hint="eastAsia" w:ascii="Times New Roman" w:hAnsi="Times New Roman" w:eastAsia="宋体" w:cs="宋体"/>
          <w:sz w:val="24"/>
          <w:szCs w:val="22"/>
        </w:rPr>
        <w:t>个工作日内，退还未中标（成交）单位的投标保证金；合同签订后5个工作日内，退还中标（成交）单位的保证金。</w:t>
      </w:r>
    </w:p>
    <w:p>
      <w:pPr>
        <w:adjustRightInd w:val="0"/>
        <w:snapToGrid w:val="0"/>
        <w:spacing w:line="360" w:lineRule="auto"/>
        <w:ind w:firstLine="480" w:firstLineChars="200"/>
        <w:rPr>
          <w:rFonts w:ascii="宋体" w:hAnsi="宋体" w:eastAsia="宋体" w:cs="宋体"/>
          <w:sz w:val="24"/>
          <w:szCs w:val="22"/>
        </w:rPr>
      </w:pPr>
      <w:r>
        <w:rPr>
          <w:rFonts w:ascii="宋体" w:hAnsi="宋体" w:eastAsia="宋体" w:cs="宋体"/>
          <w:sz w:val="24"/>
          <w:szCs w:val="22"/>
        </w:rPr>
        <w:fldChar w:fldCharType="begin"/>
      </w:r>
      <w:r>
        <w:rPr>
          <w:rFonts w:ascii="宋体" w:hAnsi="宋体" w:eastAsia="宋体" w:cs="宋体"/>
          <w:sz w:val="24"/>
          <w:szCs w:val="22"/>
        </w:rPr>
        <w:instrText xml:space="preserve"> </w:instrText>
      </w:r>
      <w:r>
        <w:rPr>
          <w:rFonts w:hint="eastAsia" w:ascii="宋体" w:hAnsi="宋体" w:eastAsia="宋体" w:cs="宋体"/>
          <w:sz w:val="24"/>
          <w:szCs w:val="22"/>
        </w:rPr>
        <w:instrText xml:space="preserve">= 7 \* GB3</w:instrText>
      </w:r>
      <w:r>
        <w:rPr>
          <w:rFonts w:ascii="宋体" w:hAnsi="宋体" w:eastAsia="宋体" w:cs="宋体"/>
          <w:sz w:val="24"/>
          <w:szCs w:val="22"/>
        </w:rPr>
        <w:instrText xml:space="preserve"> </w:instrText>
      </w:r>
      <w:r>
        <w:rPr>
          <w:rFonts w:ascii="宋体" w:hAnsi="宋体" w:eastAsia="宋体" w:cs="宋体"/>
          <w:sz w:val="24"/>
          <w:szCs w:val="22"/>
        </w:rPr>
        <w:fldChar w:fldCharType="separate"/>
      </w:r>
      <w:r>
        <w:rPr>
          <w:rFonts w:hint="eastAsia" w:ascii="宋体" w:hAnsi="宋体" w:eastAsia="宋体" w:cs="宋体"/>
          <w:sz w:val="24"/>
          <w:szCs w:val="22"/>
        </w:rPr>
        <w:t>⑦</w:t>
      </w:r>
      <w:r>
        <w:rPr>
          <w:rFonts w:ascii="宋体" w:hAnsi="宋体" w:eastAsia="宋体" w:cs="宋体"/>
          <w:sz w:val="24"/>
          <w:szCs w:val="22"/>
        </w:rPr>
        <w:fldChar w:fldCharType="end"/>
      </w:r>
      <w:r>
        <w:rPr>
          <w:rFonts w:hint="eastAsia" w:ascii="宋体" w:hAnsi="宋体" w:eastAsia="宋体" w:cs="宋体"/>
          <w:sz w:val="24"/>
          <w:szCs w:val="22"/>
        </w:rPr>
        <w:t>投标保证金退还时，为无息退还。</w:t>
      </w:r>
    </w:p>
    <w:p>
      <w:pPr>
        <w:pStyle w:val="25"/>
        <w:widowControl/>
        <w:numPr>
          <w:ilvl w:val="0"/>
          <w:numId w:val="0"/>
        </w:numPr>
        <w:rPr>
          <w:rFonts w:cs="宋体"/>
        </w:rPr>
      </w:pPr>
    </w:p>
    <w:p>
      <w:pPr>
        <w:pStyle w:val="22"/>
        <w:keepNext w:val="0"/>
        <w:widowControl/>
        <w:rPr>
          <w:rFonts w:cs="宋体"/>
        </w:rPr>
      </w:pPr>
      <w:bookmarkStart w:id="20" w:name="_Toc24542"/>
      <w:r>
        <w:rPr>
          <w:rFonts w:hint="eastAsia" w:cs="宋体"/>
        </w:rPr>
        <w:t>交货及付款</w:t>
      </w:r>
      <w:bookmarkEnd w:id="20"/>
    </w:p>
    <w:p>
      <w:pPr>
        <w:tabs>
          <w:tab w:val="left" w:pos="0"/>
        </w:tabs>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bidi="ar"/>
        </w:rPr>
        <w:t>项目实施小组进驻时间：收到中标通知后</w:t>
      </w:r>
      <w:r>
        <w:rPr>
          <w:rFonts w:hint="eastAsia" w:ascii="宋体" w:hAnsi="宋体" w:eastAsia="宋体" w:cs="宋体"/>
          <w:color w:val="000000" w:themeColor="text1"/>
          <w:kern w:val="0"/>
          <w:sz w:val="24"/>
          <w:lang w:bidi="ar"/>
          <w14:textFill>
            <w14:solidFill>
              <w14:schemeClr w14:val="tx1"/>
            </w14:solidFill>
          </w14:textFill>
        </w:rPr>
        <w:t>5</w:t>
      </w:r>
      <w:r>
        <w:rPr>
          <w:rFonts w:hint="eastAsia" w:ascii="宋体" w:hAnsi="宋体" w:eastAsia="宋体" w:cs="宋体"/>
          <w:kern w:val="0"/>
          <w:sz w:val="24"/>
          <w:lang w:bidi="ar"/>
        </w:rPr>
        <w:t>个工作日内。</w:t>
      </w:r>
    </w:p>
    <w:p>
      <w:pPr>
        <w:tabs>
          <w:tab w:val="left" w:pos="0"/>
        </w:tabs>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bidi="ar"/>
        </w:rPr>
        <w:t>实施地点：招标人指定地点。</w:t>
      </w:r>
    </w:p>
    <w:p>
      <w:pPr>
        <w:tabs>
          <w:tab w:val="left" w:pos="0"/>
        </w:tabs>
        <w:spacing w:line="360" w:lineRule="auto"/>
        <w:ind w:firstLine="480" w:firstLineChars="200"/>
      </w:pPr>
      <w:r>
        <w:rPr>
          <w:rFonts w:hint="eastAsia" w:ascii="宋体" w:hAnsi="宋体" w:eastAsia="宋体" w:cs="宋体"/>
          <w:kern w:val="0"/>
          <w:sz w:val="24"/>
          <w:lang w:bidi="ar"/>
        </w:rPr>
        <w:t>交货方式：交钥匙</w:t>
      </w:r>
    </w:p>
    <w:p>
      <w:pPr>
        <w:pStyle w:val="25"/>
        <w:widowControl/>
        <w:numPr>
          <w:ilvl w:val="0"/>
          <w:numId w:val="0"/>
        </w:numPr>
        <w:ind w:firstLine="480" w:firstLineChars="200"/>
        <w:rPr>
          <w:rFonts w:ascii="宋体" w:hAnsi="宋体" w:cs="宋体"/>
        </w:rPr>
      </w:pPr>
      <w:r>
        <w:rPr>
          <w:rFonts w:hint="eastAsia" w:ascii="宋体" w:hAnsi="宋体" w:cs="宋体"/>
          <w:kern w:val="0"/>
        </w:rPr>
        <w:t>付款方式：</w:t>
      </w:r>
      <w:r>
        <w:rPr>
          <w:rFonts w:hint="eastAsia" w:ascii="宋体" w:hAnsi="宋体" w:cs="宋体"/>
        </w:rPr>
        <w:t xml:space="preserve">银行承兑。按实际需求结算。 </w:t>
      </w:r>
    </w:p>
    <w:p>
      <w:pPr>
        <w:pStyle w:val="22"/>
        <w:numPr>
          <w:ilvl w:val="0"/>
          <w:numId w:val="0"/>
        </w:numPr>
      </w:pPr>
      <w:bookmarkStart w:id="21" w:name="_Toc18320"/>
      <w:r>
        <w:rPr>
          <w:rFonts w:hint="eastAsia"/>
        </w:rPr>
        <w:t>5投标说明</w:t>
      </w:r>
      <w:bookmarkEnd w:id="21"/>
    </w:p>
    <w:p>
      <w:pPr>
        <w:pStyle w:val="24"/>
        <w:keepNext w:val="0"/>
        <w:widowControl/>
        <w:numPr>
          <w:ilvl w:val="1"/>
          <w:numId w:val="0"/>
        </w:numPr>
        <w:ind w:firstLine="562" w:firstLineChars="200"/>
      </w:pPr>
      <w:bookmarkStart w:id="22" w:name="_Toc2250"/>
      <w:r>
        <w:rPr>
          <w:rFonts w:hint="eastAsia" w:cs="宋体"/>
        </w:rPr>
        <w:t>5.1招标要求</w:t>
      </w:r>
      <w:bookmarkEnd w:id="22"/>
    </w:p>
    <w:tbl>
      <w:tblPr>
        <w:tblStyle w:val="17"/>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5"/>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序号</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内容</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1</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keepNext w:val="0"/>
              <w:keepLines w:val="0"/>
              <w:numPr>
                <w:ilvl w:val="3"/>
                <w:numId w:val="0"/>
              </w:numPr>
              <w:tabs>
                <w:tab w:val="left" w:pos="420"/>
              </w:tabs>
              <w:spacing w:before="0" w:after="0"/>
              <w:ind w:firstLine="210" w:firstLineChars="100"/>
              <w:jc w:val="both"/>
              <w:rPr>
                <w:rFonts w:ascii="宋体" w:hAnsi="宋体" w:eastAsia="宋体" w:cs="宋体"/>
                <w:b w:val="0"/>
                <w:color w:val="000000"/>
                <w:sz w:val="21"/>
                <w:szCs w:val="21"/>
              </w:rPr>
            </w:pPr>
            <w:r>
              <w:rPr>
                <w:rFonts w:hint="eastAsia" w:ascii="宋体" w:hAnsi="宋体" w:eastAsia="宋体" w:cs="宋体"/>
                <w:b w:val="0"/>
                <w:color w:val="000000"/>
                <w:sz w:val="21"/>
                <w:szCs w:val="21"/>
              </w:rPr>
              <w:t>邀标人名称</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keepNext w:val="0"/>
              <w:keepLines w:val="0"/>
              <w:numPr>
                <w:ilvl w:val="1"/>
                <w:numId w:val="0"/>
              </w:numPr>
              <w:spacing w:before="0" w:after="0" w:line="240" w:lineRule="auto"/>
              <w:ind w:left="420" w:firstLine="1260" w:firstLineChars="600"/>
              <w:jc w:val="both"/>
              <w:rPr>
                <w:rFonts w:eastAsia="宋体"/>
                <w:szCs w:val="21"/>
              </w:rPr>
            </w:pPr>
            <w:bookmarkStart w:id="23" w:name="_Toc16675"/>
            <w:bookmarkStart w:id="24" w:name="_Toc11928"/>
            <w:r>
              <w:rPr>
                <w:rFonts w:hint="eastAsia" w:cs="黑体"/>
                <w:b w:val="0"/>
                <w:bCs/>
                <w:color w:val="auto"/>
                <w:szCs w:val="21"/>
              </w:rPr>
              <w:t>中国重汽集团济南动力有限公司</w:t>
            </w:r>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2</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lang w:bidi="ar"/>
              </w:rPr>
            </w:pPr>
            <w:r>
              <w:rPr>
                <w:rFonts w:hint="eastAsia" w:ascii="宋体" w:hAnsi="宋体" w:eastAsia="宋体" w:cs="宋体"/>
                <w:color w:val="000000"/>
                <w:szCs w:val="21"/>
                <w:lang w:bidi="ar"/>
              </w:rPr>
              <w:t>投标人资质要求</w:t>
            </w:r>
          </w:p>
          <w:p>
            <w:pPr>
              <w:jc w:val="center"/>
              <w:rPr>
                <w:rFonts w:ascii="宋体" w:hAnsi="宋体" w:eastAsia="宋体" w:cs="宋体"/>
                <w:szCs w:val="21"/>
                <w:lang w:bidi="ar"/>
              </w:rPr>
            </w:pP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32"/>
              </w:tabs>
              <w:jc w:val="left"/>
              <w:rPr>
                <w:rFonts w:ascii="宋体" w:hAnsi="宋体" w:eastAsia="宋体" w:cs="宋体"/>
                <w:szCs w:val="21"/>
                <w:lang w:bidi="ar"/>
              </w:rPr>
            </w:pPr>
            <w:r>
              <w:rPr>
                <w:rFonts w:hint="eastAsia" w:ascii="宋体" w:hAnsi="宋体" w:eastAsia="宋体" w:cs="宋体"/>
                <w:szCs w:val="21"/>
                <w:lang w:bidi="ar"/>
              </w:rPr>
              <w:t xml:space="preserve">（1）投标人成立五年以上，至开标之日计算，注册资金不低于1000万元人民币，具有独立法人资格，并具有良好信誉和业绩； </w:t>
            </w:r>
          </w:p>
          <w:p>
            <w:pPr>
              <w:tabs>
                <w:tab w:val="left" w:pos="2532"/>
              </w:tabs>
              <w:jc w:val="left"/>
              <w:rPr>
                <w:rFonts w:ascii="宋体" w:hAnsi="宋体" w:eastAsia="宋体" w:cs="宋体"/>
                <w:szCs w:val="21"/>
                <w:lang w:bidi="ar"/>
              </w:rPr>
            </w:pPr>
            <w:r>
              <w:rPr>
                <w:rFonts w:hint="eastAsia" w:ascii="宋体" w:hAnsi="宋体" w:eastAsia="宋体" w:cs="宋体"/>
                <w:szCs w:val="21"/>
                <w:lang w:bidi="ar"/>
              </w:rPr>
              <w:t>（2）投标人应具有主流数据分析和报表开发工具使用及运维服务的能力，需要提供2019年至今制造行业合作客户的合同案例，且合同案例金额不低于</w:t>
            </w:r>
            <w:r>
              <w:rPr>
                <w:rFonts w:ascii="宋体" w:hAnsi="宋体" w:eastAsia="宋体" w:cs="宋体"/>
                <w:szCs w:val="21"/>
                <w:lang w:bidi="ar"/>
              </w:rPr>
              <w:t>50</w:t>
            </w:r>
            <w:r>
              <w:rPr>
                <w:rFonts w:hint="eastAsia" w:ascii="宋体" w:hAnsi="宋体" w:eastAsia="宋体" w:cs="宋体"/>
                <w:szCs w:val="21"/>
                <w:lang w:bidi="ar"/>
              </w:rPr>
              <w:t>万。</w:t>
            </w:r>
          </w:p>
          <w:p>
            <w:pPr>
              <w:tabs>
                <w:tab w:val="left" w:pos="2532"/>
              </w:tabs>
              <w:jc w:val="left"/>
              <w:rPr>
                <w:rFonts w:ascii="宋体" w:hAnsi="宋体" w:eastAsia="宋体" w:cs="宋体"/>
                <w:szCs w:val="21"/>
                <w:lang w:bidi="ar"/>
              </w:rPr>
            </w:pPr>
            <w:r>
              <w:rPr>
                <w:rFonts w:hint="eastAsia" w:ascii="宋体" w:hAnsi="宋体" w:eastAsia="宋体" w:cs="宋体"/>
                <w:szCs w:val="21"/>
                <w:lang w:bidi="ar"/>
              </w:rPr>
              <w:t>（3）投标人遵守执业准则和执业规范，近1年内没有违法、违规或行业自律惩戒记录。</w:t>
            </w:r>
          </w:p>
          <w:p>
            <w:pPr>
              <w:tabs>
                <w:tab w:val="left" w:pos="2532"/>
              </w:tabs>
              <w:jc w:val="left"/>
              <w:rPr>
                <w:rFonts w:ascii="宋体" w:hAnsi="宋体" w:eastAsia="宋体" w:cs="宋体"/>
                <w:szCs w:val="21"/>
                <w:lang w:bidi="ar"/>
              </w:rPr>
            </w:pPr>
            <w:r>
              <w:rPr>
                <w:rFonts w:hint="eastAsia" w:ascii="宋体" w:hAnsi="宋体" w:eastAsia="宋体" w:cs="宋体"/>
                <w:szCs w:val="21"/>
                <w:lang w:bidi="ar"/>
              </w:rPr>
              <w:t>（4）投标人须具有良好财务状况，需提供经会计师事务所出具的近三年的财务审计报告复印件加盖公章</w:t>
            </w:r>
            <w:r>
              <w:rPr>
                <w:rFonts w:hint="eastAsia" w:cs="宋体"/>
                <w:lang w:eastAsia="zh-CN"/>
              </w:rPr>
              <w:t>（</w:t>
            </w:r>
            <w:r>
              <w:rPr>
                <w:rFonts w:hint="eastAsia" w:cs="宋体"/>
                <w:lang w:val="en-US" w:eastAsia="zh-CN"/>
              </w:rPr>
              <w:t>2019-2021年</w:t>
            </w:r>
            <w:r>
              <w:rPr>
                <w:rFonts w:hint="eastAsia" w:cs="宋体"/>
                <w:lang w:eastAsia="zh-CN"/>
              </w:rPr>
              <w:t>）</w:t>
            </w:r>
            <w:r>
              <w:rPr>
                <w:rFonts w:hint="eastAsia" w:ascii="宋体" w:hAnsi="宋体" w:eastAsia="宋体" w:cs="宋体"/>
                <w:szCs w:val="21"/>
                <w:lang w:bidi="ar"/>
              </w:rPr>
              <w:t>，原件备查。</w:t>
            </w:r>
          </w:p>
          <w:p>
            <w:pPr>
              <w:tabs>
                <w:tab w:val="left" w:pos="2532"/>
              </w:tabs>
              <w:jc w:val="left"/>
              <w:rPr>
                <w:rFonts w:ascii="宋体" w:hAnsi="宋体" w:eastAsia="宋体" w:cs="宋体"/>
                <w:szCs w:val="21"/>
                <w:lang w:bidi="ar"/>
              </w:rPr>
            </w:pPr>
            <w:r>
              <w:rPr>
                <w:rFonts w:hint="eastAsia" w:ascii="宋体" w:hAnsi="宋体" w:eastAsia="宋体" w:cs="宋体"/>
                <w:szCs w:val="21"/>
                <w:lang w:bidi="ar"/>
              </w:rPr>
              <w:t>（5）出具信用中国网站信用信息报告加盖公章。</w:t>
            </w:r>
          </w:p>
          <w:p>
            <w:pPr>
              <w:tabs>
                <w:tab w:val="left" w:pos="2532"/>
              </w:tabs>
              <w:jc w:val="left"/>
              <w:rPr>
                <w:rFonts w:ascii="宋体" w:hAnsi="宋体" w:eastAsia="宋体" w:cs="宋体"/>
                <w:szCs w:val="21"/>
                <w:lang w:bidi="ar"/>
              </w:rPr>
            </w:pPr>
            <w:r>
              <w:rPr>
                <w:rFonts w:hint="eastAsia" w:ascii="宋体" w:hAnsi="宋体" w:eastAsia="宋体" w:cs="宋体"/>
                <w:szCs w:val="21"/>
                <w:lang w:bidi="ar"/>
              </w:rPr>
              <w:t>（6）须具备CMMI3及以上级别的认证，或同等认证。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3</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lang w:bidi="ar"/>
              </w:rPr>
              <w:t>是否允许代理商投标</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Cs/>
                <w:color w:val="000000"/>
                <w:szCs w:val="21"/>
              </w:rPr>
            </w:pPr>
            <w:r>
              <w:rPr>
                <w:rFonts w:hint="eastAsia" w:ascii="宋体" w:hAnsi="宋体" w:eastAsia="宋体" w:cs="宋体"/>
                <w:bCs/>
                <w:color w:val="000000"/>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4</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Cs w:val="21"/>
                <w:lang w:bidi="ar"/>
              </w:rPr>
            </w:pPr>
            <w:r>
              <w:rPr>
                <w:rFonts w:hint="eastAsia" w:ascii="宋体" w:hAnsi="宋体" w:eastAsia="宋体" w:cs="宋体"/>
                <w:color w:val="000000"/>
                <w:szCs w:val="21"/>
                <w:lang w:bidi="ar"/>
              </w:rPr>
              <w:t>投标人应提交的</w:t>
            </w:r>
          </w:p>
          <w:p>
            <w:pPr>
              <w:jc w:val="left"/>
              <w:rPr>
                <w:rFonts w:ascii="宋体" w:hAnsi="宋体" w:eastAsia="宋体" w:cs="宋体"/>
                <w:color w:val="000000"/>
                <w:szCs w:val="21"/>
              </w:rPr>
            </w:pPr>
            <w:r>
              <w:rPr>
                <w:rFonts w:hint="eastAsia" w:ascii="宋体" w:hAnsi="宋体" w:eastAsia="宋体" w:cs="宋体"/>
                <w:color w:val="000000"/>
                <w:szCs w:val="21"/>
                <w:lang w:bidi="ar"/>
              </w:rPr>
              <w:t>商务文件</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8"/>
              </w:numPr>
              <w:tabs>
                <w:tab w:val="left" w:pos="2532"/>
              </w:tabs>
              <w:jc w:val="left"/>
            </w:pPr>
            <w:r>
              <w:rPr>
                <w:rFonts w:hint="eastAsia"/>
              </w:rPr>
              <w:t>法定代表人授权委托书；</w:t>
            </w:r>
          </w:p>
          <w:p>
            <w:pPr>
              <w:numPr>
                <w:ilvl w:val="0"/>
                <w:numId w:val="8"/>
              </w:numPr>
              <w:tabs>
                <w:tab w:val="left" w:pos="2532"/>
              </w:tabs>
              <w:jc w:val="left"/>
            </w:pPr>
            <w:r>
              <w:rPr>
                <w:rFonts w:hint="eastAsia"/>
              </w:rPr>
              <w:t>董事会、监事会成员信息；</w:t>
            </w:r>
          </w:p>
          <w:p>
            <w:pPr>
              <w:tabs>
                <w:tab w:val="left" w:pos="2532"/>
              </w:tabs>
              <w:jc w:val="left"/>
            </w:pPr>
            <w:r>
              <w:rPr>
                <w:rFonts w:hint="eastAsia"/>
              </w:rPr>
              <w:t>（3）营业执照（投标人应提交有效的企业法人营业执照副本复印件，并加盖投标人公章，按规定需要年检的，年检章要清楚）；</w:t>
            </w:r>
          </w:p>
          <w:p>
            <w:pPr>
              <w:tabs>
                <w:tab w:val="left" w:pos="2532"/>
              </w:tabs>
              <w:jc w:val="left"/>
            </w:pPr>
            <w:r>
              <w:rPr>
                <w:rFonts w:hint="eastAsia"/>
              </w:rPr>
              <w:t>（4）一般纳税人证明文件；</w:t>
            </w:r>
          </w:p>
          <w:p>
            <w:pPr>
              <w:tabs>
                <w:tab w:val="left" w:pos="2532"/>
              </w:tabs>
              <w:jc w:val="left"/>
            </w:pPr>
            <w:r>
              <w:rPr>
                <w:rFonts w:hint="eastAsia"/>
              </w:rPr>
              <w:t>（5）案例合同复印件盖章；</w:t>
            </w:r>
          </w:p>
          <w:p>
            <w:pPr>
              <w:tabs>
                <w:tab w:val="left" w:pos="2532"/>
              </w:tabs>
              <w:jc w:val="left"/>
              <w:rPr>
                <w:rFonts w:ascii="宋体" w:hAnsi="宋体" w:eastAsia="宋体" w:cs="宋体"/>
                <w:color w:val="000000"/>
                <w:szCs w:val="21"/>
              </w:rPr>
            </w:pPr>
            <w:r>
              <w:rPr>
                <w:rFonts w:hint="eastAsia"/>
              </w:rPr>
              <w:t>（6）要求的认证证书。详见6.2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5</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lang w:bidi="ar"/>
              </w:rPr>
              <w:t>服务说明</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32"/>
              </w:tabs>
              <w:jc w:val="left"/>
              <w:rPr>
                <w:rFonts w:ascii="宋体" w:hAnsi="宋体" w:eastAsia="宋体" w:cs="宋体"/>
                <w:szCs w:val="21"/>
              </w:rPr>
            </w:pPr>
            <w:r>
              <w:rPr>
                <w:rFonts w:hint="eastAsia" w:ascii="宋体" w:hAnsi="宋体" w:eastAsia="宋体" w:cs="宋体"/>
                <w:kern w:val="0"/>
                <w:szCs w:val="21"/>
                <w:lang w:bidi="ar"/>
              </w:rPr>
              <w:t>投标人</w:t>
            </w:r>
            <w:r>
              <w:rPr>
                <w:rFonts w:hint="eastAsia" w:ascii="宋体" w:hAnsi="宋体" w:eastAsia="宋体" w:cs="宋体"/>
                <w:kern w:val="0"/>
                <w:lang w:bidi="ar"/>
              </w:rPr>
              <w:t>有完善服务组织体系，并配有专业的技术队伍，能提供快捷的售后服务响应。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6</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Cs w:val="21"/>
                <w:lang w:bidi="ar"/>
              </w:rPr>
            </w:pPr>
            <w:r>
              <w:rPr>
                <w:rFonts w:hint="eastAsia" w:ascii="宋体" w:hAnsi="宋体" w:eastAsia="宋体" w:cs="宋体"/>
                <w:color w:val="000000"/>
                <w:szCs w:val="21"/>
                <w:lang w:bidi="ar"/>
              </w:rPr>
              <w:t>投标人应提交的</w:t>
            </w:r>
          </w:p>
          <w:p>
            <w:pPr>
              <w:jc w:val="left"/>
              <w:rPr>
                <w:rFonts w:ascii="宋体" w:hAnsi="宋体" w:eastAsia="宋体" w:cs="宋体"/>
                <w:color w:val="000000"/>
                <w:szCs w:val="21"/>
              </w:rPr>
            </w:pPr>
            <w:r>
              <w:rPr>
                <w:rFonts w:hint="eastAsia" w:ascii="宋体" w:hAnsi="宋体" w:eastAsia="宋体" w:cs="宋体"/>
                <w:color w:val="000000"/>
                <w:szCs w:val="21"/>
                <w:lang w:bidi="ar"/>
              </w:rPr>
              <w:t>技术文件</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lang w:bidi="ar"/>
              </w:rPr>
              <w:t>（1）投标人自行编写的技术文件；</w:t>
            </w:r>
          </w:p>
          <w:p>
            <w:pPr>
              <w:tabs>
                <w:tab w:val="left" w:pos="556"/>
              </w:tabs>
              <w:rPr>
                <w:rFonts w:ascii="宋体" w:hAnsi="宋体" w:eastAsia="宋体" w:cs="宋体"/>
                <w:color w:val="000000"/>
                <w:szCs w:val="21"/>
              </w:rPr>
            </w:pPr>
            <w:r>
              <w:rPr>
                <w:rFonts w:hint="eastAsia" w:ascii="宋体" w:hAnsi="宋体" w:eastAsia="宋体" w:cs="宋体"/>
                <w:color w:val="000000"/>
                <w:szCs w:val="21"/>
                <w:lang w:bidi="ar"/>
              </w:rPr>
              <w:t>（2）投标人认为需要提供的其它说明和资料。详见6.2节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7</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Cs w:val="21"/>
              </w:rPr>
            </w:pPr>
            <w:r>
              <w:rPr>
                <w:rFonts w:hint="eastAsia" w:ascii="宋体" w:hAnsi="宋体" w:eastAsia="宋体" w:cs="宋体"/>
                <w:color w:val="000000"/>
                <w:szCs w:val="21"/>
                <w:lang w:bidi="ar"/>
              </w:rPr>
              <w:t>投标人自行编写的</w:t>
            </w:r>
          </w:p>
          <w:p>
            <w:pPr>
              <w:jc w:val="left"/>
              <w:rPr>
                <w:rFonts w:ascii="宋体" w:hAnsi="宋体" w:eastAsia="宋体" w:cs="宋体"/>
                <w:color w:val="000000"/>
                <w:szCs w:val="21"/>
              </w:rPr>
            </w:pPr>
            <w:r>
              <w:rPr>
                <w:rFonts w:hint="eastAsia" w:ascii="宋体" w:hAnsi="宋体" w:eastAsia="宋体" w:cs="宋体"/>
                <w:color w:val="000000"/>
                <w:szCs w:val="21"/>
                <w:lang w:bidi="ar"/>
              </w:rPr>
              <w:t>技术文件应包含内容</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9"/>
              </w:numPr>
              <w:tabs>
                <w:tab w:val="left" w:pos="556"/>
                <w:tab w:val="left" w:pos="612"/>
              </w:tabs>
              <w:ind w:left="556" w:hanging="567"/>
              <w:rPr>
                <w:rFonts w:ascii="宋体" w:hAnsi="宋体" w:eastAsia="宋体" w:cs="宋体"/>
                <w:color w:val="000000"/>
                <w:szCs w:val="21"/>
              </w:rPr>
            </w:pPr>
            <w:r>
              <w:rPr>
                <w:rFonts w:hint="eastAsia" w:ascii="宋体" w:hAnsi="宋体" w:eastAsia="宋体" w:cs="宋体"/>
                <w:color w:val="000000"/>
                <w:szCs w:val="21"/>
                <w:lang w:bidi="ar"/>
              </w:rPr>
              <w:t>项目规划方案</w:t>
            </w:r>
          </w:p>
          <w:p>
            <w:pPr>
              <w:numPr>
                <w:ilvl w:val="0"/>
                <w:numId w:val="9"/>
              </w:numPr>
              <w:tabs>
                <w:tab w:val="left" w:pos="556"/>
                <w:tab w:val="left" w:pos="612"/>
              </w:tabs>
              <w:ind w:left="556" w:hanging="567"/>
              <w:rPr>
                <w:rFonts w:ascii="宋体" w:hAnsi="宋体" w:eastAsia="宋体" w:cs="宋体"/>
                <w:color w:val="000000"/>
                <w:szCs w:val="21"/>
              </w:rPr>
            </w:pPr>
            <w:r>
              <w:rPr>
                <w:rFonts w:hint="eastAsia" w:ascii="宋体" w:hAnsi="宋体" w:eastAsia="宋体" w:cs="宋体"/>
                <w:color w:val="000000"/>
                <w:szCs w:val="21"/>
                <w:lang w:bidi="ar"/>
              </w:rPr>
              <w:t>服务方案</w:t>
            </w:r>
          </w:p>
          <w:p>
            <w:pPr>
              <w:numPr>
                <w:ilvl w:val="0"/>
                <w:numId w:val="9"/>
              </w:numPr>
              <w:tabs>
                <w:tab w:val="left" w:pos="556"/>
                <w:tab w:val="left" w:pos="612"/>
              </w:tabs>
              <w:ind w:left="556" w:hanging="567"/>
              <w:rPr>
                <w:rFonts w:ascii="宋体" w:hAnsi="宋体" w:eastAsia="宋体" w:cs="宋体"/>
                <w:color w:val="000000"/>
                <w:szCs w:val="21"/>
              </w:rPr>
            </w:pPr>
            <w:r>
              <w:rPr>
                <w:rFonts w:hint="eastAsia" w:ascii="宋体" w:hAnsi="宋体" w:eastAsia="宋体" w:cs="宋体"/>
                <w:color w:val="000000"/>
                <w:szCs w:val="21"/>
                <w:lang w:bidi="ar"/>
              </w:rPr>
              <w:t>投标人所提供的服务，应符合本文件提出的要求，如果投标人对技术规格提出合理建议或更改，应在报价服务规格性能偏离表中注明；</w:t>
            </w:r>
          </w:p>
          <w:p>
            <w:pPr>
              <w:numPr>
                <w:ilvl w:val="0"/>
                <w:numId w:val="9"/>
              </w:numPr>
              <w:tabs>
                <w:tab w:val="left" w:pos="556"/>
                <w:tab w:val="left" w:pos="612"/>
              </w:tabs>
              <w:ind w:left="556" w:hanging="567"/>
              <w:rPr>
                <w:rFonts w:ascii="宋体" w:hAnsi="宋体" w:eastAsia="宋体" w:cs="宋体"/>
                <w:color w:val="000000"/>
                <w:szCs w:val="21"/>
              </w:rPr>
            </w:pPr>
            <w:r>
              <w:rPr>
                <w:rFonts w:hint="eastAsia" w:ascii="宋体" w:hAnsi="宋体" w:eastAsia="宋体" w:cs="宋体"/>
                <w:color w:val="000000"/>
                <w:szCs w:val="21"/>
                <w:lang w:bidi="ar"/>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8</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lang w:bidi="ar"/>
              </w:rPr>
              <w:t>是否允许投标人将项目非主体、非关键性工作交由他人完成</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56"/>
                <w:tab w:val="left" w:pos="612"/>
              </w:tabs>
              <w:ind w:left="-11"/>
              <w:rPr>
                <w:rFonts w:ascii="宋体" w:hAnsi="宋体" w:eastAsia="宋体" w:cs="宋体"/>
                <w:color w:val="000000"/>
                <w:szCs w:val="21"/>
                <w:lang w:bidi="ar"/>
              </w:rPr>
            </w:pPr>
            <w:r>
              <w:rPr>
                <w:rFonts w:hint="eastAsia" w:ascii="宋体" w:hAnsi="宋体" w:eastAsia="宋体" w:cs="宋体"/>
                <w:color w:val="000000"/>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color w:val="000000"/>
                <w:szCs w:val="21"/>
              </w:rPr>
            </w:pPr>
            <w:r>
              <w:rPr>
                <w:rFonts w:hint="eastAsia" w:ascii="宋体" w:hAnsi="宋体" w:eastAsia="宋体" w:cs="宋体"/>
                <w:b/>
                <w:color w:val="000000"/>
                <w:szCs w:val="21"/>
                <w:lang w:bidi="ar"/>
              </w:rPr>
              <w:t>9</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lang w:bidi="ar"/>
              </w:rPr>
              <w:t>投标文件份数</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56"/>
                <w:tab w:val="left" w:pos="612"/>
              </w:tabs>
              <w:ind w:left="-11"/>
              <w:rPr>
                <w:rFonts w:ascii="宋体" w:hAnsi="宋体" w:eastAsia="宋体" w:cs="宋体"/>
                <w:color w:val="000000"/>
                <w:szCs w:val="21"/>
                <w:lang w:bidi="ar"/>
              </w:rPr>
            </w:pPr>
            <w:r>
              <w:rPr>
                <w:rFonts w:hint="eastAsia" w:ascii="宋体" w:hAnsi="宋体" w:eastAsia="宋体" w:cs="宋体"/>
                <w:color w:val="000000"/>
                <w:szCs w:val="21"/>
                <w:lang w:bidi="ar"/>
              </w:rPr>
              <w:t>文件一式七份，其中正本一份，副本六份</w:t>
            </w:r>
          </w:p>
        </w:tc>
      </w:tr>
    </w:tbl>
    <w:p>
      <w:pPr>
        <w:pStyle w:val="24"/>
        <w:keepNext w:val="0"/>
        <w:widowControl/>
        <w:numPr>
          <w:ilvl w:val="1"/>
          <w:numId w:val="0"/>
        </w:numPr>
        <w:ind w:firstLine="562" w:firstLineChars="200"/>
        <w:rPr>
          <w:rFonts w:cs="宋体"/>
        </w:rPr>
      </w:pPr>
      <w:bookmarkStart w:id="25" w:name="_Toc18798"/>
      <w:bookmarkStart w:id="26" w:name="_Toc533413548"/>
      <w:bookmarkStart w:id="27" w:name="_Toc533998779"/>
      <w:bookmarkStart w:id="28" w:name="_Toc536867084"/>
      <w:bookmarkStart w:id="29" w:name="_Toc533413149"/>
      <w:bookmarkStart w:id="30" w:name="_Toc534087348"/>
      <w:r>
        <w:rPr>
          <w:rFonts w:hint="eastAsia" w:cs="宋体"/>
        </w:rPr>
        <w:t>5.2投标报价</w:t>
      </w:r>
      <w:bookmarkEnd w:id="25"/>
    </w:p>
    <w:p>
      <w:pPr>
        <w:pStyle w:val="25"/>
        <w:widowControl/>
        <w:numPr>
          <w:ilvl w:val="0"/>
          <w:numId w:val="10"/>
        </w:numPr>
        <w:rPr>
          <w:rFonts w:cs="宋体"/>
        </w:rPr>
      </w:pPr>
      <w:r>
        <w:rPr>
          <w:rFonts w:hint="eastAsia" w:cs="宋体"/>
        </w:rPr>
        <w:t>本次招投标为</w:t>
      </w:r>
      <w:r>
        <w:rPr>
          <w:rFonts w:hint="eastAsia" w:cs="宋体"/>
          <w:b/>
          <w:bCs/>
        </w:rPr>
        <w:t>公开招标</w:t>
      </w:r>
      <w:r>
        <w:rPr>
          <w:rFonts w:hint="eastAsia" w:cs="宋体"/>
        </w:rPr>
        <w:t>，投标总报价应包括项目实施服务、及相关资料、保险、税费、运杂、差旅等全部费用，并对各主要报价构成项列报价清单。</w:t>
      </w:r>
    </w:p>
    <w:p>
      <w:pPr>
        <w:pStyle w:val="25"/>
        <w:widowControl/>
        <w:numPr>
          <w:ilvl w:val="0"/>
          <w:numId w:val="10"/>
        </w:numPr>
        <w:rPr>
          <w:rFonts w:cs="宋体"/>
        </w:rPr>
      </w:pPr>
      <w:r>
        <w:rPr>
          <w:rFonts w:hint="eastAsia" w:cs="宋体"/>
        </w:rPr>
        <w:t>所有参加投标的单位必须结合自身的实际情况，对此次招标项目建设周期与实施难度的估量以及所制定的实施组织计划，以实际产生的费用，据实报价。至少包含三个级别工程师价格。</w:t>
      </w:r>
    </w:p>
    <w:p>
      <w:pPr>
        <w:pStyle w:val="25"/>
        <w:widowControl/>
        <w:numPr>
          <w:ilvl w:val="0"/>
          <w:numId w:val="10"/>
        </w:numPr>
        <w:rPr>
          <w:rFonts w:cs="宋体"/>
        </w:rPr>
      </w:pPr>
      <w:r>
        <w:rPr>
          <w:rFonts w:hint="eastAsia" w:cs="宋体"/>
        </w:rPr>
        <w:t>供应商免费提供的项目，应先填写该项目的实际价格，并注明免费。此项不计入总报价。</w:t>
      </w:r>
    </w:p>
    <w:p>
      <w:pPr>
        <w:pStyle w:val="25"/>
        <w:widowControl/>
        <w:numPr>
          <w:ilvl w:val="0"/>
          <w:numId w:val="10"/>
        </w:numPr>
        <w:rPr>
          <w:rFonts w:cs="宋体"/>
        </w:rPr>
      </w:pPr>
      <w:r>
        <w:rPr>
          <w:rFonts w:hint="eastAsia" w:cs="宋体"/>
        </w:rPr>
        <w:t>项目的报价货币单位为：人民币（含税）。</w:t>
      </w:r>
    </w:p>
    <w:p>
      <w:pPr>
        <w:pStyle w:val="25"/>
        <w:widowControl/>
        <w:numPr>
          <w:ilvl w:val="0"/>
          <w:numId w:val="10"/>
        </w:numPr>
        <w:rPr>
          <w:rFonts w:cs="宋体"/>
        </w:rPr>
      </w:pPr>
      <w:r>
        <w:rPr>
          <w:rFonts w:hint="eastAsia" w:cs="宋体"/>
        </w:rPr>
        <w:t>最后磋商报价在合同执行过程中是固定不变的，不得以任何理由予以变更。</w:t>
      </w:r>
    </w:p>
    <w:p>
      <w:pPr>
        <w:pStyle w:val="24"/>
        <w:keepNext w:val="0"/>
        <w:widowControl/>
        <w:numPr>
          <w:ilvl w:val="1"/>
          <w:numId w:val="0"/>
        </w:numPr>
        <w:ind w:firstLine="562" w:firstLineChars="200"/>
      </w:pPr>
      <w:bookmarkStart w:id="31" w:name="_Toc14874"/>
      <w:bookmarkStart w:id="32" w:name="_Toc18645"/>
      <w:r>
        <w:rPr>
          <w:rFonts w:hint="eastAsia" w:cs="宋体"/>
        </w:rPr>
        <w:t>5.3招标文件的组成</w:t>
      </w:r>
      <w:bookmarkEnd w:id="31"/>
      <w:bookmarkEnd w:id="32"/>
    </w:p>
    <w:p>
      <w:pPr>
        <w:pStyle w:val="25"/>
        <w:widowControl/>
        <w:numPr>
          <w:ilvl w:val="0"/>
          <w:numId w:val="10"/>
        </w:numPr>
      </w:pPr>
      <w:r>
        <w:rPr>
          <w:rFonts w:hint="eastAsia" w:cs="宋体"/>
        </w:rPr>
        <w:t>招标文件由招标文件总目录所列内容组成。</w:t>
      </w:r>
    </w:p>
    <w:p>
      <w:pPr>
        <w:pStyle w:val="25"/>
        <w:widowControl/>
        <w:numPr>
          <w:ilvl w:val="0"/>
          <w:numId w:val="10"/>
        </w:numPr>
      </w:pPr>
      <w:r>
        <w:rPr>
          <w:rFonts w:hint="eastAsia" w:cs="宋体"/>
        </w:rPr>
        <w:t>投标人详细阅读招标文件的全部内容。不按招标文件的要求提供的投标文件和资料，可能导致投标被拒绝。</w:t>
      </w:r>
    </w:p>
    <w:p>
      <w:pPr>
        <w:pStyle w:val="24"/>
        <w:keepNext w:val="0"/>
        <w:widowControl/>
        <w:numPr>
          <w:ilvl w:val="1"/>
          <w:numId w:val="0"/>
        </w:numPr>
        <w:ind w:firstLine="562" w:firstLineChars="200"/>
      </w:pPr>
      <w:bookmarkStart w:id="33" w:name="_Toc12989"/>
      <w:r>
        <w:rPr>
          <w:rFonts w:hint="eastAsia" w:cs="宋体"/>
        </w:rPr>
        <w:t>5.4招标文件的澄清</w:t>
      </w:r>
      <w:bookmarkEnd w:id="26"/>
      <w:bookmarkEnd w:id="27"/>
      <w:bookmarkEnd w:id="28"/>
      <w:bookmarkEnd w:id="29"/>
      <w:bookmarkEnd w:id="30"/>
      <w:bookmarkEnd w:id="33"/>
    </w:p>
    <w:p>
      <w:pPr>
        <w:pStyle w:val="21"/>
        <w:widowControl/>
        <w:ind w:firstLine="480"/>
      </w:pPr>
      <w:r>
        <w:rPr>
          <w:rFonts w:hint="eastAsia" w:cs="宋体"/>
        </w:rPr>
        <w:t>投标人对招标文件如有疑点要求澄清，或认为有必要与招标人进行技术交流时，可用书面、传真形式通知招标人，招标人将视情况以书面形式予以答复，并将答复内容包括原提出的问题（但不标明问题查询的来源），分发给所有取得同一招标文件的投标人。</w:t>
      </w:r>
    </w:p>
    <w:p>
      <w:pPr>
        <w:pStyle w:val="24"/>
        <w:keepNext w:val="0"/>
        <w:widowControl/>
        <w:numPr>
          <w:ilvl w:val="1"/>
          <w:numId w:val="0"/>
        </w:numPr>
        <w:ind w:firstLine="562" w:firstLineChars="200"/>
      </w:pPr>
      <w:bookmarkStart w:id="34" w:name="_Toc533998780"/>
      <w:bookmarkStart w:id="35" w:name="_Toc32336"/>
      <w:bookmarkStart w:id="36" w:name="_Toc533413150"/>
      <w:bookmarkStart w:id="37" w:name="_Toc533413549"/>
      <w:bookmarkStart w:id="38" w:name="_Toc534087349"/>
      <w:bookmarkStart w:id="39" w:name="_Toc536867085"/>
      <w:r>
        <w:rPr>
          <w:rFonts w:hint="eastAsia" w:cs="宋体"/>
        </w:rPr>
        <w:t>5.5招标文件的修改</w:t>
      </w:r>
      <w:bookmarkEnd w:id="34"/>
      <w:bookmarkEnd w:id="35"/>
      <w:bookmarkEnd w:id="36"/>
      <w:bookmarkEnd w:id="37"/>
      <w:bookmarkEnd w:id="38"/>
      <w:bookmarkEnd w:id="39"/>
    </w:p>
    <w:p>
      <w:pPr>
        <w:pStyle w:val="25"/>
        <w:widowControl/>
        <w:numPr>
          <w:ilvl w:val="0"/>
          <w:numId w:val="11"/>
        </w:numPr>
      </w:pPr>
      <w:r>
        <w:rPr>
          <w:rFonts w:hint="eastAsia" w:cs="宋体"/>
        </w:rPr>
        <w:t>在投标截止时间前</w:t>
      </w:r>
      <w:r>
        <w:t>5</w:t>
      </w:r>
      <w:r>
        <w:rPr>
          <w:rFonts w:hint="eastAsia" w:cs="宋体"/>
        </w:rPr>
        <w:t>天，招标人无论出于自己的考虑，还是出于对投标人提问的澄清，均可对招标文件用补充文件的方式进行修改。</w:t>
      </w:r>
    </w:p>
    <w:p>
      <w:pPr>
        <w:pStyle w:val="25"/>
        <w:widowControl/>
        <w:numPr>
          <w:ilvl w:val="0"/>
          <w:numId w:val="11"/>
        </w:numPr>
      </w:pPr>
      <w:r>
        <w:rPr>
          <w:rFonts w:hint="eastAsia" w:cs="宋体"/>
        </w:rPr>
        <w:t>对招标文件的修改，将以书面或传真的形式通知已收到招标文件的每一投标人。补充文件将作为招标文件的组成部分，对所有投标人有约束力。</w:t>
      </w:r>
    </w:p>
    <w:p>
      <w:pPr>
        <w:pStyle w:val="25"/>
        <w:widowControl/>
        <w:numPr>
          <w:ilvl w:val="0"/>
          <w:numId w:val="11"/>
        </w:numPr>
      </w:pPr>
      <w:r>
        <w:rPr>
          <w:rFonts w:hint="eastAsia" w:cs="宋体"/>
        </w:rPr>
        <w:t>为使投标人有足够的时间按招标文件的修改要求考虑修正投标文件，招标人可酌情推迟投标和开标日期，并将这些变更通知上述每一投标人。</w:t>
      </w:r>
    </w:p>
    <w:p>
      <w:pPr>
        <w:pStyle w:val="22"/>
        <w:keepNext w:val="0"/>
        <w:widowControl/>
        <w:numPr>
          <w:ilvl w:val="0"/>
          <w:numId w:val="0"/>
        </w:numPr>
      </w:pPr>
      <w:bookmarkStart w:id="40" w:name="_Toc264881858"/>
      <w:bookmarkStart w:id="41" w:name="_Toc31442"/>
      <w:bookmarkStart w:id="42" w:name="_Toc265850578"/>
      <w:bookmarkStart w:id="43" w:name="_Toc234922353"/>
      <w:r>
        <w:rPr>
          <w:rFonts w:hint="eastAsia" w:cs="宋体"/>
        </w:rPr>
        <w:t>6投标文件的内容和要求</w:t>
      </w:r>
      <w:bookmarkEnd w:id="40"/>
      <w:bookmarkEnd w:id="41"/>
      <w:bookmarkEnd w:id="42"/>
      <w:bookmarkEnd w:id="43"/>
    </w:p>
    <w:p>
      <w:pPr>
        <w:pStyle w:val="24"/>
        <w:keepNext w:val="0"/>
        <w:widowControl/>
        <w:numPr>
          <w:ilvl w:val="1"/>
          <w:numId w:val="0"/>
        </w:numPr>
        <w:ind w:firstLine="562" w:firstLineChars="200"/>
      </w:pPr>
      <w:bookmarkStart w:id="44" w:name="_Toc10378"/>
      <w:r>
        <w:rPr>
          <w:rFonts w:hint="eastAsia" w:cs="宋体"/>
        </w:rPr>
        <w:t>6.1投标文件计量单位</w:t>
      </w:r>
      <w:bookmarkEnd w:id="44"/>
    </w:p>
    <w:p>
      <w:pPr>
        <w:pStyle w:val="21"/>
        <w:widowControl/>
        <w:ind w:firstLine="480"/>
      </w:pPr>
      <w:r>
        <w:rPr>
          <w:rFonts w:hint="eastAsia" w:cs="宋体"/>
        </w:rPr>
        <w:t>投标文件中所使用的计量单位，除招标文件中有特殊要求外，应采用国家法定计量单位。</w:t>
      </w:r>
    </w:p>
    <w:p>
      <w:pPr>
        <w:pStyle w:val="24"/>
        <w:keepNext w:val="0"/>
        <w:widowControl/>
        <w:numPr>
          <w:ilvl w:val="1"/>
          <w:numId w:val="0"/>
        </w:numPr>
        <w:ind w:firstLine="562" w:firstLineChars="200"/>
      </w:pPr>
      <w:bookmarkStart w:id="45" w:name="_Toc13017"/>
      <w:r>
        <w:rPr>
          <w:rFonts w:hint="eastAsia" w:cs="宋体"/>
        </w:rPr>
        <w:t>6.2投标文件组成</w:t>
      </w:r>
      <w:bookmarkEnd w:id="45"/>
    </w:p>
    <w:p>
      <w:pPr>
        <w:pStyle w:val="21"/>
        <w:widowControl/>
        <w:ind w:firstLine="480"/>
        <w:rPr>
          <w:rFonts w:cs="宋体"/>
        </w:rPr>
      </w:pPr>
      <w:r>
        <w:rPr>
          <w:rFonts w:hint="eastAsia" w:cs="宋体"/>
        </w:rPr>
        <w:t>投标文件由以下部分组成（请按照下述组织投标书各章节内容）：</w:t>
      </w:r>
    </w:p>
    <w:p>
      <w:pPr>
        <w:pStyle w:val="21"/>
        <w:widowControl/>
        <w:ind w:left="480" w:firstLine="0" w:firstLineChars="0"/>
        <w:rPr>
          <w:rFonts w:cs="宋体"/>
        </w:rPr>
      </w:pPr>
      <w:r>
        <w:rPr>
          <w:rFonts w:hint="eastAsia"/>
        </w:rPr>
        <w:t>1.资质文件（独立封装在一个档案袋，一式两份）：</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法定代表人授权委托书（见附件</w:t>
      </w:r>
      <w:r>
        <w:rPr>
          <w:rFonts w:cs="宋体"/>
        </w:rPr>
        <w:t>2</w:t>
      </w:r>
      <w:r>
        <w:rPr>
          <w:rFonts w:hint="eastAsia" w:cs="宋体"/>
        </w:rPr>
        <w:t>）（见附录）；</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企业营业执照副本复印件（加盖法人单位公章）；</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法人代表或授权代表有效身份证（盖有法人单位公章的复印件，包括正反两面）；</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投标方经营业绩情况，至少应包括经会计师事务所审计的近</w:t>
      </w:r>
      <w:r>
        <w:rPr>
          <w:rFonts w:hint="eastAsia" w:cs="宋体"/>
          <w:lang w:val="en-US" w:eastAsia="zh-CN"/>
        </w:rPr>
        <w:t>三</w:t>
      </w:r>
      <w:r>
        <w:rPr>
          <w:rFonts w:hint="eastAsia" w:cs="宋体"/>
        </w:rPr>
        <w:t>年的年度财务报表审计报告、近</w:t>
      </w:r>
      <w:r>
        <w:rPr>
          <w:rFonts w:hint="eastAsia" w:cs="宋体"/>
          <w:lang w:val="en-US" w:eastAsia="zh-CN"/>
        </w:rPr>
        <w:t>三</w:t>
      </w:r>
      <w:r>
        <w:rPr>
          <w:rFonts w:hint="eastAsia" w:cs="宋体"/>
        </w:rPr>
        <w:t>年的财务报表</w:t>
      </w:r>
      <w:r>
        <w:rPr>
          <w:rFonts w:hint="eastAsia" w:cs="宋体"/>
          <w:lang w:eastAsia="zh-CN"/>
        </w:rPr>
        <w:t>（</w:t>
      </w:r>
      <w:r>
        <w:rPr>
          <w:rFonts w:hint="eastAsia" w:cs="宋体"/>
          <w:lang w:val="en-US" w:eastAsia="zh-CN"/>
        </w:rPr>
        <w:t>2019-2021年</w:t>
      </w:r>
      <w:r>
        <w:rPr>
          <w:rFonts w:hint="eastAsia" w:cs="宋体"/>
          <w:lang w:eastAsia="zh-CN"/>
        </w:rPr>
        <w:t>）</w:t>
      </w:r>
      <w:r>
        <w:rPr>
          <w:rFonts w:hint="eastAsia" w:cs="宋体"/>
        </w:rPr>
        <w:t>；</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成功案例。列举与此招标项目类似的成功案例，包括项目实施时间、单位、应用范围、投标人参与的核心成员等。</w:t>
      </w:r>
    </w:p>
    <w:p>
      <w:pPr>
        <w:pStyle w:val="25"/>
        <w:widowControl/>
        <w:numPr>
          <w:ilvl w:val="0"/>
          <w:numId w:val="12"/>
        </w:numPr>
        <w:tabs>
          <w:tab w:val="left" w:pos="420"/>
          <w:tab w:val="clear" w:pos="0"/>
        </w:tabs>
        <w:adjustRightInd w:val="0"/>
        <w:snapToGrid w:val="0"/>
        <w:spacing w:line="300" w:lineRule="auto"/>
        <w:ind w:left="630" w:leftChars="300"/>
        <w:rPr>
          <w:rFonts w:cs="宋体"/>
        </w:rPr>
      </w:pPr>
      <w:r>
        <w:rPr>
          <w:rFonts w:hint="eastAsia" w:cs="宋体"/>
        </w:rPr>
        <w:t>其他需要证明的资料文件。</w:t>
      </w:r>
    </w:p>
    <w:p>
      <w:pPr>
        <w:pStyle w:val="21"/>
        <w:widowControl/>
        <w:ind w:firstLine="480"/>
      </w:pPr>
      <w:r>
        <w:t>2.</w:t>
      </w:r>
      <w:r>
        <w:rPr>
          <w:rFonts w:hint="eastAsia"/>
        </w:rPr>
        <w:t>技术标（独立封装在一个档案袋，一式七份，其中正本一份，副本六份）：</w:t>
      </w:r>
    </w:p>
    <w:p>
      <w:pPr>
        <w:pStyle w:val="25"/>
        <w:widowControl/>
        <w:numPr>
          <w:ilvl w:val="0"/>
          <w:numId w:val="13"/>
        </w:numPr>
        <w:tabs>
          <w:tab w:val="left" w:pos="420"/>
          <w:tab w:val="clear" w:pos="0"/>
        </w:tabs>
        <w:adjustRightInd w:val="0"/>
        <w:snapToGrid w:val="0"/>
        <w:spacing w:line="300" w:lineRule="auto"/>
        <w:ind w:left="1110" w:leftChars="300" w:hanging="480" w:hangingChars="200"/>
        <w:rPr>
          <w:rFonts w:cs="宋体"/>
        </w:rPr>
      </w:pPr>
      <w:r>
        <w:rPr>
          <w:rFonts w:hint="eastAsia" w:cs="宋体"/>
        </w:rPr>
        <w:t>项目实施方案（见附件</w:t>
      </w:r>
      <w:r>
        <w:rPr>
          <w:rFonts w:cs="宋体"/>
        </w:rPr>
        <w:t>8</w:t>
      </w:r>
      <w:r>
        <w:rPr>
          <w:rFonts w:hint="eastAsia" w:cs="宋体"/>
        </w:rPr>
        <w:t>）。针对招标文件项目技术要求，提出相应的解决方案。</w:t>
      </w:r>
    </w:p>
    <w:p>
      <w:pPr>
        <w:pStyle w:val="25"/>
        <w:widowControl/>
        <w:numPr>
          <w:ilvl w:val="0"/>
          <w:numId w:val="13"/>
        </w:numPr>
        <w:tabs>
          <w:tab w:val="left" w:pos="420"/>
          <w:tab w:val="clear" w:pos="0"/>
        </w:tabs>
        <w:adjustRightInd w:val="0"/>
        <w:snapToGrid w:val="0"/>
        <w:spacing w:line="300" w:lineRule="auto"/>
        <w:ind w:left="1110" w:leftChars="300" w:hanging="480" w:hangingChars="200"/>
        <w:rPr>
          <w:rFonts w:cs="宋体"/>
        </w:rPr>
      </w:pPr>
      <w:r>
        <w:rPr>
          <w:rFonts w:hint="eastAsia" w:cs="宋体"/>
        </w:rPr>
        <w:t>项目团队。列示拟参与项目的团队成员及工作简历。</w:t>
      </w:r>
    </w:p>
    <w:p>
      <w:pPr>
        <w:pStyle w:val="25"/>
        <w:widowControl/>
        <w:numPr>
          <w:ilvl w:val="0"/>
          <w:numId w:val="13"/>
        </w:numPr>
        <w:tabs>
          <w:tab w:val="left" w:pos="420"/>
          <w:tab w:val="clear" w:pos="0"/>
        </w:tabs>
        <w:adjustRightInd w:val="0"/>
        <w:snapToGrid w:val="0"/>
        <w:spacing w:line="300" w:lineRule="auto"/>
        <w:ind w:left="1110" w:leftChars="300" w:hanging="480" w:hangingChars="200"/>
        <w:rPr>
          <w:rFonts w:cs="宋体"/>
        </w:rPr>
      </w:pPr>
      <w:r>
        <w:rPr>
          <w:rFonts w:hint="eastAsia" w:cs="宋体"/>
        </w:rPr>
        <w:t>项目报名表（见附件</w:t>
      </w:r>
      <w:r>
        <w:rPr>
          <w:rFonts w:cs="宋体"/>
        </w:rPr>
        <w:t>9</w:t>
      </w:r>
      <w:r>
        <w:rPr>
          <w:rFonts w:hint="eastAsia" w:cs="宋体"/>
        </w:rPr>
        <w:t>）。</w:t>
      </w:r>
    </w:p>
    <w:p>
      <w:pPr>
        <w:pStyle w:val="25"/>
        <w:widowControl/>
        <w:numPr>
          <w:ilvl w:val="0"/>
          <w:numId w:val="13"/>
        </w:numPr>
        <w:tabs>
          <w:tab w:val="left" w:pos="420"/>
          <w:tab w:val="clear" w:pos="0"/>
        </w:tabs>
        <w:adjustRightInd w:val="0"/>
        <w:snapToGrid w:val="0"/>
        <w:spacing w:line="300" w:lineRule="auto"/>
        <w:ind w:left="1110" w:leftChars="300" w:hanging="480" w:hangingChars="200"/>
        <w:rPr>
          <w:rFonts w:cs="宋体"/>
        </w:rPr>
      </w:pPr>
      <w:r>
        <w:rPr>
          <w:rFonts w:hint="eastAsia"/>
        </w:rPr>
        <w:t>综合说明</w:t>
      </w:r>
    </w:p>
    <w:p>
      <w:pPr>
        <w:pStyle w:val="21"/>
        <w:widowControl/>
        <w:ind w:firstLine="480"/>
      </w:pPr>
      <w:r>
        <w:t>3</w:t>
      </w:r>
      <w:r>
        <w:rPr>
          <w:rFonts w:hint="eastAsia"/>
        </w:rPr>
        <w:t>．商务标（独立封装在一个档案袋，一式七份，其中正本一份，副本六份，并附存有电子版招标文件的</w:t>
      </w:r>
      <w:r>
        <w:t>U</w:t>
      </w:r>
      <w:r>
        <w:rPr>
          <w:rFonts w:hint="eastAsia"/>
        </w:rPr>
        <w:t>盘，电子版要求详见第二章投标文件格式）：</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投标函（见附件格式</w:t>
      </w:r>
      <w:r>
        <w:rPr>
          <w:rFonts w:cs="宋体"/>
        </w:rPr>
        <w:t>1</w:t>
      </w:r>
      <w:r>
        <w:rPr>
          <w:rFonts w:hint="eastAsia" w:cs="宋体"/>
        </w:rPr>
        <w:t>）。</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开标一览表（见附件</w:t>
      </w:r>
      <w:r>
        <w:rPr>
          <w:rFonts w:cs="宋体"/>
        </w:rPr>
        <w:t>4</w:t>
      </w:r>
      <w:r>
        <w:rPr>
          <w:rFonts w:hint="eastAsia" w:cs="宋体"/>
        </w:rPr>
        <w:t>）。</w:t>
      </w:r>
    </w:p>
    <w:p>
      <w:pPr>
        <w:pStyle w:val="25"/>
        <w:widowControl/>
        <w:numPr>
          <w:ilvl w:val="0"/>
          <w:numId w:val="0"/>
        </w:numPr>
        <w:adjustRightInd w:val="0"/>
        <w:snapToGrid w:val="0"/>
        <w:spacing w:line="300" w:lineRule="auto"/>
        <w:ind w:left="-105" w:firstLine="420" w:firstLineChars="175"/>
      </w:pPr>
      <w:r>
        <w:rPr>
          <w:rFonts w:hint="eastAsia" w:cs="宋体"/>
          <w:szCs w:val="24"/>
        </w:rPr>
        <w:t>开标一览表中所有报价均采用人民币报价，其金额应包括：1项目总价格，2人天单价，3税金（增值税票、明确税率）等一切费用。</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投标价格分解表。针对招标文件的要求，提供产品的详细信息，对于软件应包括模块功能介绍及报价（见附件</w:t>
      </w:r>
      <w:r>
        <w:rPr>
          <w:rFonts w:cs="宋体"/>
        </w:rPr>
        <w:t>5</w:t>
      </w:r>
      <w:r>
        <w:rPr>
          <w:rFonts w:hint="eastAsia" w:cs="宋体"/>
        </w:rPr>
        <w:t>）。</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商务条款偏离表（见附件</w:t>
      </w:r>
      <w:r>
        <w:rPr>
          <w:rFonts w:cs="宋体"/>
        </w:rPr>
        <w:t>6</w:t>
      </w:r>
      <w:r>
        <w:rPr>
          <w:rFonts w:hint="eastAsia" w:cs="宋体"/>
        </w:rPr>
        <w:t>）、技术规则、参数偏离表（见附件</w:t>
      </w:r>
      <w:r>
        <w:rPr>
          <w:rFonts w:cs="宋体"/>
        </w:rPr>
        <w:t>7</w:t>
      </w:r>
      <w:r>
        <w:rPr>
          <w:rFonts w:hint="eastAsia" w:cs="宋体"/>
        </w:rPr>
        <w:t>）。</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服务承诺及优惠条件。</w:t>
      </w:r>
    </w:p>
    <w:p>
      <w:pPr>
        <w:pStyle w:val="25"/>
        <w:widowControl/>
        <w:numPr>
          <w:ilvl w:val="0"/>
          <w:numId w:val="14"/>
        </w:numPr>
        <w:tabs>
          <w:tab w:val="left" w:pos="420"/>
          <w:tab w:val="clear" w:pos="0"/>
        </w:tabs>
        <w:adjustRightInd w:val="0"/>
        <w:snapToGrid w:val="0"/>
        <w:spacing w:line="300" w:lineRule="auto"/>
        <w:ind w:left="1110" w:leftChars="300" w:hanging="480" w:hangingChars="200"/>
        <w:rPr>
          <w:rFonts w:cs="宋体"/>
        </w:rPr>
      </w:pPr>
      <w:r>
        <w:rPr>
          <w:rFonts w:hint="eastAsia" w:cs="宋体"/>
        </w:rPr>
        <w:t>其它需要说明的事项。</w:t>
      </w:r>
    </w:p>
    <w:p>
      <w:pPr>
        <w:pStyle w:val="24"/>
        <w:keepNext w:val="0"/>
        <w:widowControl/>
        <w:numPr>
          <w:ilvl w:val="1"/>
          <w:numId w:val="0"/>
        </w:numPr>
        <w:ind w:firstLine="562" w:firstLineChars="200"/>
      </w:pPr>
      <w:bookmarkStart w:id="46" w:name="_Toc8696"/>
      <w:r>
        <w:rPr>
          <w:rFonts w:hint="eastAsia" w:cs="宋体"/>
        </w:rPr>
        <w:t>6.3有效期</w:t>
      </w:r>
      <w:bookmarkEnd w:id="46"/>
    </w:p>
    <w:p>
      <w:pPr>
        <w:pStyle w:val="25"/>
        <w:widowControl/>
        <w:numPr>
          <w:ilvl w:val="0"/>
          <w:numId w:val="15"/>
        </w:numPr>
      </w:pPr>
      <w:r>
        <w:rPr>
          <w:rFonts w:hint="eastAsia" w:cs="宋体"/>
        </w:rPr>
        <w:t>自开标日起</w:t>
      </w:r>
      <w:r>
        <w:t>30</w:t>
      </w:r>
      <w:r>
        <w:rPr>
          <w:rFonts w:hint="eastAsia" w:cs="宋体"/>
        </w:rPr>
        <w:t>天内，投标书应保持有效。有效期短于这个规定期限的投标将被拒绝。</w:t>
      </w:r>
    </w:p>
    <w:p>
      <w:pPr>
        <w:pStyle w:val="25"/>
        <w:widowControl/>
        <w:numPr>
          <w:ilvl w:val="0"/>
          <w:numId w:val="15"/>
        </w:numPr>
      </w:pPr>
      <w:r>
        <w:rPr>
          <w:rFonts w:hint="eastAsia" w:cs="宋体"/>
        </w:rPr>
        <w:t>在特殊情况下，招标人可与投标人协商延长投标书的有效期。这种要求和答复都应以书面、传真的形式进行。</w:t>
      </w:r>
    </w:p>
    <w:p>
      <w:pPr>
        <w:pStyle w:val="24"/>
        <w:keepNext w:val="0"/>
        <w:widowControl/>
        <w:numPr>
          <w:ilvl w:val="1"/>
          <w:numId w:val="0"/>
        </w:numPr>
        <w:ind w:firstLine="562" w:firstLineChars="200"/>
      </w:pPr>
      <w:bookmarkStart w:id="47" w:name="_Toc4396"/>
      <w:r>
        <w:rPr>
          <w:rFonts w:hint="eastAsia" w:cs="宋体"/>
        </w:rPr>
        <w:t>6.4投标文件格式</w:t>
      </w:r>
      <w:bookmarkEnd w:id="47"/>
    </w:p>
    <w:p>
      <w:pPr>
        <w:pStyle w:val="25"/>
        <w:widowControl/>
        <w:numPr>
          <w:ilvl w:val="0"/>
          <w:numId w:val="16"/>
        </w:numPr>
      </w:pPr>
      <w:r>
        <w:rPr>
          <w:rFonts w:hint="eastAsia" w:ascii="宋体" w:cs="宋体"/>
        </w:rPr>
        <w:t>投标文件语言应采用中文。</w:t>
      </w:r>
    </w:p>
    <w:p>
      <w:pPr>
        <w:pStyle w:val="25"/>
        <w:widowControl/>
        <w:numPr>
          <w:ilvl w:val="0"/>
          <w:numId w:val="16"/>
        </w:numPr>
      </w:pPr>
      <w:r>
        <w:rPr>
          <w:rFonts w:hint="eastAsia" w:cs="宋体"/>
        </w:rPr>
        <w:t>投标文件字体书写必须工整清楚，易于辨认，文义明白准确。投标文件不得涂改和增删。如因字迹潦草或表达不清所引起的后果由投标人负责。</w:t>
      </w:r>
    </w:p>
    <w:p>
      <w:pPr>
        <w:pStyle w:val="25"/>
        <w:widowControl/>
        <w:numPr>
          <w:ilvl w:val="0"/>
          <w:numId w:val="16"/>
        </w:numPr>
      </w:pPr>
      <w:r>
        <w:rPr>
          <w:rFonts w:hint="eastAsia" w:cs="宋体"/>
        </w:rPr>
        <w:t>投标文件必须用不褪色的墨水填写或打印。</w:t>
      </w:r>
    </w:p>
    <w:p>
      <w:pPr>
        <w:pStyle w:val="25"/>
        <w:widowControl/>
        <w:numPr>
          <w:ilvl w:val="0"/>
          <w:numId w:val="16"/>
        </w:numPr>
      </w:pPr>
      <w:r>
        <w:rPr>
          <w:rFonts w:hint="eastAsia" w:cs="宋体"/>
        </w:rPr>
        <w:t>投标文件必须由法人代表或授权代表签署，投标人应填写全称，并加盖公章（含骑缝章）。</w:t>
      </w:r>
    </w:p>
    <w:p>
      <w:pPr>
        <w:pStyle w:val="25"/>
        <w:widowControl/>
        <w:numPr>
          <w:ilvl w:val="0"/>
          <w:numId w:val="16"/>
        </w:numPr>
        <w:rPr>
          <w:rFonts w:ascii="宋体" w:cs="宋体"/>
        </w:rPr>
      </w:pPr>
      <w:r>
        <w:rPr>
          <w:rFonts w:hint="eastAsia" w:ascii="宋体" w:cs="宋体"/>
        </w:rPr>
        <w:t>不按上述规定编写的投标文件将视为主动放弃，不予评标。</w:t>
      </w:r>
    </w:p>
    <w:p>
      <w:pPr>
        <w:pStyle w:val="24"/>
        <w:keepNext w:val="0"/>
        <w:widowControl/>
        <w:numPr>
          <w:ilvl w:val="1"/>
          <w:numId w:val="0"/>
        </w:numPr>
        <w:ind w:firstLine="562" w:firstLineChars="200"/>
      </w:pPr>
      <w:bookmarkStart w:id="48" w:name="_Toc6599"/>
      <w:bookmarkStart w:id="49" w:name="_Toc265850579"/>
      <w:bookmarkStart w:id="50" w:name="_Toc264881859"/>
      <w:bookmarkStart w:id="51" w:name="_Toc234922354"/>
      <w:r>
        <w:rPr>
          <w:rFonts w:hint="eastAsia" w:cs="宋体"/>
        </w:rPr>
        <w:t>6.5投标文件的装袋、密封和递交</w:t>
      </w:r>
      <w:bookmarkEnd w:id="48"/>
      <w:bookmarkEnd w:id="49"/>
      <w:bookmarkEnd w:id="50"/>
      <w:bookmarkEnd w:id="51"/>
    </w:p>
    <w:p>
      <w:pPr>
        <w:pStyle w:val="25"/>
        <w:widowControl/>
        <w:numPr>
          <w:ilvl w:val="0"/>
          <w:numId w:val="17"/>
        </w:numPr>
      </w:pPr>
      <w:r>
        <w:rPr>
          <w:rFonts w:hint="eastAsia" w:cs="宋体"/>
        </w:rPr>
        <w:t>投标文件在封页正面右上角标明“正本”、“副本”字样，保证正本与副本的内容一致。如果正本与副本内容不一致以正本为准。提交电子版标书一份。</w:t>
      </w:r>
    </w:p>
    <w:p>
      <w:pPr>
        <w:pStyle w:val="25"/>
        <w:widowControl/>
        <w:numPr>
          <w:ilvl w:val="0"/>
          <w:numId w:val="17"/>
        </w:numPr>
      </w:pPr>
      <w:r>
        <w:rPr>
          <w:rFonts w:hint="eastAsia" w:cs="宋体"/>
        </w:rPr>
        <w:t>正面封皮应标明投标人单位名称、地址，并在单位名称处加盖公章。</w:t>
      </w:r>
    </w:p>
    <w:p>
      <w:pPr>
        <w:pStyle w:val="25"/>
        <w:widowControl/>
        <w:numPr>
          <w:ilvl w:val="0"/>
          <w:numId w:val="17"/>
        </w:numPr>
      </w:pPr>
      <w:r>
        <w:rPr>
          <w:rFonts w:hint="eastAsia" w:cs="宋体"/>
        </w:rPr>
        <w:t>投标书正本内封和投标书副本内封封口处</w:t>
      </w:r>
      <w:r>
        <w:rPr>
          <w:rFonts w:hint="eastAsia" w:ascii="宋体" w:hAnsi="宋体" w:cs="宋体"/>
        </w:rPr>
        <w:t>应有投标全权代表的签字或</w:t>
      </w:r>
      <w:r>
        <w:rPr>
          <w:rFonts w:hint="eastAsia" w:cs="宋体"/>
        </w:rPr>
        <w:t>投标单位公章，</w:t>
      </w:r>
      <w:r>
        <w:rPr>
          <w:rFonts w:hint="eastAsia" w:ascii="宋体" w:hAnsi="宋体" w:cs="宋体"/>
        </w:rPr>
        <w:t>并注明“开标时启封”字样。</w:t>
      </w:r>
    </w:p>
    <w:p>
      <w:pPr>
        <w:pStyle w:val="25"/>
        <w:widowControl/>
        <w:numPr>
          <w:ilvl w:val="0"/>
          <w:numId w:val="17"/>
        </w:numPr>
      </w:pPr>
      <w:r>
        <w:rPr>
          <w:rFonts w:hint="eastAsia" w:cs="宋体"/>
        </w:rPr>
        <w:t>开标一览表内封封口处应加盖投标单位公章。</w:t>
      </w:r>
    </w:p>
    <w:p>
      <w:pPr>
        <w:pStyle w:val="25"/>
        <w:widowControl/>
        <w:numPr>
          <w:ilvl w:val="0"/>
          <w:numId w:val="17"/>
        </w:numPr>
      </w:pPr>
      <w:r>
        <w:rPr>
          <w:rFonts w:hint="eastAsia" w:cs="宋体"/>
        </w:rPr>
        <w:t>投标文件由投标人在开标日自行带到开标现场，在开标时当场交与招标负责人。</w:t>
      </w:r>
    </w:p>
    <w:p>
      <w:pPr>
        <w:pStyle w:val="24"/>
        <w:keepNext w:val="0"/>
        <w:widowControl/>
        <w:numPr>
          <w:ilvl w:val="1"/>
          <w:numId w:val="0"/>
        </w:numPr>
        <w:ind w:firstLine="562" w:firstLineChars="200"/>
      </w:pPr>
      <w:bookmarkStart w:id="52" w:name="_Toc6523"/>
      <w:r>
        <w:rPr>
          <w:rFonts w:hint="eastAsia" w:cs="宋体"/>
        </w:rPr>
        <w:t>6.6投标文件的澄清</w:t>
      </w:r>
      <w:bookmarkEnd w:id="52"/>
    </w:p>
    <w:p>
      <w:pPr>
        <w:pStyle w:val="21"/>
        <w:widowControl/>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投标人对招标文件如有疑点要求澄清，或认为有必要与招标人进行技术交流时，可用书面、传真形式通知招标人，招标人将视情况以书面形式予以答复，如有必要时可将答复内容包括原提出的问题（但不标明问题查询的来源），分发给所有取得同一招标文件的投标人。</w:t>
      </w:r>
    </w:p>
    <w:p>
      <w:pPr>
        <w:pStyle w:val="22"/>
        <w:keepNext w:val="0"/>
        <w:widowControl/>
        <w:numPr>
          <w:ilvl w:val="0"/>
          <w:numId w:val="0"/>
        </w:numPr>
        <w:rPr>
          <w:rFonts w:cs="宋体"/>
        </w:rPr>
      </w:pPr>
      <w:bookmarkStart w:id="53" w:name="_Toc14661"/>
      <w:r>
        <w:rPr>
          <w:rFonts w:hint="eastAsia" w:cs="宋体"/>
        </w:rPr>
        <w:t>7开标</w:t>
      </w:r>
      <w:bookmarkEnd w:id="53"/>
    </w:p>
    <w:p>
      <w:pPr>
        <w:pStyle w:val="25"/>
        <w:widowControl/>
        <w:numPr>
          <w:ilvl w:val="0"/>
          <w:numId w:val="18"/>
        </w:numPr>
      </w:pPr>
      <w:r>
        <w:rPr>
          <w:rFonts w:hint="eastAsia" w:cs="宋体"/>
        </w:rPr>
        <w:t>招标人按招标文件规定的时间、地点主持公开开标。开标仪式由招标人主持。</w:t>
      </w:r>
    </w:p>
    <w:p>
      <w:pPr>
        <w:pStyle w:val="25"/>
        <w:widowControl/>
        <w:numPr>
          <w:ilvl w:val="0"/>
          <w:numId w:val="18"/>
        </w:numPr>
      </w:pPr>
      <w:r>
        <w:rPr>
          <w:rFonts w:hint="eastAsia" w:cs="宋体"/>
        </w:rPr>
        <w:t>投标人派代表参加开标仪式。若需讲标，须由拟担任招标项目建设的项目经理及项目组成员负责讲标。</w:t>
      </w:r>
    </w:p>
    <w:p>
      <w:pPr>
        <w:pStyle w:val="25"/>
        <w:widowControl/>
        <w:numPr>
          <w:ilvl w:val="0"/>
          <w:numId w:val="18"/>
        </w:numPr>
      </w:pPr>
      <w:r>
        <w:rPr>
          <w:rFonts w:hint="eastAsia" w:cs="宋体"/>
        </w:rPr>
        <w:t>开标时查验投标文件密封情况，确认无误后拆封唱标。</w:t>
      </w:r>
    </w:p>
    <w:p>
      <w:pPr>
        <w:pStyle w:val="25"/>
        <w:widowControl/>
        <w:numPr>
          <w:ilvl w:val="0"/>
          <w:numId w:val="0"/>
        </w:numPr>
        <w:rPr>
          <w:rFonts w:cs="宋体"/>
        </w:rPr>
      </w:pPr>
      <w:r>
        <w:rPr>
          <w:rFonts w:hint="eastAsia" w:cs="宋体"/>
        </w:rPr>
        <w:t>招标人在开标仪式上，将公布投标人的名称、投标产品或服务、投标项目、投标价格及其投标的修改、投标的撤回及其有关声明等，招标人将做唱标记录。</w:t>
      </w:r>
    </w:p>
    <w:p>
      <w:pPr>
        <w:pStyle w:val="25"/>
        <w:widowControl/>
        <w:numPr>
          <w:ilvl w:val="0"/>
          <w:numId w:val="0"/>
        </w:numPr>
        <w:rPr>
          <w:rFonts w:cs="宋体"/>
        </w:rPr>
      </w:pPr>
    </w:p>
    <w:p>
      <w:pPr>
        <w:pStyle w:val="25"/>
        <w:widowControl/>
        <w:numPr>
          <w:ilvl w:val="0"/>
          <w:numId w:val="0"/>
        </w:numPr>
        <w:rPr>
          <w:rFonts w:cs="宋体"/>
        </w:rPr>
      </w:pPr>
    </w:p>
    <w:p>
      <w:pPr>
        <w:pStyle w:val="25"/>
        <w:widowControl/>
        <w:numPr>
          <w:ilvl w:val="0"/>
          <w:numId w:val="0"/>
        </w:numPr>
        <w:rPr>
          <w:rFonts w:cs="宋体"/>
        </w:rPr>
      </w:pPr>
    </w:p>
    <w:p>
      <w:pPr>
        <w:pStyle w:val="25"/>
        <w:widowControl/>
        <w:numPr>
          <w:ilvl w:val="0"/>
          <w:numId w:val="0"/>
        </w:numPr>
        <w:rPr>
          <w:rFonts w:cs="宋体"/>
        </w:rPr>
      </w:pPr>
    </w:p>
    <w:p>
      <w:pPr>
        <w:pStyle w:val="25"/>
        <w:widowControl/>
        <w:numPr>
          <w:ilvl w:val="0"/>
          <w:numId w:val="0"/>
        </w:numPr>
        <w:rPr>
          <w:rFonts w:cs="宋体"/>
        </w:rPr>
      </w:pPr>
    </w:p>
    <w:p>
      <w:pPr>
        <w:pStyle w:val="25"/>
        <w:widowControl/>
        <w:numPr>
          <w:ilvl w:val="0"/>
          <w:numId w:val="0"/>
        </w:numPr>
        <w:rPr>
          <w:rFonts w:cs="宋体"/>
        </w:rPr>
      </w:pPr>
    </w:p>
    <w:p>
      <w:pPr>
        <w:pStyle w:val="22"/>
        <w:keepNext w:val="0"/>
        <w:widowControl/>
        <w:numPr>
          <w:ilvl w:val="0"/>
          <w:numId w:val="0"/>
        </w:numPr>
        <w:rPr>
          <w:rFonts w:cs="宋体"/>
        </w:rPr>
      </w:pPr>
      <w:bookmarkStart w:id="54" w:name="_Toc31467"/>
      <w:bookmarkStart w:id="55" w:name="_Toc290401052"/>
      <w:bookmarkStart w:id="56" w:name="_Toc533251933"/>
      <w:r>
        <w:rPr>
          <w:rFonts w:hint="eastAsia" w:cs="宋体"/>
        </w:rPr>
        <w:t>8讲标及评标</w:t>
      </w:r>
      <w:bookmarkEnd w:id="54"/>
    </w:p>
    <w:p>
      <w:pPr>
        <w:tabs>
          <w:tab w:val="left" w:pos="0"/>
        </w:tabs>
        <w:spacing w:line="360" w:lineRule="auto"/>
        <w:ind w:firstLine="480" w:firstLineChars="200"/>
        <w:rPr>
          <w:rFonts w:ascii="宋体" w:hAnsi="宋体" w:eastAsia="宋体" w:cs="宋体"/>
          <w:kern w:val="0"/>
          <w:sz w:val="24"/>
          <w:lang w:bidi="ar"/>
        </w:rPr>
      </w:pPr>
      <w:r>
        <w:rPr>
          <w:rFonts w:hint="eastAsia" w:ascii="宋体" w:hAnsi="宋体" w:eastAsia="宋体" w:cs="宋体"/>
          <w:kern w:val="0"/>
          <w:sz w:val="24"/>
          <w:lang w:bidi="ar"/>
        </w:rPr>
        <w:t>为保证项目顺利实施，由招标人组织、按国家法律法规及公司相关规章制度要求，设立评标工作小组，投标人在讲标时，须由拟担任招标项目建设的项目经理及项目组成员讲标，</w:t>
      </w:r>
      <w:r>
        <w:rPr>
          <w:rFonts w:hint="eastAsia" w:ascii="宋体" w:hAnsi="宋体" w:eastAsia="宋体" w:cs="宋体"/>
          <w:b/>
          <w:kern w:val="0"/>
          <w:sz w:val="24"/>
          <w:lang w:bidi="ar"/>
        </w:rPr>
        <w:t>其中讲标答疑时间2</w:t>
      </w:r>
      <w:r>
        <w:rPr>
          <w:rFonts w:ascii="宋体" w:hAnsi="宋体" w:eastAsia="宋体" w:cs="宋体"/>
          <w:b/>
          <w:kern w:val="0"/>
          <w:sz w:val="24"/>
          <w:lang w:bidi="ar"/>
        </w:rPr>
        <w:t>0</w:t>
      </w:r>
      <w:r>
        <w:rPr>
          <w:rFonts w:hint="eastAsia" w:ascii="宋体" w:hAnsi="宋体" w:eastAsia="宋体" w:cs="宋体"/>
          <w:b/>
          <w:kern w:val="0"/>
          <w:sz w:val="24"/>
          <w:lang w:bidi="ar"/>
        </w:rPr>
        <w:t>分钟。</w:t>
      </w:r>
      <w:r>
        <w:rPr>
          <w:rFonts w:hint="eastAsia" w:ascii="宋体" w:hAnsi="宋体" w:eastAsia="宋体" w:cs="宋体"/>
          <w:kern w:val="0"/>
          <w:sz w:val="24"/>
          <w:lang w:bidi="ar"/>
        </w:rPr>
        <w:t>采用综合评定法，本着公平、公正、公开的原则，在最大限度地满足招标文件实质性要求的前提下，对招标文件中规定的各项因素进行综合评审，确定中标候选供应商或者中标供应商</w:t>
      </w:r>
      <w:r>
        <w:rPr>
          <w:rFonts w:hint="eastAsia" w:ascii="宋体" w:hAnsi="宋体" w:eastAsia="宋体" w:cs="宋体"/>
          <w:b/>
          <w:kern w:val="0"/>
          <w:sz w:val="24"/>
          <w:lang w:bidi="ar"/>
        </w:rPr>
        <w:t>（不保证最低价格中标）</w:t>
      </w:r>
      <w:r>
        <w:rPr>
          <w:rFonts w:hint="eastAsia" w:ascii="宋体" w:hAnsi="宋体" w:eastAsia="宋体" w:cs="宋体"/>
          <w:kern w:val="0"/>
          <w:sz w:val="24"/>
          <w:lang w:bidi="ar"/>
        </w:rPr>
        <w:t>。</w:t>
      </w:r>
      <w:bookmarkStart w:id="57" w:name="OLE_LINK4"/>
    </w:p>
    <w:p>
      <w:pPr>
        <w:spacing w:line="360" w:lineRule="auto"/>
        <w:ind w:firstLine="480" w:firstLineChars="200"/>
        <w:rPr>
          <w:rFonts w:cs="宋体"/>
          <w:kern w:val="0"/>
          <w:sz w:val="24"/>
        </w:rPr>
      </w:pPr>
      <w:r>
        <w:rPr>
          <w:rFonts w:cs="宋体"/>
          <w:kern w:val="0"/>
          <w:sz w:val="24"/>
        </w:rPr>
        <w:t>1</w:t>
      </w:r>
      <w:r>
        <w:rPr>
          <w:rFonts w:hint="eastAsia" w:ascii="Calibri" w:hAnsi="Calibri" w:eastAsia="宋体" w:cs="宋体"/>
          <w:kern w:val="0"/>
          <w:sz w:val="24"/>
        </w:rPr>
        <w:t>本次招标的开标、评标由招标人依法组织实施，本次招标采用技术标和商务标分级开标的模式。</w:t>
      </w:r>
    </w:p>
    <w:p>
      <w:pPr>
        <w:spacing w:line="360" w:lineRule="auto"/>
        <w:ind w:firstLine="480" w:firstLineChars="200"/>
        <w:rPr>
          <w:rFonts w:cs="宋体"/>
          <w:kern w:val="0"/>
          <w:sz w:val="24"/>
        </w:rPr>
      </w:pPr>
      <w:r>
        <w:rPr>
          <w:rFonts w:cs="宋体"/>
          <w:kern w:val="0"/>
          <w:sz w:val="24"/>
        </w:rPr>
        <w:t>2</w:t>
      </w:r>
      <w:r>
        <w:rPr>
          <w:rFonts w:hint="eastAsia" w:ascii="Calibri" w:hAnsi="Calibri" w:eastAsia="宋体" w:cs="宋体"/>
          <w:kern w:val="0"/>
          <w:sz w:val="24"/>
        </w:rPr>
        <w:t>本项目开标时间和地点见投标人须知前附表。开标会议由招标人组织并主持。招标人邀请各投标人派员参加开标会议。投标人未参加开标的，视同认可开标结果。</w:t>
      </w:r>
    </w:p>
    <w:p>
      <w:pPr>
        <w:spacing w:line="360" w:lineRule="auto"/>
        <w:ind w:firstLine="480" w:firstLineChars="200"/>
        <w:rPr>
          <w:rFonts w:cs="宋体"/>
          <w:kern w:val="0"/>
          <w:sz w:val="24"/>
        </w:rPr>
      </w:pPr>
      <w:r>
        <w:rPr>
          <w:rFonts w:cs="宋体"/>
          <w:kern w:val="0"/>
          <w:sz w:val="24"/>
        </w:rPr>
        <w:t>3</w:t>
      </w:r>
      <w:r>
        <w:rPr>
          <w:rFonts w:hint="eastAsia" w:ascii="Calibri" w:hAnsi="Calibri" w:eastAsia="宋体" w:cs="宋体"/>
          <w:kern w:val="0"/>
          <w:sz w:val="24"/>
        </w:rPr>
        <w:t>开标程序</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1</w:t>
      </w:r>
      <w:r>
        <w:rPr>
          <w:rFonts w:hint="eastAsia" w:ascii="Calibri" w:hAnsi="Calibri" w:eastAsia="宋体" w:cs="宋体"/>
          <w:kern w:val="0"/>
          <w:sz w:val="24"/>
        </w:rPr>
        <w:t>）宣布开标会议开始。</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2</w:t>
      </w:r>
      <w:r>
        <w:rPr>
          <w:rFonts w:hint="eastAsia" w:ascii="Calibri" w:hAnsi="Calibri" w:eastAsia="宋体" w:cs="宋体"/>
          <w:kern w:val="0"/>
          <w:sz w:val="24"/>
        </w:rPr>
        <w:t>）介绍与会人员。</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3</w:t>
      </w:r>
      <w:r>
        <w:rPr>
          <w:rFonts w:hint="eastAsia" w:ascii="Calibri" w:hAnsi="Calibri" w:eastAsia="宋体" w:cs="宋体"/>
          <w:kern w:val="0"/>
          <w:sz w:val="24"/>
        </w:rPr>
        <w:t>）核验投标人资格证件。</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4</w:t>
      </w:r>
      <w:r>
        <w:rPr>
          <w:rFonts w:hint="eastAsia" w:ascii="Calibri" w:hAnsi="Calibri" w:eastAsia="宋体" w:cs="宋体"/>
          <w:kern w:val="0"/>
          <w:sz w:val="24"/>
        </w:rPr>
        <w:t>）投标人或投标人推选的代表对投标文件密封情况进行检查（投标人未参加开标会议的，视同认可投标文件密封完好）。</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5</w:t>
      </w:r>
      <w:r>
        <w:rPr>
          <w:rFonts w:hint="eastAsia" w:ascii="Calibri" w:hAnsi="Calibri" w:eastAsia="宋体" w:cs="宋体"/>
          <w:kern w:val="0"/>
          <w:sz w:val="24"/>
        </w:rPr>
        <w:t>）经确认无误后，由工作人员当众拆封，先拆启技术标书，开标一览表及商务标书暂时不拆启，由招标人指定专人保管。由评标专家组对所有投标方的技术方案进行综合评定和打分，确定进入商务标评阶段的投标方。</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6</w:t>
      </w:r>
      <w:r>
        <w:rPr>
          <w:rFonts w:hint="eastAsia" w:ascii="Calibri" w:hAnsi="Calibri" w:eastAsia="宋体" w:cs="宋体"/>
          <w:kern w:val="0"/>
          <w:sz w:val="24"/>
        </w:rPr>
        <w:t>）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7</w:t>
      </w:r>
      <w:r>
        <w:rPr>
          <w:rFonts w:hint="eastAsia" w:ascii="Calibri" w:hAnsi="Calibri" w:eastAsia="宋体" w:cs="宋体"/>
          <w:kern w:val="0"/>
          <w:sz w:val="24"/>
        </w:rPr>
        <w:t>）根据技术标及商务标综合得分，形成专家意见汇总，推荐性价比最优的投标方。</w:t>
      </w:r>
    </w:p>
    <w:p>
      <w:pPr>
        <w:spacing w:line="360" w:lineRule="auto"/>
        <w:ind w:firstLine="480" w:firstLineChars="200"/>
        <w:rPr>
          <w:rFonts w:cs="宋体"/>
          <w:kern w:val="0"/>
          <w:sz w:val="24"/>
        </w:rPr>
      </w:pPr>
      <w:r>
        <w:rPr>
          <w:rFonts w:hint="eastAsia" w:ascii="Calibri" w:hAnsi="Calibri" w:eastAsia="宋体" w:cs="宋体"/>
          <w:kern w:val="0"/>
          <w:sz w:val="24"/>
        </w:rPr>
        <w:t>（</w:t>
      </w:r>
      <w:r>
        <w:rPr>
          <w:rFonts w:cs="宋体"/>
          <w:kern w:val="0"/>
          <w:sz w:val="24"/>
        </w:rPr>
        <w:t>8</w:t>
      </w:r>
      <w:r>
        <w:rPr>
          <w:rFonts w:hint="eastAsia" w:ascii="Calibri" w:hAnsi="Calibri" w:eastAsia="宋体" w:cs="宋体"/>
          <w:kern w:val="0"/>
          <w:sz w:val="24"/>
        </w:rPr>
        <w:t>）招标人有权根据项目情况，采取多级评标模式，最终确定投标人排序。</w:t>
      </w:r>
    </w:p>
    <w:p>
      <w:pPr>
        <w:spacing w:line="360" w:lineRule="auto"/>
        <w:ind w:firstLine="480" w:firstLineChars="200"/>
        <w:rPr>
          <w:rFonts w:ascii="宋体" w:hAnsi="宋体" w:eastAsia="宋体" w:cs="宋体"/>
          <w:kern w:val="0"/>
          <w:sz w:val="24"/>
          <w:lang w:bidi="ar"/>
        </w:rPr>
      </w:pPr>
      <w:r>
        <w:rPr>
          <w:rFonts w:hint="eastAsia" w:ascii="Calibri" w:hAnsi="Calibri" w:eastAsia="宋体" w:cs="宋体"/>
          <w:kern w:val="0"/>
          <w:sz w:val="24"/>
        </w:rPr>
        <w:t>（</w:t>
      </w:r>
      <w:r>
        <w:rPr>
          <w:rFonts w:cs="宋体"/>
          <w:kern w:val="0"/>
          <w:sz w:val="24"/>
        </w:rPr>
        <w:t>9</w:t>
      </w:r>
      <w:r>
        <w:rPr>
          <w:rFonts w:hint="eastAsia" w:ascii="Calibri" w:hAnsi="Calibri" w:eastAsia="宋体" w:cs="宋体"/>
          <w:kern w:val="0"/>
          <w:sz w:val="24"/>
        </w:rPr>
        <w:t>）投标前请各投标方按照招标文件要求对项目方案进行充分准备，投标单位已默认认可上述开标、评标过程，无异议。招标人无义务对未入围投标方及未中标方做任何解释。</w:t>
      </w:r>
    </w:p>
    <w:p>
      <w:pPr>
        <w:tabs>
          <w:tab w:val="left" w:pos="0"/>
        </w:tabs>
        <w:spacing w:line="360" w:lineRule="auto"/>
        <w:ind w:firstLine="482" w:firstLineChars="200"/>
        <w:jc w:val="center"/>
        <w:rPr>
          <w:rFonts w:ascii="Calibri" w:hAnsi="宋体" w:eastAsia="宋体" w:cs="宋体"/>
          <w:b/>
          <w:bCs/>
          <w:kern w:val="0"/>
          <w:sz w:val="24"/>
          <w:highlight w:val="none"/>
          <w:lang w:bidi="ar"/>
        </w:rPr>
      </w:pPr>
      <w:r>
        <w:rPr>
          <w:rFonts w:hint="eastAsia" w:ascii="Calibri" w:hAnsi="宋体" w:eastAsia="宋体" w:cs="宋体"/>
          <w:b/>
          <w:bCs/>
          <w:kern w:val="0"/>
          <w:sz w:val="24"/>
          <w:highlight w:val="none"/>
          <w:lang w:bidi="ar"/>
        </w:rPr>
        <w:t>评分标准如下</w:t>
      </w:r>
      <w:bookmarkEnd w:id="55"/>
      <w:bookmarkEnd w:id="56"/>
      <w:bookmarkEnd w:id="57"/>
    </w:p>
    <w:p>
      <w:pPr>
        <w:tabs>
          <w:tab w:val="left" w:pos="0"/>
        </w:tabs>
        <w:spacing w:line="360" w:lineRule="auto"/>
        <w:ind w:firstLine="482" w:firstLineChars="200"/>
        <w:jc w:val="center"/>
        <w:rPr>
          <w:rFonts w:ascii="Calibri" w:hAnsi="宋体" w:eastAsia="宋体" w:cs="宋体"/>
          <w:b/>
          <w:bCs/>
          <w:kern w:val="0"/>
          <w:sz w:val="24"/>
          <w:highlight w:val="none"/>
          <w:lang w:bidi="ar"/>
        </w:rPr>
      </w:pPr>
    </w:p>
    <w:tbl>
      <w:tblPr>
        <w:tblStyle w:val="17"/>
        <w:tblW w:w="941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005"/>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07" w:type="dxa"/>
            <w:shd w:val="clear" w:color="auto" w:fill="D6DCE5" w:themeFill="text2" w:themeFillTint="32"/>
            <w:vAlign w:val="center"/>
          </w:tcPr>
          <w:p>
            <w:pPr>
              <w:tabs>
                <w:tab w:val="left" w:pos="0"/>
              </w:tabs>
              <w:spacing w:line="360" w:lineRule="auto"/>
              <w:jc w:val="center"/>
              <w:rPr>
                <w:rFonts w:ascii="微软雅黑" w:hAnsi="微软雅黑" w:eastAsia="微软雅黑" w:cs="微软雅黑"/>
                <w:b/>
                <w:bCs/>
                <w:kern w:val="0"/>
                <w:sz w:val="24"/>
                <w:highlight w:val="none"/>
                <w:lang w:bidi="ar"/>
              </w:rPr>
            </w:pPr>
            <w:r>
              <w:rPr>
                <w:rFonts w:hint="eastAsia" w:ascii="微软雅黑" w:hAnsi="微软雅黑" w:eastAsia="微软雅黑" w:cs="微软雅黑"/>
                <w:b/>
                <w:bCs/>
                <w:kern w:val="0"/>
                <w:sz w:val="24"/>
                <w:highlight w:val="none"/>
                <w:lang w:bidi="ar"/>
              </w:rPr>
              <w:t>评审项目</w:t>
            </w:r>
          </w:p>
        </w:tc>
        <w:tc>
          <w:tcPr>
            <w:tcW w:w="2005" w:type="dxa"/>
            <w:shd w:val="clear" w:color="auto" w:fill="D6DCE5" w:themeFill="text2" w:themeFillTint="32"/>
            <w:vAlign w:val="center"/>
          </w:tcPr>
          <w:p>
            <w:pPr>
              <w:tabs>
                <w:tab w:val="left" w:pos="0"/>
              </w:tabs>
              <w:spacing w:line="360" w:lineRule="auto"/>
              <w:jc w:val="center"/>
              <w:rPr>
                <w:rFonts w:ascii="微软雅黑" w:hAnsi="微软雅黑" w:eastAsia="微软雅黑" w:cs="微软雅黑"/>
                <w:b/>
                <w:bCs/>
                <w:kern w:val="0"/>
                <w:sz w:val="24"/>
                <w:highlight w:val="none"/>
                <w:lang w:bidi="ar"/>
              </w:rPr>
            </w:pPr>
            <w:r>
              <w:rPr>
                <w:rFonts w:hint="eastAsia" w:ascii="微软雅黑" w:hAnsi="微软雅黑" w:eastAsia="微软雅黑" w:cs="微软雅黑"/>
                <w:b/>
                <w:bCs/>
                <w:kern w:val="0"/>
                <w:sz w:val="24"/>
                <w:highlight w:val="none"/>
                <w:lang w:bidi="ar"/>
              </w:rPr>
              <w:t>评审内容</w:t>
            </w:r>
          </w:p>
        </w:tc>
        <w:tc>
          <w:tcPr>
            <w:tcW w:w="6098" w:type="dxa"/>
            <w:shd w:val="clear" w:color="auto" w:fill="D6DCE5" w:themeFill="text2" w:themeFillTint="32"/>
            <w:vAlign w:val="center"/>
          </w:tcPr>
          <w:p>
            <w:pPr>
              <w:tabs>
                <w:tab w:val="left" w:pos="0"/>
              </w:tabs>
              <w:spacing w:line="360" w:lineRule="auto"/>
              <w:jc w:val="center"/>
              <w:rPr>
                <w:rFonts w:ascii="微软雅黑" w:hAnsi="微软雅黑" w:eastAsia="微软雅黑" w:cs="微软雅黑"/>
                <w:b/>
                <w:bCs/>
                <w:kern w:val="0"/>
                <w:sz w:val="24"/>
                <w:highlight w:val="none"/>
                <w:lang w:bidi="ar"/>
              </w:rPr>
            </w:pPr>
            <w:r>
              <w:rPr>
                <w:rFonts w:hint="eastAsia" w:ascii="微软雅黑" w:hAnsi="微软雅黑" w:eastAsia="微软雅黑" w:cs="微软雅黑"/>
                <w:b/>
                <w:bCs/>
                <w:kern w:val="0"/>
                <w:sz w:val="24"/>
                <w:highlight w:val="none"/>
                <w:lang w:bidi="ar"/>
              </w:rPr>
              <w:t>评审说明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07" w:type="dxa"/>
            <w:vMerge w:val="restart"/>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企业综合实力（</w:t>
            </w:r>
            <w:r>
              <w:rPr>
                <w:rFonts w:ascii="宋体" w:hAnsi="宋体" w:eastAsia="宋体" w:cs="宋体"/>
                <w:kern w:val="0"/>
                <w:szCs w:val="21"/>
                <w:highlight w:val="none"/>
                <w:lang w:bidi="ar"/>
              </w:rPr>
              <w:t>10</w:t>
            </w:r>
            <w:r>
              <w:rPr>
                <w:rFonts w:hint="eastAsia" w:ascii="宋体" w:hAnsi="宋体" w:eastAsia="宋体" w:cs="宋体"/>
                <w:kern w:val="0"/>
                <w:szCs w:val="21"/>
                <w:highlight w:val="none"/>
                <w:lang w:bidi="ar"/>
              </w:rPr>
              <w:t>分）</w:t>
            </w: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资质（5分）</w:t>
            </w:r>
          </w:p>
        </w:tc>
        <w:tc>
          <w:tcPr>
            <w:tcW w:w="6098" w:type="dxa"/>
            <w:shd w:val="clear" w:color="auto" w:fill="auto"/>
            <w:vAlign w:val="center"/>
          </w:tcPr>
          <w:p>
            <w:pPr>
              <w:tabs>
                <w:tab w:val="left" w:pos="0"/>
              </w:tabs>
              <w:spacing w:line="360" w:lineRule="auto"/>
              <w:rPr>
                <w:rFonts w:cs="仿宋_GB2312"/>
                <w:highlight w:val="none"/>
              </w:rPr>
            </w:pPr>
            <w:r>
              <w:rPr>
                <w:rFonts w:hint="eastAsia" w:cs="仿宋_GB2312"/>
                <w:highlight w:val="none"/>
              </w:rPr>
              <w:t>具备CMMI</w:t>
            </w:r>
            <w:r>
              <w:rPr>
                <w:rFonts w:cs="仿宋_GB2312"/>
                <w:highlight w:val="none"/>
              </w:rPr>
              <w:t>3</w:t>
            </w:r>
            <w:r>
              <w:rPr>
                <w:rFonts w:hint="eastAsia" w:cs="仿宋_GB2312"/>
                <w:highlight w:val="none"/>
              </w:rPr>
              <w:t>（软件能力成熟度）认证得3分，CMMI</w:t>
            </w:r>
            <w:r>
              <w:rPr>
                <w:rFonts w:cs="仿宋_GB2312"/>
                <w:highlight w:val="none"/>
              </w:rPr>
              <w:t>4</w:t>
            </w:r>
            <w:r>
              <w:rPr>
                <w:rFonts w:hint="eastAsia" w:cs="仿宋_GB2312"/>
                <w:highlight w:val="none"/>
              </w:rPr>
              <w:t>认证得4分，CMMI</w:t>
            </w:r>
            <w:r>
              <w:rPr>
                <w:rFonts w:cs="仿宋_GB2312"/>
                <w:highlight w:val="none"/>
              </w:rPr>
              <w:t>5</w:t>
            </w:r>
            <w:r>
              <w:rPr>
                <w:rFonts w:hint="eastAsia" w:cs="仿宋_GB2312"/>
                <w:highlight w:val="none"/>
              </w:rPr>
              <w:t>认证得5分，其他同等认证得3分，没有不得分。提供证书扫描件。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07" w:type="dxa"/>
            <w:vMerge w:val="continue"/>
            <w:vAlign w:val="center"/>
          </w:tcPr>
          <w:p>
            <w:pPr>
              <w:tabs>
                <w:tab w:val="left" w:pos="0"/>
              </w:tabs>
              <w:spacing w:line="360" w:lineRule="auto"/>
              <w:rPr>
                <w:rFonts w:ascii="宋体" w:hAnsi="宋体" w:eastAsia="宋体" w:cs="宋体"/>
                <w:kern w:val="0"/>
                <w:szCs w:val="21"/>
                <w:highlight w:val="none"/>
                <w:lang w:bidi="ar"/>
              </w:rPr>
            </w:pP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公司技术团队实力（5分）</w:t>
            </w:r>
          </w:p>
        </w:tc>
        <w:tc>
          <w:tcPr>
            <w:tcW w:w="6098" w:type="dxa"/>
            <w:shd w:val="clear" w:color="auto" w:fill="auto"/>
            <w:vAlign w:val="center"/>
          </w:tcPr>
          <w:p>
            <w:pPr>
              <w:tabs>
                <w:tab w:val="left" w:pos="0"/>
              </w:tabs>
              <w:spacing w:line="360" w:lineRule="auto"/>
              <w:rPr>
                <w:rFonts w:hint="eastAsia" w:cs="仿宋_GB2312" w:eastAsiaTheme="minorEastAsia"/>
                <w:highlight w:val="none"/>
                <w:lang w:eastAsia="zh-CN"/>
              </w:rPr>
            </w:pPr>
            <w:r>
              <w:rPr>
                <w:rFonts w:hint="eastAsia" w:cs="仿宋_GB2312"/>
                <w:highlight w:val="none"/>
              </w:rPr>
              <w:t>要求应答人具有一支稳定的、有一定规模的、具有足够技术服务能务的技术开发团队。</w:t>
            </w:r>
          </w:p>
          <w:p>
            <w:pPr>
              <w:tabs>
                <w:tab w:val="left" w:pos="0"/>
              </w:tabs>
              <w:spacing w:line="360" w:lineRule="auto"/>
              <w:rPr>
                <w:rFonts w:hint="eastAsia" w:cs="仿宋_GB2312" w:eastAsiaTheme="minorEastAsia"/>
                <w:highlight w:val="none"/>
                <w:lang w:eastAsia="zh-CN"/>
              </w:rPr>
            </w:pPr>
            <w:r>
              <w:rPr>
                <w:rFonts w:hint="eastAsia" w:cs="仿宋_GB2312"/>
                <w:highlight w:val="none"/>
              </w:rPr>
              <w:t>A、技术服务团队规模：投标厂商满足开发团队人数不得少于</w:t>
            </w:r>
            <w:r>
              <w:rPr>
                <w:rFonts w:cs="仿宋_GB2312"/>
                <w:highlight w:val="none"/>
              </w:rPr>
              <w:t>2</w:t>
            </w:r>
            <w:r>
              <w:rPr>
                <w:rFonts w:hint="eastAsia" w:cs="仿宋_GB2312"/>
                <w:highlight w:val="none"/>
              </w:rPr>
              <w:t>00人,</w:t>
            </w:r>
            <w:r>
              <w:rPr>
                <w:rFonts w:cs="仿宋_GB2312"/>
                <w:highlight w:val="none"/>
              </w:rPr>
              <w:t>2</w:t>
            </w:r>
            <w:r>
              <w:rPr>
                <w:rFonts w:hint="eastAsia" w:cs="仿宋_GB2312"/>
                <w:highlight w:val="none"/>
              </w:rPr>
              <w:t>00人及以上得2分，其余不得分。提供社保证明。</w:t>
            </w:r>
          </w:p>
          <w:p>
            <w:pPr>
              <w:tabs>
                <w:tab w:val="left" w:pos="0"/>
              </w:tabs>
              <w:spacing w:line="360" w:lineRule="auto"/>
              <w:rPr>
                <w:rFonts w:hint="eastAsia" w:cs="仿宋_GB2312" w:eastAsiaTheme="minorEastAsia"/>
                <w:highlight w:val="none"/>
                <w:lang w:eastAsia="zh-CN"/>
              </w:rPr>
            </w:pPr>
            <w:r>
              <w:rPr>
                <w:rFonts w:hint="eastAsia" w:cs="仿宋_GB2312"/>
                <w:highlight w:val="none"/>
              </w:rPr>
              <w:t>B、公司在国内BI市场份额排名领先，且提供权威第三方检测报告得3分，其余不得分。提供相关证书扫描件。</w:t>
            </w:r>
          </w:p>
          <w:p>
            <w:pPr>
              <w:tabs>
                <w:tab w:val="left" w:pos="0"/>
              </w:tabs>
              <w:spacing w:line="360" w:lineRule="auto"/>
              <w:rPr>
                <w:rFonts w:cs="仿宋_GB2312"/>
                <w:highlight w:val="none"/>
              </w:rPr>
            </w:pPr>
            <w:r>
              <w:rPr>
                <w:rFonts w:hint="eastAsia" w:cs="仿宋_GB2312"/>
                <w:highlight w:val="none"/>
              </w:rPr>
              <w:t>社保证明指提供2021年1月份至今至少1个月的缴纳社会保险证明（如为本单位缴纳的，缴纳社保主体名称与供应商名称一致；社保证明清单中必须有明确的起始时间和截止时间信息，否则不予认可）。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307" w:type="dxa"/>
            <w:vMerge w:val="restart"/>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服务能力（</w:t>
            </w:r>
            <w:r>
              <w:rPr>
                <w:rFonts w:ascii="宋体" w:hAnsi="宋体" w:eastAsia="宋体" w:cs="宋体"/>
                <w:kern w:val="0"/>
                <w:szCs w:val="21"/>
                <w:highlight w:val="none"/>
                <w:lang w:bidi="ar"/>
              </w:rPr>
              <w:t>1</w:t>
            </w:r>
            <w:r>
              <w:rPr>
                <w:rFonts w:hint="eastAsia" w:ascii="宋体" w:hAnsi="宋体" w:eastAsia="宋体" w:cs="宋体"/>
                <w:kern w:val="0"/>
                <w:szCs w:val="21"/>
                <w:highlight w:val="none"/>
                <w:lang w:bidi="ar"/>
              </w:rPr>
              <w:t>0分）</w:t>
            </w: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团队项目负责人（5分）</w:t>
            </w:r>
          </w:p>
        </w:tc>
        <w:tc>
          <w:tcPr>
            <w:tcW w:w="6098" w:type="dxa"/>
            <w:shd w:val="clear" w:color="auto" w:fill="auto"/>
            <w:vAlign w:val="center"/>
          </w:tcPr>
          <w:p>
            <w:pPr>
              <w:tabs>
                <w:tab w:val="left" w:pos="0"/>
              </w:tabs>
              <w:spacing w:line="360" w:lineRule="auto"/>
              <w:rPr>
                <w:rFonts w:cs="仿宋_GB2312"/>
                <w:highlight w:val="none"/>
              </w:rPr>
            </w:pPr>
            <w:r>
              <w:rPr>
                <w:rFonts w:hint="eastAsia" w:cs="仿宋_GB2312"/>
                <w:highlight w:val="none"/>
              </w:rPr>
              <w:t>考察项目负责人（1名）能力，要求经验4年及以上，制造业项目经验2年及以上。全部满足得5分，其余不得分。</w:t>
            </w:r>
          </w:p>
          <w:p>
            <w:pPr>
              <w:tabs>
                <w:tab w:val="left" w:pos="0"/>
              </w:tabs>
              <w:spacing w:line="360" w:lineRule="auto"/>
              <w:rPr>
                <w:rFonts w:hint="eastAsia" w:cs="仿宋_GB2312" w:eastAsiaTheme="minorEastAsia"/>
                <w:highlight w:val="none"/>
                <w:lang w:eastAsia="zh-CN"/>
              </w:rPr>
            </w:pPr>
            <w:r>
              <w:rPr>
                <w:rFonts w:hint="eastAsia" w:cs="仿宋_GB2312"/>
                <w:highlight w:val="none"/>
              </w:rPr>
              <w:t>人员可与企业综合实力中的人员复用。提供社保证明、认证证书扫描件。</w:t>
            </w:r>
          </w:p>
          <w:p>
            <w:pPr>
              <w:tabs>
                <w:tab w:val="left" w:pos="0"/>
              </w:tabs>
              <w:spacing w:line="360" w:lineRule="auto"/>
              <w:rPr>
                <w:rFonts w:cs="仿宋_GB2312"/>
                <w:highlight w:val="none"/>
              </w:rPr>
            </w:pPr>
            <w:r>
              <w:rPr>
                <w:rFonts w:hint="eastAsia" w:cs="仿宋_GB2312"/>
                <w:highlight w:val="none"/>
              </w:rPr>
              <w:t>社保证明指提供2021年1月份至今至少1个月的缴纳社会保险证明，须为本单位缴纳，缴纳社保主体名称与供应商名称一致。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307" w:type="dxa"/>
            <w:vMerge w:val="continue"/>
            <w:shd w:val="clear" w:color="auto" w:fill="auto"/>
            <w:vAlign w:val="center"/>
          </w:tcPr>
          <w:p>
            <w:pPr>
              <w:tabs>
                <w:tab w:val="left" w:pos="0"/>
              </w:tabs>
              <w:spacing w:line="360" w:lineRule="auto"/>
              <w:rPr>
                <w:rFonts w:ascii="宋体" w:hAnsi="宋体" w:eastAsia="宋体" w:cs="宋体"/>
                <w:kern w:val="0"/>
                <w:szCs w:val="21"/>
                <w:highlight w:val="none"/>
                <w:lang w:bidi="ar"/>
              </w:rPr>
            </w:pP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驻场技术人员能力（5分）</w:t>
            </w:r>
          </w:p>
        </w:tc>
        <w:tc>
          <w:tcPr>
            <w:tcW w:w="6098" w:type="dxa"/>
            <w:shd w:val="clear" w:color="auto" w:fill="auto"/>
            <w:vAlign w:val="center"/>
          </w:tcPr>
          <w:p>
            <w:pPr>
              <w:tabs>
                <w:tab w:val="left" w:pos="0"/>
              </w:tabs>
              <w:spacing w:line="360" w:lineRule="auto"/>
              <w:rPr>
                <w:rFonts w:hint="eastAsia" w:cs="仿宋_GB2312" w:eastAsiaTheme="minorEastAsia"/>
                <w:highlight w:val="none"/>
                <w:lang w:eastAsia="zh-CN"/>
              </w:rPr>
            </w:pPr>
            <w:r>
              <w:rPr>
                <w:rFonts w:hint="eastAsia" w:cs="仿宋_GB2312"/>
                <w:highlight w:val="none"/>
              </w:rPr>
              <w:t>考察应答人为本项目提供的驻场工程师数量及资格（不含项目负责人）。</w:t>
            </w:r>
          </w:p>
          <w:p>
            <w:pPr>
              <w:tabs>
                <w:tab w:val="left" w:pos="0"/>
              </w:tabs>
              <w:spacing w:line="360" w:lineRule="auto"/>
              <w:rPr>
                <w:rFonts w:cs="仿宋_GB2312"/>
                <w:highlight w:val="none"/>
              </w:rPr>
            </w:pPr>
            <w:r>
              <w:rPr>
                <w:rFonts w:hint="eastAsia" w:cs="仿宋_GB2312"/>
                <w:highlight w:val="none"/>
              </w:rPr>
              <w:t>A、具有2年（含）及以上工作经验的工程师，思维逻辑清晰，较好的沟通能力以及文档编写能力。</w:t>
            </w:r>
          </w:p>
          <w:p>
            <w:pPr>
              <w:tabs>
                <w:tab w:val="left" w:pos="0"/>
              </w:tabs>
              <w:spacing w:line="360" w:lineRule="auto"/>
              <w:rPr>
                <w:rFonts w:cs="仿宋_GB2312"/>
                <w:highlight w:val="none"/>
              </w:rPr>
            </w:pPr>
            <w:r>
              <w:rPr>
                <w:rFonts w:hint="eastAsia" w:cs="仿宋_GB2312"/>
                <w:highlight w:val="none"/>
              </w:rPr>
              <w:t>满足得3分，其余不得分。提供社保证明。</w:t>
            </w:r>
          </w:p>
          <w:p>
            <w:pPr>
              <w:tabs>
                <w:tab w:val="left" w:pos="0"/>
              </w:tabs>
              <w:spacing w:line="360" w:lineRule="auto"/>
              <w:rPr>
                <w:rFonts w:cs="仿宋_GB2312"/>
                <w:highlight w:val="none"/>
              </w:rPr>
            </w:pPr>
            <w:r>
              <w:rPr>
                <w:rFonts w:hint="eastAsia" w:cs="仿宋_GB2312"/>
                <w:highlight w:val="none"/>
              </w:rPr>
              <w:t>B、驻场工程师均具有丰富的产品开发和实施技术能力，有制造业尤其是汽车行业经验优先。满足得2分，其余不得分。</w:t>
            </w:r>
          </w:p>
          <w:p>
            <w:pPr>
              <w:tabs>
                <w:tab w:val="left" w:pos="0"/>
              </w:tabs>
              <w:spacing w:line="360" w:lineRule="auto"/>
              <w:rPr>
                <w:rFonts w:cs="仿宋_GB2312"/>
                <w:highlight w:val="none"/>
              </w:rPr>
            </w:pPr>
            <w:r>
              <w:rPr>
                <w:rFonts w:hint="eastAsia" w:cs="仿宋_GB2312"/>
                <w:highlight w:val="none"/>
              </w:rPr>
              <w:t>认证证书扫描件。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07" w:type="dxa"/>
            <w:vMerge w:val="restart"/>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资源池技术支持（</w:t>
            </w:r>
            <w:r>
              <w:rPr>
                <w:rFonts w:ascii="宋体" w:hAnsi="宋体" w:eastAsia="宋体" w:cs="宋体"/>
                <w:kern w:val="0"/>
                <w:szCs w:val="21"/>
                <w:highlight w:val="none"/>
                <w:lang w:bidi="ar"/>
              </w:rPr>
              <w:t>30</w:t>
            </w:r>
            <w:r>
              <w:rPr>
                <w:rFonts w:hint="eastAsia" w:ascii="宋体" w:hAnsi="宋体" w:eastAsia="宋体" w:cs="宋体"/>
                <w:kern w:val="0"/>
                <w:szCs w:val="21"/>
                <w:highlight w:val="none"/>
                <w:lang w:bidi="ar"/>
              </w:rPr>
              <w:t>分）</w:t>
            </w: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技术要求（15分）</w:t>
            </w:r>
          </w:p>
        </w:tc>
        <w:tc>
          <w:tcPr>
            <w:tcW w:w="6098" w:type="dxa"/>
            <w:shd w:val="clear" w:color="auto" w:fill="auto"/>
            <w:vAlign w:val="center"/>
          </w:tcPr>
          <w:p>
            <w:pPr>
              <w:tabs>
                <w:tab w:val="left" w:pos="0"/>
              </w:tabs>
              <w:spacing w:line="360" w:lineRule="auto"/>
              <w:rPr>
                <w:rFonts w:cs="仿宋_GB2312"/>
                <w:highlight w:val="none"/>
              </w:rPr>
            </w:pPr>
            <w:r>
              <w:rPr>
                <w:rFonts w:hint="eastAsia" w:cs="仿宋_GB2312"/>
                <w:highlight w:val="none"/>
              </w:rPr>
              <w:t>1、基于数据仓库和大数据平台的开发能力，熟悉MySQL、Oracle等主流数据库开发，熟练掌握SQL语法编写；</w:t>
            </w:r>
          </w:p>
          <w:p>
            <w:pPr>
              <w:tabs>
                <w:tab w:val="left" w:pos="0"/>
              </w:tabs>
              <w:spacing w:line="360" w:lineRule="auto"/>
              <w:rPr>
                <w:rFonts w:cs="仿宋_GB2312"/>
                <w:highlight w:val="none"/>
              </w:rPr>
            </w:pPr>
            <w:r>
              <w:rPr>
                <w:rFonts w:hint="eastAsia" w:cs="仿宋_GB2312"/>
                <w:highlight w:val="none"/>
              </w:rPr>
              <w:t>2、基于主流的报表开发工具和ETL平台等开发工具进行定制开发、大屏美工优化。</w:t>
            </w:r>
          </w:p>
          <w:p>
            <w:pPr>
              <w:tabs>
                <w:tab w:val="left" w:pos="0"/>
              </w:tabs>
              <w:spacing w:line="360" w:lineRule="auto"/>
              <w:rPr>
                <w:rFonts w:cs="仿宋_GB2312"/>
                <w:highlight w:val="none"/>
              </w:rPr>
            </w:pPr>
            <w:r>
              <w:rPr>
                <w:rFonts w:hint="eastAsia" w:cs="仿宋_GB2312"/>
                <w:highlight w:val="none"/>
              </w:rPr>
              <w:t>3、培训讲师要求取得相关专业认证，且具有丰富的实施和培训经验。</w:t>
            </w:r>
          </w:p>
          <w:p>
            <w:pPr>
              <w:tabs>
                <w:tab w:val="left" w:pos="0"/>
              </w:tabs>
              <w:spacing w:line="360" w:lineRule="auto"/>
              <w:rPr>
                <w:rFonts w:cs="仿宋_GB2312"/>
                <w:highlight w:val="none"/>
              </w:rPr>
            </w:pPr>
            <w:r>
              <w:rPr>
                <w:rFonts w:hint="eastAsia" w:cs="仿宋_GB2312"/>
                <w:highlight w:val="none"/>
              </w:rPr>
              <w:t>4、资源池按任务包完成情况，根据资源投入汇总确认单进行月度或季度结算，包括软件许可和人天服务。</w:t>
            </w:r>
          </w:p>
          <w:p>
            <w:pPr>
              <w:tabs>
                <w:tab w:val="left" w:pos="0"/>
              </w:tabs>
              <w:spacing w:line="360" w:lineRule="auto"/>
              <w:rPr>
                <w:rFonts w:cs="仿宋_GB2312"/>
                <w:highlight w:val="none"/>
              </w:rPr>
            </w:pPr>
            <w:r>
              <w:rPr>
                <w:rFonts w:hint="eastAsia" w:cs="仿宋_GB2312"/>
                <w:highlight w:val="none"/>
              </w:rPr>
              <w:t>5、提供系统可扩展性开发。</w:t>
            </w:r>
          </w:p>
          <w:p>
            <w:pPr>
              <w:tabs>
                <w:tab w:val="left" w:pos="0"/>
              </w:tabs>
              <w:spacing w:line="360" w:lineRule="auto"/>
              <w:rPr>
                <w:rFonts w:cs="仿宋_GB2312"/>
                <w:highlight w:val="none"/>
              </w:rPr>
            </w:pPr>
            <w:r>
              <w:rPr>
                <w:rFonts w:hint="eastAsia" w:cs="仿宋_GB2312"/>
                <w:highlight w:val="none"/>
              </w:rPr>
              <w:t>满足以上5项得12分，其余不得分。</w:t>
            </w:r>
          </w:p>
          <w:p>
            <w:pPr>
              <w:tabs>
                <w:tab w:val="left" w:pos="0"/>
              </w:tabs>
              <w:spacing w:line="360" w:lineRule="auto"/>
              <w:rPr>
                <w:rFonts w:cs="仿宋_GB2312"/>
                <w:highlight w:val="none"/>
              </w:rPr>
            </w:pPr>
            <w:r>
              <w:rPr>
                <w:rFonts w:hint="eastAsia" w:cs="仿宋_GB2312"/>
                <w:highlight w:val="none"/>
              </w:rPr>
              <w:t>6、满足基于FineReport+GBASE+kettle组合工具进行定制开发及进行报表、大屏美工优化。</w:t>
            </w:r>
          </w:p>
          <w:p>
            <w:pPr>
              <w:tabs>
                <w:tab w:val="left" w:pos="0"/>
              </w:tabs>
              <w:spacing w:line="360" w:lineRule="auto"/>
              <w:rPr>
                <w:rFonts w:cs="仿宋_GB2312"/>
                <w:highlight w:val="none"/>
              </w:rPr>
            </w:pPr>
            <w:r>
              <w:rPr>
                <w:rFonts w:hint="eastAsia" w:cs="仿宋_GB2312"/>
                <w:highlight w:val="none"/>
              </w:rPr>
              <w:t>满足第6项得3分，其余不得分。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7" w:type="dxa"/>
            <w:vMerge w:val="continue"/>
            <w:shd w:val="clear" w:color="auto" w:fill="auto"/>
            <w:vAlign w:val="center"/>
          </w:tcPr>
          <w:p>
            <w:pPr>
              <w:tabs>
                <w:tab w:val="left" w:pos="0"/>
              </w:tabs>
              <w:spacing w:line="360" w:lineRule="auto"/>
              <w:rPr>
                <w:rFonts w:ascii="宋体" w:hAnsi="宋体" w:eastAsia="宋体" w:cs="宋体"/>
                <w:kern w:val="0"/>
                <w:szCs w:val="21"/>
                <w:highlight w:val="none"/>
                <w:lang w:bidi="ar"/>
              </w:rPr>
            </w:pP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产品服务支持（10分）</w:t>
            </w:r>
          </w:p>
        </w:tc>
        <w:tc>
          <w:tcPr>
            <w:tcW w:w="6098" w:type="dxa"/>
            <w:shd w:val="clear" w:color="auto" w:fill="auto"/>
            <w:vAlign w:val="center"/>
          </w:tcPr>
          <w:p>
            <w:pPr>
              <w:tabs>
                <w:tab w:val="left" w:pos="0"/>
              </w:tabs>
              <w:spacing w:line="360" w:lineRule="auto"/>
              <w:rPr>
                <w:rFonts w:cs="仿宋_GB2312"/>
                <w:highlight w:val="none"/>
              </w:rPr>
            </w:pPr>
            <w:r>
              <w:rPr>
                <w:rFonts w:hint="eastAsia" w:cs="仿宋_GB2312"/>
                <w:highlight w:val="none"/>
              </w:rPr>
              <w:t>1、定期举办培训，满足用户数据分析培训需求；</w:t>
            </w:r>
          </w:p>
          <w:p>
            <w:pPr>
              <w:tabs>
                <w:tab w:val="left" w:pos="0"/>
              </w:tabs>
              <w:spacing w:line="360" w:lineRule="auto"/>
              <w:rPr>
                <w:rFonts w:cs="仿宋_GB2312"/>
                <w:highlight w:val="none"/>
              </w:rPr>
            </w:pPr>
            <w:r>
              <w:rPr>
                <w:rFonts w:hint="eastAsia" w:cs="仿宋_GB2312"/>
                <w:highlight w:val="none"/>
              </w:rPr>
              <w:t>2、按需提供软件许可，快速响应用户许可需求；</w:t>
            </w:r>
          </w:p>
          <w:p>
            <w:pPr>
              <w:tabs>
                <w:tab w:val="left" w:pos="0"/>
              </w:tabs>
              <w:spacing w:line="360" w:lineRule="auto"/>
              <w:rPr>
                <w:rFonts w:cs="仿宋_GB2312"/>
                <w:highlight w:val="none"/>
              </w:rPr>
            </w:pPr>
            <w:r>
              <w:rPr>
                <w:rFonts w:hint="eastAsia" w:cs="仿宋_GB2312"/>
                <w:highlight w:val="none"/>
              </w:rPr>
              <w:t>3、在用户遇到技术问题时能有技术人员线上快速响应；</w:t>
            </w:r>
          </w:p>
          <w:p>
            <w:pPr>
              <w:tabs>
                <w:tab w:val="left" w:pos="0"/>
              </w:tabs>
              <w:spacing w:line="360" w:lineRule="auto"/>
              <w:rPr>
                <w:rFonts w:cs="仿宋_GB2312"/>
                <w:highlight w:val="none"/>
              </w:rPr>
            </w:pPr>
            <w:r>
              <w:rPr>
                <w:rFonts w:hint="eastAsia" w:cs="仿宋_GB2312"/>
                <w:highlight w:val="none"/>
              </w:rPr>
              <w:t>4、按需使用报表分析开发人天，用于项目的实际应用；</w:t>
            </w:r>
          </w:p>
          <w:p>
            <w:pPr>
              <w:tabs>
                <w:tab w:val="left" w:pos="0"/>
              </w:tabs>
              <w:spacing w:line="360" w:lineRule="auto"/>
              <w:rPr>
                <w:rFonts w:cs="仿宋_GB2312"/>
                <w:highlight w:val="none"/>
              </w:rPr>
            </w:pPr>
            <w:r>
              <w:rPr>
                <w:rFonts w:hint="eastAsia" w:cs="仿宋_GB2312"/>
                <w:highlight w:val="none"/>
              </w:rPr>
              <w:t>5、产品的升级更新。</w:t>
            </w:r>
          </w:p>
          <w:p>
            <w:pPr>
              <w:tabs>
                <w:tab w:val="left" w:pos="0"/>
              </w:tabs>
              <w:spacing w:line="360" w:lineRule="auto"/>
              <w:rPr>
                <w:rFonts w:cs="仿宋_GB2312"/>
                <w:highlight w:val="none"/>
              </w:rPr>
            </w:pPr>
            <w:r>
              <w:rPr>
                <w:rFonts w:hint="eastAsia" w:cs="仿宋_GB2312"/>
                <w:highlight w:val="none"/>
              </w:rPr>
              <w:t>满足以上5项得10分，其余不得分。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307" w:type="dxa"/>
            <w:vMerge w:val="continue"/>
            <w:vAlign w:val="center"/>
          </w:tcPr>
          <w:p>
            <w:pPr>
              <w:tabs>
                <w:tab w:val="left" w:pos="0"/>
              </w:tabs>
              <w:spacing w:line="360" w:lineRule="auto"/>
              <w:rPr>
                <w:rFonts w:ascii="宋体" w:hAnsi="宋体" w:eastAsia="宋体" w:cs="宋体"/>
                <w:kern w:val="0"/>
                <w:szCs w:val="21"/>
                <w:highlight w:val="none"/>
                <w:lang w:bidi="ar"/>
              </w:rPr>
            </w:pPr>
          </w:p>
        </w:tc>
        <w:tc>
          <w:tcPr>
            <w:tcW w:w="2005" w:type="dxa"/>
            <w:shd w:val="clear" w:color="auto" w:fill="auto"/>
            <w:vAlign w:val="center"/>
          </w:tcPr>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信息安全保障措施（5分）</w:t>
            </w:r>
          </w:p>
        </w:tc>
        <w:tc>
          <w:tcPr>
            <w:tcW w:w="6098" w:type="dxa"/>
            <w:shd w:val="clear" w:color="auto" w:fill="auto"/>
            <w:vAlign w:val="center"/>
          </w:tcPr>
          <w:p>
            <w:pPr>
              <w:tabs>
                <w:tab w:val="left" w:pos="0"/>
              </w:tabs>
              <w:spacing w:line="360" w:lineRule="auto"/>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根据应答人提供的信息安全保障措施进行打分：</w:t>
            </w:r>
          </w:p>
          <w:p>
            <w:pPr>
              <w:tabs>
                <w:tab w:val="left" w:pos="0"/>
              </w:tabs>
              <w:spacing w:line="360" w:lineRule="auto"/>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A、优秀：信息安全保障措施科学、合理，预案完整可行，得[4,5]分；</w:t>
            </w:r>
          </w:p>
          <w:p>
            <w:pPr>
              <w:tabs>
                <w:tab w:val="left" w:pos="0"/>
              </w:tabs>
              <w:spacing w:line="360" w:lineRule="auto"/>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B、普通：信息安全保障措施基本合理、各项预案基本可行，得[2,3]分；</w:t>
            </w:r>
          </w:p>
          <w:p>
            <w:pPr>
              <w:tabs>
                <w:tab w:val="left" w:pos="0"/>
              </w:tabs>
              <w:spacing w:line="360" w:lineRule="auto"/>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 xml:space="preserve">C、较差：信息安全保障措施不科学，不合理，预案可行性差，得[0,1]分。分差以1分为基本单位。 </w:t>
            </w:r>
          </w:p>
          <w:p>
            <w:pPr>
              <w:tabs>
                <w:tab w:val="left" w:pos="0"/>
              </w:tabs>
              <w:spacing w:line="360" w:lineRule="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注：未提供不得分。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trPr>
        <w:tc>
          <w:tcPr>
            <w:tcW w:w="1307" w:type="dxa"/>
            <w:vAlign w:val="center"/>
          </w:tcPr>
          <w:p>
            <w:pPr>
              <w:tabs>
                <w:tab w:val="left" w:pos="0"/>
              </w:tabs>
              <w:spacing w:line="360" w:lineRule="auto"/>
              <w:rPr>
                <w:rFonts w:ascii="宋体" w:hAnsi="宋体" w:eastAsia="宋体" w:cs="宋体"/>
                <w:kern w:val="0"/>
                <w:szCs w:val="21"/>
                <w:lang w:bidi="ar"/>
              </w:rPr>
            </w:pPr>
            <w:r>
              <w:rPr>
                <w:rFonts w:hint="eastAsia" w:ascii="宋体" w:hAnsi="宋体" w:eastAsia="宋体" w:cs="宋体"/>
                <w:kern w:val="0"/>
                <w:szCs w:val="21"/>
                <w:lang w:bidi="ar"/>
              </w:rPr>
              <w:t>价格（</w:t>
            </w:r>
            <w:r>
              <w:rPr>
                <w:rFonts w:ascii="宋体" w:hAnsi="宋体" w:eastAsia="宋体" w:cs="宋体"/>
                <w:kern w:val="0"/>
                <w:szCs w:val="21"/>
                <w:lang w:bidi="ar"/>
              </w:rPr>
              <w:t>5</w:t>
            </w:r>
            <w:r>
              <w:rPr>
                <w:rFonts w:hint="eastAsia" w:ascii="宋体" w:hAnsi="宋体" w:eastAsia="宋体" w:cs="宋体"/>
                <w:kern w:val="0"/>
                <w:szCs w:val="21"/>
                <w:lang w:bidi="ar"/>
              </w:rPr>
              <w:t>0分）</w:t>
            </w:r>
          </w:p>
        </w:tc>
        <w:tc>
          <w:tcPr>
            <w:tcW w:w="2005" w:type="dxa"/>
            <w:shd w:val="clear" w:color="auto" w:fill="auto"/>
            <w:vAlign w:val="center"/>
          </w:tcPr>
          <w:p>
            <w:pPr>
              <w:tabs>
                <w:tab w:val="left" w:pos="0"/>
              </w:tabs>
              <w:spacing w:line="360" w:lineRule="auto"/>
              <w:rPr>
                <w:rFonts w:ascii="宋体" w:hAnsi="宋体" w:eastAsia="宋体" w:cs="宋体"/>
                <w:kern w:val="0"/>
                <w:szCs w:val="21"/>
                <w:lang w:bidi="ar"/>
              </w:rPr>
            </w:pPr>
            <w:r>
              <w:rPr>
                <w:rFonts w:hint="eastAsia" w:ascii="宋体" w:hAnsi="宋体" w:eastAsia="宋体" w:cs="宋体"/>
                <w:kern w:val="0"/>
                <w:szCs w:val="21"/>
                <w:lang w:bidi="ar"/>
              </w:rPr>
              <w:t>项目报价（</w:t>
            </w:r>
            <w:r>
              <w:rPr>
                <w:rFonts w:ascii="宋体" w:hAnsi="宋体" w:eastAsia="宋体" w:cs="宋体"/>
                <w:kern w:val="0"/>
                <w:szCs w:val="21"/>
                <w:lang w:bidi="ar"/>
              </w:rPr>
              <w:t>50</w:t>
            </w:r>
            <w:r>
              <w:rPr>
                <w:rFonts w:hint="eastAsia" w:ascii="宋体" w:hAnsi="宋体" w:eastAsia="宋体" w:cs="宋体"/>
                <w:kern w:val="0"/>
                <w:szCs w:val="21"/>
                <w:lang w:bidi="ar"/>
              </w:rPr>
              <w:t>分）</w:t>
            </w:r>
          </w:p>
        </w:tc>
        <w:tc>
          <w:tcPr>
            <w:tcW w:w="6098" w:type="dxa"/>
            <w:shd w:val="clear" w:color="auto" w:fill="auto"/>
            <w:vAlign w:val="center"/>
          </w:tcPr>
          <w:p>
            <w:pPr>
              <w:tabs>
                <w:tab w:val="left" w:pos="0"/>
              </w:tabs>
              <w:spacing w:line="360" w:lineRule="auto"/>
              <w:rPr>
                <w:rFonts w:cs="仿宋_GB2312"/>
              </w:rPr>
            </w:pPr>
            <w:r>
              <w:rPr>
                <w:rFonts w:hint="eastAsia" w:cs="仿宋_GB2312"/>
              </w:rPr>
              <w:t>1.经初审合格的投标文件其投标报价为有效报价。满足招标文件要求且投标报价最低的投标报价为评标基准价，其价格分为满分（标准分）。其他投标人的价格分统一按照下列公式计算：投标报价得分=(评标基准价／投标报价)×</w:t>
            </w:r>
            <w:r>
              <w:rPr>
                <w:rFonts w:hint="eastAsia" w:cs="仿宋_GB2312"/>
                <w:lang w:val="en-US" w:eastAsia="zh-CN"/>
              </w:rPr>
              <w:t>5</w:t>
            </w:r>
            <w:r>
              <w:rPr>
                <w:rFonts w:hint="eastAsia" w:cs="仿宋_GB2312"/>
              </w:rPr>
              <w:t>0。</w:t>
            </w:r>
          </w:p>
          <w:p>
            <w:pPr>
              <w:tabs>
                <w:tab w:val="left" w:pos="0"/>
              </w:tabs>
              <w:spacing w:line="360" w:lineRule="auto"/>
              <w:rPr>
                <w:rFonts w:ascii="宋体" w:hAnsi="宋体" w:eastAsia="宋体" w:cs="宋体"/>
                <w:kern w:val="0"/>
                <w:szCs w:val="21"/>
                <w:lang w:bidi="ar"/>
              </w:rPr>
            </w:pPr>
            <w:r>
              <w:rPr>
                <w:rFonts w:hint="eastAsia" w:cs="仿宋_GB2312"/>
              </w:rPr>
              <w:t>2.评标价格均以元（RMB）为单位计算，百分率、得分值小数点后保留二位，第三位四舍五入。</w:t>
            </w:r>
          </w:p>
        </w:tc>
      </w:tr>
    </w:tbl>
    <w:p>
      <w:pPr>
        <w:tabs>
          <w:tab w:val="left" w:pos="0"/>
        </w:tabs>
        <w:spacing w:line="360" w:lineRule="auto"/>
        <w:jc w:val="both"/>
        <w:rPr>
          <w:rFonts w:ascii="宋体" w:hAnsi="宋体" w:eastAsia="宋体" w:cs="宋体"/>
          <w:b/>
          <w:bCs/>
          <w:kern w:val="0"/>
          <w:sz w:val="24"/>
          <w:lang w:bidi="ar"/>
        </w:rPr>
      </w:pPr>
    </w:p>
    <w:p>
      <w:pPr>
        <w:pStyle w:val="24"/>
        <w:keepNext w:val="0"/>
        <w:widowControl/>
        <w:numPr>
          <w:ilvl w:val="1"/>
          <w:numId w:val="0"/>
        </w:numPr>
        <w:ind w:firstLine="562" w:firstLineChars="200"/>
      </w:pPr>
      <w:bookmarkStart w:id="58" w:name="_Toc265850581"/>
      <w:bookmarkStart w:id="59" w:name="_Toc264881861"/>
      <w:bookmarkStart w:id="60" w:name="_Toc234922356"/>
      <w:bookmarkStart w:id="61" w:name="_Toc6617"/>
      <w:r>
        <w:rPr>
          <w:rFonts w:hint="eastAsia" w:cs="宋体"/>
        </w:rPr>
        <w:t>8.1中标</w:t>
      </w:r>
      <w:bookmarkEnd w:id="58"/>
      <w:bookmarkEnd w:id="59"/>
      <w:bookmarkEnd w:id="60"/>
      <w:r>
        <w:rPr>
          <w:rFonts w:hint="eastAsia" w:cs="宋体"/>
        </w:rPr>
        <w:t>及合同签订</w:t>
      </w:r>
      <w:bookmarkEnd w:id="61"/>
    </w:p>
    <w:p>
      <w:pPr>
        <w:pStyle w:val="25"/>
        <w:widowControl/>
        <w:numPr>
          <w:ilvl w:val="0"/>
          <w:numId w:val="19"/>
        </w:numPr>
      </w:pPr>
      <w:bookmarkStart w:id="62" w:name="_Toc265850587"/>
      <w:r>
        <w:rPr>
          <w:rFonts w:hint="eastAsia" w:cs="宋体"/>
        </w:rPr>
        <w:t>招标人根据竞争性谈判结果确定中标人，并通知中标人；招标人不承诺将合同授予报价最低的投标人。</w:t>
      </w:r>
    </w:p>
    <w:p>
      <w:pPr>
        <w:pStyle w:val="25"/>
        <w:widowControl/>
        <w:numPr>
          <w:ilvl w:val="0"/>
          <w:numId w:val="19"/>
        </w:numPr>
      </w:pPr>
      <w:r>
        <w:rPr>
          <w:rFonts w:hint="eastAsia" w:cs="宋体"/>
        </w:rPr>
        <w:t>本项目</w:t>
      </w:r>
      <w:r>
        <w:rPr>
          <w:szCs w:val="24"/>
        </w:rPr>
        <w:t>根据投标人资质及专家组评分按分值</w:t>
      </w:r>
      <w:r>
        <w:rPr>
          <w:rFonts w:hint="eastAsia"/>
          <w:szCs w:val="24"/>
        </w:rPr>
        <w:t>取不超过三名厂家进入</w:t>
      </w:r>
      <w:r>
        <w:rPr>
          <w:szCs w:val="24"/>
        </w:rPr>
        <w:t>服务商名录</w:t>
      </w:r>
      <w:r>
        <w:rPr>
          <w:rFonts w:hint="eastAsia" w:cs="宋体"/>
        </w:rPr>
        <w:t>。</w:t>
      </w:r>
    </w:p>
    <w:p>
      <w:pPr>
        <w:pStyle w:val="25"/>
        <w:widowControl/>
        <w:numPr>
          <w:ilvl w:val="0"/>
          <w:numId w:val="19"/>
        </w:numPr>
      </w:pPr>
      <w:r>
        <w:rPr>
          <w:rFonts w:hint="eastAsia" w:cs="宋体"/>
        </w:rPr>
        <w:t>招标人发送《中标通知书》给中标人，中标人应及时与招标人联系，在规定的时间内与招标单位签订合同。如果中标人接到《中标通知书》后，无不正当理由拒签合同、在签订合同时向招标人提出无理附加条件的，取消该投标人的入围资格，该投标人</w:t>
      </w:r>
      <w:r>
        <w:t>2</w:t>
      </w:r>
      <w:r>
        <w:rPr>
          <w:rFonts w:hint="eastAsia" w:cs="宋体"/>
        </w:rPr>
        <w:t>年不得参与中国重汽集团济南动力有限公司发布的招投标项目。</w:t>
      </w:r>
    </w:p>
    <w:p>
      <w:pPr>
        <w:pStyle w:val="25"/>
        <w:widowControl/>
        <w:numPr>
          <w:ilvl w:val="0"/>
          <w:numId w:val="19"/>
        </w:numPr>
      </w:pPr>
      <w:r>
        <w:rPr>
          <w:rFonts w:hint="eastAsia" w:cs="宋体"/>
        </w:rPr>
        <w:t>中标人应当按照合同约定的履约责任，在保证质量的前提下完成中标项目，不得将中标项目转包或分包给他人，否则视为违约，招标人有权解除合同。</w:t>
      </w:r>
    </w:p>
    <w:p>
      <w:pPr>
        <w:pStyle w:val="25"/>
        <w:widowControl/>
        <w:numPr>
          <w:ilvl w:val="0"/>
          <w:numId w:val="19"/>
        </w:numPr>
      </w:pPr>
      <w:r>
        <w:rPr>
          <w:rFonts w:hint="eastAsia" w:cs="宋体"/>
        </w:rPr>
        <w:t>在履行合同过程中，中标人由于履行义务的能力或信用有严重缺陷，招标人有权取消其中标资格，招标人将从中标候选单位中依序重新确定中标人，或重新组织招标。</w:t>
      </w:r>
    </w:p>
    <w:p>
      <w:pPr>
        <w:pStyle w:val="24"/>
        <w:keepNext w:val="0"/>
        <w:widowControl/>
        <w:numPr>
          <w:ilvl w:val="1"/>
          <w:numId w:val="0"/>
        </w:numPr>
        <w:ind w:firstLine="562" w:firstLineChars="200"/>
      </w:pPr>
      <w:bookmarkStart w:id="63" w:name="_Toc31901"/>
      <w:r>
        <w:rPr>
          <w:rFonts w:hint="eastAsia" w:cs="宋体"/>
        </w:rPr>
        <w:t>8.2废标</w:t>
      </w:r>
      <w:bookmarkEnd w:id="63"/>
    </w:p>
    <w:p>
      <w:pPr>
        <w:spacing w:line="520" w:lineRule="exact"/>
        <w:ind w:right="2" w:firstLine="210"/>
        <w:rPr>
          <w:rFonts w:ascii="Times New Roman" w:hAnsi="Times New Roman" w:cs="Times New Roman"/>
          <w:sz w:val="24"/>
          <w:szCs w:val="22"/>
        </w:rPr>
      </w:pPr>
      <w:r>
        <w:rPr>
          <w:rFonts w:ascii="Times New Roman" w:hAnsi="Times New Roman" w:eastAsia="宋体" w:cs="Times New Roman"/>
          <w:sz w:val="24"/>
          <w:szCs w:val="22"/>
          <w:lang w:bidi="ar"/>
        </w:rPr>
        <w:t>1</w:t>
      </w:r>
      <w:r>
        <w:rPr>
          <w:rFonts w:hint="eastAsia" w:ascii="Times New Roman" w:hAnsi="Times New Roman" w:eastAsia="宋体" w:cs="宋体"/>
          <w:sz w:val="24"/>
          <w:szCs w:val="22"/>
          <w:lang w:bidi="ar"/>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（1）投标人提供的有关资格、资质证明文件不合格、不真实或提供虚假投标材料；</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（2）投标人在报价有效期内撤回投标；</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（3）在整个评标过程中，投标人有企图影响评标结果公正性的任何活动；</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（4）投标人以任何方式诋毁其他投标人；</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（5）投标人串通投标；</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（6）以他人名义投标或者以其他方式弄虚作假，骗取中标的；</w:t>
      </w:r>
    </w:p>
    <w:p>
      <w:pPr>
        <w:spacing w:line="520" w:lineRule="exact"/>
        <w:ind w:right="2" w:firstLine="480" w:firstLineChars="200"/>
        <w:rPr>
          <w:rFonts w:hint="eastAsia" w:ascii="宋体" w:hAnsi="Courier New" w:eastAsia="宋体" w:cs="宋体"/>
          <w:sz w:val="24"/>
          <w:szCs w:val="22"/>
          <w:lang w:bidi="ar"/>
        </w:rPr>
      </w:pPr>
      <w:r>
        <w:rPr>
          <w:rFonts w:hint="eastAsia" w:ascii="宋体" w:hAnsi="Courier New" w:eastAsia="宋体" w:cs="宋体"/>
          <w:sz w:val="24"/>
          <w:szCs w:val="22"/>
          <w:lang w:bidi="ar"/>
        </w:rPr>
        <w:t>（7）法律、法规规定的其他情况。</w:t>
      </w:r>
    </w:p>
    <w:p>
      <w:pPr>
        <w:spacing w:line="520" w:lineRule="exact"/>
        <w:ind w:right="2" w:firstLine="480" w:firstLineChars="200"/>
        <w:rPr>
          <w:rFonts w:hint="eastAsia" w:ascii="宋体" w:hAnsi="Courier New" w:eastAsia="宋体" w:cs="宋体"/>
          <w:sz w:val="24"/>
          <w:szCs w:val="22"/>
          <w:lang w:bidi="ar"/>
        </w:rPr>
      </w:pPr>
      <w:r>
        <w:rPr>
          <w:rFonts w:hint="eastAsia" w:ascii="宋体" w:hAnsi="Courier New" w:eastAsia="宋体" w:cs="宋体"/>
          <w:sz w:val="24"/>
          <w:szCs w:val="22"/>
          <w:lang w:eastAsia="zh-CN" w:bidi="ar"/>
        </w:rPr>
        <w:t>（</w:t>
      </w:r>
      <w:r>
        <w:rPr>
          <w:rFonts w:hint="eastAsia" w:ascii="宋体" w:hAnsi="Courier New" w:eastAsia="宋体" w:cs="宋体"/>
          <w:sz w:val="24"/>
          <w:szCs w:val="22"/>
          <w:lang w:val="en-US" w:eastAsia="zh-CN" w:bidi="ar"/>
        </w:rPr>
        <w:t>8</w:t>
      </w:r>
      <w:r>
        <w:rPr>
          <w:rFonts w:hint="eastAsia" w:ascii="宋体" w:hAnsi="Courier New" w:eastAsia="宋体" w:cs="宋体"/>
          <w:sz w:val="24"/>
          <w:szCs w:val="22"/>
          <w:lang w:eastAsia="zh-CN" w:bidi="ar"/>
        </w:rPr>
        <w:t>）</w:t>
      </w:r>
      <w:r>
        <w:rPr>
          <w:rFonts w:hint="eastAsia" w:ascii="宋体" w:hAnsi="Courier New" w:eastAsia="宋体" w:cs="宋体"/>
          <w:sz w:val="24"/>
          <w:szCs w:val="22"/>
          <w:lang w:bidi="ar"/>
        </w:rPr>
        <w:t>投标人负责人为同一人或者存在控股、管理关系的不同单位；</w:t>
      </w:r>
    </w:p>
    <w:p>
      <w:pPr>
        <w:spacing w:line="520" w:lineRule="exact"/>
        <w:ind w:right="2" w:firstLine="480" w:firstLineChars="200"/>
        <w:rPr>
          <w:rFonts w:hint="eastAsia" w:ascii="宋体" w:hAnsi="Courier New" w:eastAsia="宋体" w:cs="宋体"/>
          <w:sz w:val="24"/>
          <w:szCs w:val="22"/>
          <w:lang w:eastAsia="zh-CN" w:bidi="ar"/>
        </w:rPr>
      </w:pPr>
      <w:r>
        <w:rPr>
          <w:rFonts w:hint="eastAsia" w:ascii="宋体" w:hAnsi="Courier New" w:eastAsia="宋体" w:cs="宋体"/>
          <w:sz w:val="24"/>
          <w:szCs w:val="22"/>
          <w:lang w:eastAsia="zh-CN" w:bidi="ar"/>
        </w:rPr>
        <w:t>（</w:t>
      </w:r>
      <w:r>
        <w:rPr>
          <w:rFonts w:hint="eastAsia" w:ascii="宋体" w:hAnsi="Courier New" w:eastAsia="宋体" w:cs="宋体"/>
          <w:sz w:val="24"/>
          <w:szCs w:val="22"/>
          <w:lang w:val="en-US" w:eastAsia="zh-CN" w:bidi="ar"/>
        </w:rPr>
        <w:t>9</w:t>
      </w:r>
      <w:r>
        <w:rPr>
          <w:rFonts w:hint="eastAsia" w:ascii="宋体" w:hAnsi="Courier New" w:eastAsia="宋体" w:cs="宋体"/>
          <w:sz w:val="24"/>
          <w:szCs w:val="22"/>
          <w:lang w:eastAsia="zh-CN" w:bidi="ar"/>
        </w:rPr>
        <w:t>）</w:t>
      </w:r>
      <w:r>
        <w:rPr>
          <w:rFonts w:hint="eastAsia" w:ascii="宋体" w:hAnsi="Courier New" w:eastAsia="宋体" w:cs="宋体"/>
          <w:sz w:val="24"/>
          <w:szCs w:val="22"/>
          <w:lang w:bidi="ar"/>
        </w:rPr>
        <w:t>投标人被举报</w:t>
      </w:r>
      <w:r>
        <w:rPr>
          <w:rFonts w:hint="eastAsia" w:ascii="宋体" w:hAnsi="Courier New" w:eastAsia="宋体" w:cs="宋体"/>
          <w:sz w:val="24"/>
          <w:szCs w:val="22"/>
          <w:lang w:eastAsia="zh-CN" w:bidi="ar"/>
        </w:rPr>
        <w:t>、</w:t>
      </w:r>
      <w:r>
        <w:rPr>
          <w:rFonts w:hint="eastAsia" w:ascii="宋体" w:hAnsi="Courier New" w:eastAsia="宋体" w:cs="宋体"/>
          <w:sz w:val="24"/>
          <w:szCs w:val="22"/>
          <w:lang w:bidi="ar"/>
        </w:rPr>
        <w:t>检举，并经招标方查实无误的。</w:t>
      </w:r>
    </w:p>
    <w:p>
      <w:pPr>
        <w:spacing w:line="520" w:lineRule="exact"/>
        <w:ind w:right="2" w:firstLine="210"/>
        <w:rPr>
          <w:rFonts w:ascii="宋体" w:hAnsi="Courier New" w:eastAsia="宋体" w:cs="宋体"/>
          <w:sz w:val="24"/>
          <w:szCs w:val="22"/>
        </w:rPr>
      </w:pPr>
      <w:r>
        <w:rPr>
          <w:rFonts w:hint="eastAsia" w:ascii="宋体" w:hAnsi="Courier New" w:eastAsia="宋体" w:cs="宋体"/>
          <w:sz w:val="24"/>
          <w:szCs w:val="22"/>
          <w:lang w:bidi="ar"/>
        </w:rPr>
        <w:t>2、出现下列情形之一，招标人有权否决所有投标人的投标，并终止招标</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（1）出现影响采购公正的违法、违规行为的；</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（2）评标委员会经评审，认为所有投标都不符合招标文件要求的；</w:t>
      </w:r>
    </w:p>
    <w:p>
      <w:pPr>
        <w:spacing w:line="520" w:lineRule="exact"/>
        <w:ind w:right="2" w:firstLine="480" w:firstLineChars="200"/>
        <w:rPr>
          <w:rFonts w:ascii="宋体" w:hAnsi="Courier New" w:eastAsia="宋体" w:cs="宋体"/>
          <w:sz w:val="24"/>
          <w:szCs w:val="22"/>
        </w:rPr>
      </w:pPr>
      <w:r>
        <w:rPr>
          <w:rFonts w:hint="eastAsia" w:ascii="宋体" w:hAnsi="Courier New" w:eastAsia="宋体" w:cs="宋体"/>
          <w:sz w:val="24"/>
          <w:szCs w:val="22"/>
          <w:lang w:bidi="ar"/>
        </w:rPr>
        <w:t>（3）因重大变故，采购任务取消的；</w:t>
      </w:r>
    </w:p>
    <w:p>
      <w:pPr>
        <w:spacing w:line="520" w:lineRule="exact"/>
        <w:ind w:right="2" w:firstLine="480" w:firstLineChars="200"/>
        <w:rPr>
          <w:rFonts w:hint="eastAsia" w:ascii="宋体" w:hAnsi="Courier New" w:eastAsia="宋体" w:cs="宋体"/>
          <w:sz w:val="24"/>
          <w:szCs w:val="22"/>
          <w:lang w:bidi="ar"/>
        </w:rPr>
      </w:pPr>
      <w:r>
        <w:rPr>
          <w:rFonts w:hint="eastAsia" w:ascii="宋体" w:hAnsi="Courier New" w:eastAsia="宋体" w:cs="宋体"/>
          <w:sz w:val="24"/>
          <w:szCs w:val="22"/>
          <w:lang w:bidi="ar"/>
        </w:rPr>
        <w:t>（4）符合条件的投标人或者对招标文件做实质响应的投标人不足三家的。</w:t>
      </w:r>
    </w:p>
    <w:p>
      <w:pPr>
        <w:spacing w:line="520" w:lineRule="exact"/>
        <w:ind w:right="2" w:firstLine="480" w:firstLineChars="200"/>
        <w:rPr>
          <w:rFonts w:hint="eastAsia" w:ascii="宋体" w:hAnsi="Courier New" w:eastAsia="宋体" w:cs="宋体"/>
          <w:sz w:val="24"/>
          <w:szCs w:val="22"/>
          <w:lang w:bidi="ar"/>
        </w:rPr>
      </w:pPr>
      <w:r>
        <w:rPr>
          <w:rFonts w:hint="eastAsia" w:ascii="宋体" w:hAnsi="Courier New" w:eastAsia="宋体" w:cs="宋体"/>
          <w:sz w:val="24"/>
          <w:szCs w:val="22"/>
          <w:lang w:eastAsia="zh-CN" w:bidi="ar"/>
        </w:rPr>
        <w:t>（</w:t>
      </w:r>
      <w:r>
        <w:rPr>
          <w:rFonts w:hint="eastAsia" w:ascii="宋体" w:hAnsi="Courier New" w:eastAsia="宋体" w:cs="宋体"/>
          <w:sz w:val="24"/>
          <w:szCs w:val="22"/>
          <w:lang w:val="en-US" w:eastAsia="zh-CN" w:bidi="ar"/>
        </w:rPr>
        <w:t>5</w:t>
      </w:r>
      <w:r>
        <w:rPr>
          <w:rFonts w:hint="eastAsia" w:ascii="宋体" w:hAnsi="Courier New" w:eastAsia="宋体" w:cs="宋体"/>
          <w:sz w:val="24"/>
          <w:szCs w:val="22"/>
          <w:lang w:eastAsia="zh-CN" w:bidi="ar"/>
        </w:rPr>
        <w:t>）</w:t>
      </w:r>
      <w:r>
        <w:rPr>
          <w:rFonts w:hint="eastAsia" w:ascii="宋体" w:hAnsi="Courier New" w:eastAsia="宋体" w:cs="宋体"/>
          <w:sz w:val="24"/>
          <w:szCs w:val="22"/>
          <w:lang w:bidi="ar"/>
        </w:rPr>
        <w:t>招标人认为其他应终止招标的情形。</w:t>
      </w:r>
    </w:p>
    <w:p>
      <w:pPr>
        <w:spacing w:line="520" w:lineRule="exact"/>
        <w:ind w:right="2" w:firstLine="480" w:firstLineChars="200"/>
        <w:rPr>
          <w:rFonts w:hint="eastAsia" w:ascii="宋体" w:hAnsi="Courier New" w:eastAsia="宋体" w:cs="宋体"/>
          <w:sz w:val="24"/>
          <w:szCs w:val="22"/>
          <w:lang w:eastAsia="zh-CN" w:bidi="ar"/>
        </w:rPr>
      </w:pPr>
      <w:r>
        <w:rPr>
          <w:rFonts w:hint="eastAsia" w:ascii="宋体" w:hAnsi="Courier New" w:eastAsia="宋体" w:cs="宋体"/>
          <w:sz w:val="24"/>
          <w:szCs w:val="22"/>
          <w:lang w:bidi="ar"/>
        </w:rPr>
        <w:t>投标人承诺同意由于招标人公司政策变化引起的随时终止项目的要求并承担由此带来的一切损失。</w:t>
      </w:r>
    </w:p>
    <w:p>
      <w:pPr>
        <w:pStyle w:val="24"/>
        <w:keepNext w:val="0"/>
        <w:widowControl/>
        <w:numPr>
          <w:ilvl w:val="1"/>
          <w:numId w:val="0"/>
        </w:numPr>
        <w:ind w:firstLine="562" w:firstLineChars="200"/>
        <w:rPr>
          <w:rFonts w:cs="宋体"/>
        </w:rPr>
      </w:pPr>
      <w:bookmarkStart w:id="64" w:name="_Toc5145"/>
      <w:r>
        <w:rPr>
          <w:rFonts w:hint="eastAsia" w:cs="宋体"/>
        </w:rPr>
        <w:t>8.3瑕疵滞后发现的处理</w:t>
      </w:r>
      <w:bookmarkEnd w:id="64"/>
    </w:p>
    <w:p>
      <w:pPr>
        <w:spacing w:line="520" w:lineRule="exact"/>
        <w:ind w:right="2" w:firstLine="480"/>
        <w:rPr>
          <w:rFonts w:ascii="宋体" w:cs="宋体"/>
          <w:sz w:val="24"/>
          <w:szCs w:val="22"/>
        </w:rPr>
      </w:pPr>
      <w:r>
        <w:rPr>
          <w:rFonts w:hint="eastAsia" w:ascii="宋体" w:hAnsi="Courier New" w:eastAsia="宋体" w:cs="宋体"/>
          <w:sz w:val="24"/>
          <w:szCs w:val="22"/>
          <w:lang w:bidi="ar"/>
        </w:rPr>
        <w:t xml:space="preserve">  </w:t>
      </w:r>
      <w:r>
        <w:rPr>
          <w:rFonts w:hint="eastAsia" w:ascii="宋体" w:eastAsia="宋体" w:cs="宋体"/>
          <w:sz w:val="24"/>
          <w:szCs w:val="22"/>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pPr>
        <w:pStyle w:val="24"/>
        <w:numPr>
          <w:ilvl w:val="1"/>
          <w:numId w:val="0"/>
        </w:numPr>
        <w:ind w:firstLine="562" w:firstLineChars="200"/>
      </w:pPr>
      <w:bookmarkStart w:id="65" w:name="_Toc53753563"/>
      <w:bookmarkStart w:id="66" w:name="_Toc21242"/>
      <w:r>
        <w:rPr>
          <w:rFonts w:hint="eastAsia"/>
        </w:rPr>
        <w:t>8.4合同以双方最终签署的版本为准</w:t>
      </w:r>
      <w:bookmarkEnd w:id="65"/>
      <w:bookmarkEnd w:id="66"/>
    </w:p>
    <w:p>
      <w:pPr>
        <w:pStyle w:val="24"/>
        <w:keepNext w:val="0"/>
        <w:widowControl/>
        <w:numPr>
          <w:ilvl w:val="1"/>
          <w:numId w:val="0"/>
        </w:numPr>
        <w:ind w:firstLine="562" w:firstLineChars="200"/>
        <w:rPr>
          <w:rFonts w:cs="宋体"/>
          <w:color w:val="000000" w:themeColor="text1"/>
          <w14:textFill>
            <w14:solidFill>
              <w14:schemeClr w14:val="tx1"/>
            </w14:solidFill>
          </w14:textFill>
        </w:rPr>
      </w:pPr>
      <w:bookmarkStart w:id="67" w:name="_Toc64471680"/>
      <w:bookmarkStart w:id="68" w:name="_Toc30795"/>
      <w:r>
        <w:rPr>
          <w:rFonts w:hint="eastAsia" w:cs="宋体"/>
          <w:color w:val="000000" w:themeColor="text1"/>
          <w14:textFill>
            <w14:solidFill>
              <w14:schemeClr w14:val="tx1"/>
            </w14:solidFill>
          </w14:textFill>
        </w:rPr>
        <w:t>8.5解释权</w:t>
      </w:r>
      <w:bookmarkEnd w:id="67"/>
      <w:bookmarkEnd w:id="68"/>
    </w:p>
    <w:p>
      <w:pPr>
        <w:pStyle w:val="24"/>
        <w:keepNext w:val="0"/>
        <w:widowControl/>
        <w:numPr>
          <w:ilvl w:val="1"/>
          <w:numId w:val="0"/>
        </w:numPr>
        <w:ind w:firstLine="480" w:firstLineChars="200"/>
      </w:pPr>
      <w:bookmarkStart w:id="69" w:name="_Toc64471681"/>
      <w:bookmarkStart w:id="70" w:name="_Toc26015"/>
      <w:bookmarkStart w:id="71" w:name="_Toc19627"/>
      <w:bookmarkStart w:id="72" w:name="_Toc12773"/>
      <w:bookmarkStart w:id="73" w:name="_Toc31041"/>
      <w:r>
        <w:rPr>
          <w:rFonts w:hint="eastAsia" w:ascii="宋体" w:hAnsi="Calibri" w:cs="宋体"/>
          <w:b w:val="0"/>
          <w:bCs/>
          <w:color w:val="000000" w:themeColor="text1"/>
          <w:sz w:val="24"/>
          <w:szCs w:val="22"/>
          <w14:textFill>
            <w14:solidFill>
              <w14:schemeClr w14:val="tx1"/>
            </w14:solidFill>
          </w14:textFill>
        </w:rPr>
        <w:t>本招标文件的最终解释权归招标人，当对一个问题有多种解释时以招标人的书面解释为准。招标文件未做须知明示，而又有相关法律、法规规定的，招标人对此所做解释以相关的法律、法规规定为依据。</w:t>
      </w:r>
      <w:bookmarkEnd w:id="69"/>
      <w:bookmarkEnd w:id="70"/>
      <w:bookmarkEnd w:id="71"/>
      <w:bookmarkEnd w:id="72"/>
      <w:bookmarkEnd w:id="73"/>
    </w:p>
    <w:p>
      <w:pPr>
        <w:wordWrap w:val="0"/>
        <w:jc w:val="right"/>
        <w:rPr>
          <w:rFonts w:ascii="黑体" w:hAnsi="Calibri" w:eastAsia="黑体" w:cs="黑体"/>
          <w:sz w:val="28"/>
          <w:szCs w:val="28"/>
        </w:rPr>
      </w:pPr>
      <w:r>
        <w:rPr>
          <w:rFonts w:hint="eastAsia" w:ascii="黑体" w:hAnsi="Calibri" w:eastAsia="黑体" w:cs="黑体"/>
          <w:sz w:val="28"/>
          <w:szCs w:val="28"/>
          <w:lang w:bidi="ar"/>
        </w:rPr>
        <w:t xml:space="preserve">          </w:t>
      </w: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jc w:val="center"/>
      </w:pPr>
    </w:p>
    <w:p>
      <w:pPr>
        <w:pStyle w:val="21"/>
        <w:widowControl/>
        <w:ind w:firstLine="0" w:firstLineChars="0"/>
      </w:pPr>
    </w:p>
    <w:p>
      <w:pPr>
        <w:pStyle w:val="21"/>
        <w:widowControl/>
        <w:ind w:firstLine="0" w:firstLineChars="0"/>
        <w:jc w:val="center"/>
        <w:rPr>
          <w:b/>
          <w:sz w:val="32"/>
          <w:szCs w:val="32"/>
        </w:rPr>
      </w:pPr>
      <w:r>
        <w:drawing>
          <wp:inline distT="0" distB="0" distL="114300" distR="114300">
            <wp:extent cx="3476625" cy="1209675"/>
            <wp:effectExtent l="0" t="0" r="317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476625" cy="1209675"/>
                    </a:xfrm>
                    <a:prstGeom prst="rect">
                      <a:avLst/>
                    </a:prstGeom>
                    <a:noFill/>
                    <a:ln>
                      <a:noFill/>
                    </a:ln>
                  </pic:spPr>
                </pic:pic>
              </a:graphicData>
            </a:graphic>
          </wp:inline>
        </w:drawing>
      </w:r>
    </w:p>
    <w:p>
      <w:pPr>
        <w:spacing w:before="156" w:beforeLines="50" w:after="156" w:afterLines="50"/>
        <w:jc w:val="center"/>
        <w:rPr>
          <w:rFonts w:ascii="宋体" w:hAnsi="宋体" w:eastAsia="宋体" w:cs="宋体"/>
          <w:b/>
          <w:sz w:val="48"/>
          <w:szCs w:val="48"/>
        </w:rPr>
      </w:pPr>
    </w:p>
    <w:p>
      <w:pPr>
        <w:spacing w:before="156" w:beforeLines="50" w:after="156" w:afterLines="50"/>
        <w:jc w:val="center"/>
        <w:rPr>
          <w:rFonts w:ascii="宋体" w:hAnsi="宋体" w:eastAsia="宋体" w:cs="宋体"/>
          <w:b/>
          <w:sz w:val="48"/>
          <w:szCs w:val="48"/>
        </w:rPr>
      </w:pPr>
      <w:r>
        <w:rPr>
          <w:rFonts w:hint="eastAsia" w:ascii="宋体" w:hAnsi="宋体" w:eastAsia="宋体" w:cs="宋体"/>
          <w:b/>
          <w:sz w:val="48"/>
          <w:szCs w:val="48"/>
          <w:lang w:bidi="ar"/>
        </w:rPr>
        <w:t>中国重汽集团</w:t>
      </w:r>
    </w:p>
    <w:p>
      <w:pPr>
        <w:jc w:val="center"/>
        <w:rPr>
          <w:rFonts w:hint="eastAsia" w:ascii="宋体" w:hAnsi="宋体" w:eastAsia="宋体" w:cs="宋体"/>
          <w:b/>
          <w:sz w:val="44"/>
          <w:szCs w:val="44"/>
          <w:lang w:eastAsia="zh-CN" w:bidi="ar"/>
        </w:rPr>
      </w:pPr>
      <w:r>
        <w:rPr>
          <w:rFonts w:hint="eastAsia" w:ascii="宋体" w:hAnsi="宋体" w:eastAsia="宋体" w:cs="宋体"/>
          <w:b/>
          <w:sz w:val="44"/>
          <w:szCs w:val="44"/>
          <w:lang w:val="en-US" w:eastAsia="zh-CN" w:bidi="ar"/>
        </w:rPr>
        <w:t>信息化资源池</w:t>
      </w:r>
      <w:r>
        <w:rPr>
          <w:rFonts w:hint="eastAsia" w:ascii="宋体" w:hAnsi="宋体" w:eastAsia="宋体" w:cs="宋体"/>
          <w:b/>
          <w:sz w:val="44"/>
          <w:szCs w:val="44"/>
          <w:lang w:bidi="ar"/>
        </w:rPr>
        <w:t>项目</w:t>
      </w:r>
      <w:r>
        <w:rPr>
          <w:rFonts w:hint="eastAsia" w:ascii="宋体" w:hAnsi="宋体" w:eastAsia="宋体" w:cs="宋体"/>
          <w:b/>
          <w:sz w:val="44"/>
          <w:szCs w:val="44"/>
          <w:lang w:eastAsia="zh-CN" w:bidi="ar"/>
        </w:rPr>
        <w:t>（</w:t>
      </w:r>
      <w:r>
        <w:rPr>
          <w:rFonts w:hint="eastAsia" w:ascii="宋体" w:hAnsi="宋体" w:eastAsia="宋体" w:cs="宋体"/>
          <w:b/>
          <w:sz w:val="44"/>
          <w:szCs w:val="44"/>
          <w:lang w:val="en-US" w:eastAsia="zh-CN" w:bidi="ar"/>
        </w:rPr>
        <w:t>数据分析资源池</w:t>
      </w:r>
      <w:r>
        <w:rPr>
          <w:rFonts w:hint="eastAsia" w:ascii="宋体" w:hAnsi="宋体" w:eastAsia="宋体" w:cs="宋体"/>
          <w:b/>
          <w:sz w:val="44"/>
          <w:szCs w:val="44"/>
          <w:lang w:eastAsia="zh-CN" w:bidi="ar"/>
        </w:rPr>
        <w:t>）</w:t>
      </w:r>
    </w:p>
    <w:p>
      <w:pPr>
        <w:jc w:val="center"/>
        <w:rPr>
          <w:rFonts w:ascii="黑体" w:hAnsi="宋体" w:eastAsia="黑体" w:cs="黑体"/>
          <w:b/>
          <w:sz w:val="52"/>
          <w:szCs w:val="52"/>
        </w:rPr>
      </w:pPr>
      <w:r>
        <w:rPr>
          <w:rFonts w:hint="eastAsia" w:ascii="黑体" w:hAnsi="宋体" w:eastAsia="黑体" w:cs="黑体"/>
          <w:b/>
          <w:sz w:val="52"/>
          <w:szCs w:val="52"/>
          <w:lang w:bidi="ar"/>
        </w:rPr>
        <w:t>招</w:t>
      </w:r>
    </w:p>
    <w:p>
      <w:pPr>
        <w:jc w:val="center"/>
        <w:rPr>
          <w:rFonts w:ascii="黑体" w:hAnsi="宋体" w:eastAsia="黑体" w:cs="黑体"/>
          <w:b/>
          <w:sz w:val="52"/>
          <w:szCs w:val="52"/>
        </w:rPr>
      </w:pPr>
      <w:r>
        <w:rPr>
          <w:rFonts w:hint="eastAsia" w:ascii="黑体" w:hAnsi="宋体" w:eastAsia="黑体" w:cs="黑体"/>
          <w:b/>
          <w:sz w:val="52"/>
          <w:szCs w:val="52"/>
          <w:lang w:bidi="ar"/>
        </w:rPr>
        <w:t>标</w:t>
      </w:r>
    </w:p>
    <w:p>
      <w:pPr>
        <w:jc w:val="center"/>
        <w:rPr>
          <w:rFonts w:ascii="黑体" w:hAnsi="宋体" w:eastAsia="黑体" w:cs="黑体"/>
          <w:b/>
          <w:sz w:val="52"/>
          <w:szCs w:val="52"/>
        </w:rPr>
      </w:pPr>
      <w:r>
        <w:rPr>
          <w:rFonts w:hint="eastAsia" w:ascii="黑体" w:hAnsi="宋体" w:eastAsia="黑体" w:cs="黑体"/>
          <w:b/>
          <w:sz w:val="52"/>
          <w:szCs w:val="52"/>
          <w:lang w:bidi="ar"/>
        </w:rPr>
        <w:t>文</w:t>
      </w:r>
    </w:p>
    <w:p>
      <w:pPr>
        <w:jc w:val="center"/>
        <w:rPr>
          <w:rFonts w:ascii="黑体" w:hAnsi="Calibri" w:eastAsia="黑体" w:cs="黑体"/>
          <w:b/>
          <w:sz w:val="52"/>
          <w:szCs w:val="52"/>
        </w:rPr>
      </w:pPr>
      <w:r>
        <w:rPr>
          <w:rFonts w:hint="eastAsia" w:ascii="黑体" w:hAnsi="宋体" w:eastAsia="黑体" w:cs="黑体"/>
          <w:b/>
          <w:sz w:val="52"/>
          <w:szCs w:val="52"/>
          <w:lang w:bidi="ar"/>
        </w:rPr>
        <w:t>件</w:t>
      </w:r>
    </w:p>
    <w:p>
      <w:pPr>
        <w:pStyle w:val="21"/>
        <w:widowControl/>
        <w:ind w:firstLine="0" w:firstLineChars="0"/>
        <w:jc w:val="center"/>
        <w:rPr>
          <w:b/>
          <w:sz w:val="44"/>
          <w:szCs w:val="44"/>
        </w:rPr>
      </w:pPr>
      <w:r>
        <w:rPr>
          <w:rFonts w:hint="eastAsia"/>
          <w:b/>
          <w:sz w:val="44"/>
          <w:szCs w:val="44"/>
        </w:rPr>
        <w:t>（技术协议部分）</w:t>
      </w:r>
    </w:p>
    <w:p>
      <w:pPr>
        <w:spacing w:line="380" w:lineRule="exact"/>
        <w:jc w:val="center"/>
        <w:rPr>
          <w:rFonts w:ascii="黑体" w:hAnsi="Calibri" w:eastAsia="黑体" w:cs="黑体"/>
          <w:sz w:val="44"/>
          <w:szCs w:val="44"/>
        </w:rPr>
      </w:pPr>
    </w:p>
    <w:p>
      <w:pPr>
        <w:spacing w:line="380" w:lineRule="exact"/>
        <w:jc w:val="center"/>
        <w:rPr>
          <w:rFonts w:ascii="黑体" w:hAnsi="Calibri" w:eastAsia="黑体" w:cs="黑体"/>
          <w:sz w:val="44"/>
          <w:szCs w:val="44"/>
        </w:rPr>
      </w:pPr>
    </w:p>
    <w:p>
      <w:pPr>
        <w:spacing w:line="380" w:lineRule="exact"/>
        <w:jc w:val="center"/>
        <w:rPr>
          <w:rFonts w:ascii="黑体" w:hAnsi="Calibri" w:eastAsia="黑体" w:cs="黑体"/>
          <w:sz w:val="44"/>
          <w:szCs w:val="44"/>
        </w:rPr>
      </w:pPr>
    </w:p>
    <w:p>
      <w:pPr>
        <w:spacing w:line="380" w:lineRule="exact"/>
        <w:jc w:val="center"/>
        <w:rPr>
          <w:rFonts w:ascii="黑体" w:hAnsi="Calibri" w:eastAsia="黑体" w:cs="黑体"/>
          <w:sz w:val="44"/>
          <w:szCs w:val="44"/>
        </w:rPr>
      </w:pPr>
    </w:p>
    <w:p>
      <w:pPr>
        <w:spacing w:line="380" w:lineRule="exact"/>
        <w:jc w:val="center"/>
        <w:rPr>
          <w:rFonts w:ascii="黑体" w:hAnsi="Calibri" w:eastAsia="黑体" w:cs="黑体"/>
          <w:sz w:val="44"/>
          <w:szCs w:val="44"/>
        </w:rPr>
      </w:pPr>
    </w:p>
    <w:p>
      <w:pPr>
        <w:spacing w:line="380" w:lineRule="exact"/>
        <w:jc w:val="center"/>
        <w:rPr>
          <w:rFonts w:ascii="黑体" w:hAnsi="Calibri" w:eastAsia="黑体" w:cs="黑体"/>
          <w:sz w:val="44"/>
          <w:szCs w:val="44"/>
        </w:rPr>
      </w:pPr>
    </w:p>
    <w:p>
      <w:pPr>
        <w:spacing w:before="156" w:beforeLines="50" w:line="380" w:lineRule="exact"/>
        <w:jc w:val="center"/>
        <w:rPr>
          <w:rFonts w:ascii="黑体" w:hAnsi="Calibri" w:eastAsia="黑体" w:cs="黑体"/>
          <w:sz w:val="44"/>
          <w:szCs w:val="44"/>
          <w:lang w:bidi="ar"/>
        </w:rPr>
      </w:pPr>
      <w:r>
        <w:rPr>
          <w:rFonts w:hint="eastAsia" w:ascii="黑体" w:hAnsi="Calibri" w:eastAsia="黑体" w:cs="黑体"/>
          <w:sz w:val="44"/>
          <w:szCs w:val="44"/>
          <w:lang w:bidi="ar"/>
        </w:rPr>
        <w:t>二〇二二年三月</w:t>
      </w:r>
    </w:p>
    <w:p>
      <w:pPr>
        <w:spacing w:before="156" w:beforeLines="50" w:line="380" w:lineRule="exact"/>
        <w:jc w:val="center"/>
        <w:rPr>
          <w:rFonts w:ascii="黑体" w:hAnsi="Calibri" w:eastAsia="黑体" w:cs="黑体"/>
          <w:sz w:val="44"/>
          <w:szCs w:val="44"/>
          <w:lang w:bidi="ar"/>
        </w:rPr>
      </w:pPr>
    </w:p>
    <w:p>
      <w:pPr>
        <w:spacing w:before="156" w:beforeLines="50" w:line="380" w:lineRule="exact"/>
        <w:jc w:val="center"/>
        <w:rPr>
          <w:rFonts w:ascii="黑体" w:hAnsi="Calibri" w:eastAsia="黑体" w:cs="黑体"/>
          <w:sz w:val="44"/>
          <w:szCs w:val="44"/>
          <w:lang w:bidi="ar"/>
        </w:rPr>
      </w:pPr>
    </w:p>
    <w:bookmarkEnd w:id="62"/>
    <w:p>
      <w:pPr>
        <w:pStyle w:val="21"/>
        <w:ind w:firstLine="0" w:firstLineChars="0"/>
      </w:pPr>
    </w:p>
    <w:p>
      <w:pPr>
        <w:pStyle w:val="21"/>
        <w:numPr>
          <w:ilvl w:val="0"/>
          <w:numId w:val="0"/>
        </w:numPr>
        <w:rPr>
          <w:rFonts w:cs="宋体"/>
          <w:b/>
          <w:kern w:val="44"/>
          <w:sz w:val="44"/>
          <w:szCs w:val="44"/>
        </w:rPr>
      </w:pPr>
      <w:r>
        <w:rPr>
          <w:rFonts w:hint="eastAsia" w:cs="宋体"/>
          <w:b/>
          <w:kern w:val="44"/>
          <w:sz w:val="44"/>
          <w:szCs w:val="44"/>
          <w:lang w:val="en-US" w:eastAsia="zh-CN"/>
        </w:rPr>
        <w:t>数据分析资源池</w:t>
      </w:r>
      <w:r>
        <w:rPr>
          <w:rFonts w:hint="eastAsia" w:cs="宋体"/>
          <w:b/>
          <w:kern w:val="44"/>
          <w:sz w:val="44"/>
          <w:szCs w:val="44"/>
        </w:rPr>
        <w:t>项目技术要求：</w:t>
      </w:r>
    </w:p>
    <w:p>
      <w:pPr>
        <w:pStyle w:val="21"/>
        <w:ind w:firstLine="0" w:firstLineChars="0"/>
        <w:rPr>
          <w:rFonts w:cs="宋体"/>
          <w:b/>
          <w:kern w:val="44"/>
          <w:sz w:val="44"/>
          <w:szCs w:val="44"/>
        </w:rPr>
      </w:pPr>
    </w:p>
    <w:p>
      <w:pPr>
        <w:pStyle w:val="21"/>
        <w:widowControl/>
        <w:ind w:firstLine="643"/>
        <w:rPr>
          <w:rFonts w:ascii="宋体" w:hAnsi="宋体" w:cs="宋体"/>
          <w:b/>
          <w:sz w:val="32"/>
          <w:szCs w:val="32"/>
        </w:rPr>
      </w:pPr>
      <w:r>
        <w:rPr>
          <w:rFonts w:hint="eastAsia" w:ascii="宋体" w:hAnsi="宋体" w:cs="宋体"/>
          <w:b/>
          <w:sz w:val="32"/>
          <w:szCs w:val="32"/>
        </w:rPr>
        <w:t>1.1实施范围</w:t>
      </w:r>
    </w:p>
    <w:p>
      <w:pPr>
        <w:pStyle w:val="21"/>
        <w:widowControl/>
        <w:ind w:firstLine="480"/>
        <w:rPr>
          <w:rFonts w:ascii="宋体" w:hAnsi="宋体" w:cs="宋体"/>
          <w:b/>
          <w:sz w:val="32"/>
          <w:szCs w:val="32"/>
        </w:rPr>
      </w:pPr>
      <w:r>
        <w:rPr>
          <w:rFonts w:hint="eastAsia" w:cs="宋体"/>
        </w:rPr>
        <w:t>1、实施的组织范围：中国重汽集团有限公司。</w:t>
      </w:r>
    </w:p>
    <w:p>
      <w:pPr>
        <w:pStyle w:val="21"/>
        <w:widowControl/>
        <w:ind w:firstLine="199" w:firstLineChars="62"/>
        <w:rPr>
          <w:rFonts w:cs="宋体"/>
        </w:rPr>
      </w:pPr>
      <w:r>
        <w:rPr>
          <w:rFonts w:ascii="宋体" w:hAnsi="宋体" w:cs="宋体"/>
          <w:b/>
          <w:sz w:val="32"/>
          <w:szCs w:val="32"/>
        </w:rPr>
        <w:t xml:space="preserve"> </w:t>
      </w:r>
      <w:r>
        <w:rPr>
          <w:rFonts w:cs="宋体"/>
        </w:rPr>
        <w:t xml:space="preserve"> 2</w:t>
      </w:r>
      <w:r>
        <w:rPr>
          <w:rFonts w:hint="eastAsia" w:cs="宋体"/>
        </w:rPr>
        <w:t>、实施的业务范围：</w:t>
      </w:r>
    </w:p>
    <w:p>
      <w:pPr>
        <w:pStyle w:val="36"/>
        <w:ind w:firstLine="480"/>
        <w:rPr>
          <w:rFonts w:ascii="宋体" w:hAnsi="宋体" w:cs="宋体"/>
          <w:szCs w:val="24"/>
        </w:rPr>
      </w:pPr>
      <w:r>
        <w:rPr>
          <w:rFonts w:hint="eastAsia" w:ascii="宋体" w:hAnsi="宋体" w:cs="宋体"/>
          <w:szCs w:val="24"/>
        </w:rPr>
        <w:t>已使用帆软软件，业务需求范围，</w:t>
      </w:r>
      <w:r>
        <w:rPr>
          <w:rFonts w:ascii="宋体" w:hAnsi="宋体" w:cs="宋体"/>
          <w:szCs w:val="24"/>
        </w:rPr>
        <w:t>包括但不限于</w:t>
      </w:r>
      <w:r>
        <w:rPr>
          <w:rFonts w:hint="eastAsia" w:ascii="宋体" w:hAnsi="宋体" w:cs="宋体"/>
          <w:szCs w:val="24"/>
        </w:rPr>
        <w:t>：</w:t>
      </w:r>
    </w:p>
    <w:p>
      <w:pPr>
        <w:pStyle w:val="36"/>
        <w:numPr>
          <w:ilvl w:val="0"/>
          <w:numId w:val="20"/>
        </w:numPr>
        <w:ind w:firstLineChars="0"/>
        <w:rPr>
          <w:rFonts w:ascii="宋体" w:hAnsi="宋体" w:cs="宋体"/>
          <w:szCs w:val="24"/>
        </w:rPr>
      </w:pPr>
      <w:r>
        <w:rPr>
          <w:rFonts w:hint="eastAsia" w:ascii="宋体" w:hAnsi="宋体" w:cs="宋体"/>
          <w:szCs w:val="24"/>
        </w:rPr>
        <w:t>数据分析平台开发及运维项目；</w:t>
      </w:r>
    </w:p>
    <w:p>
      <w:pPr>
        <w:pStyle w:val="36"/>
        <w:numPr>
          <w:ilvl w:val="0"/>
          <w:numId w:val="20"/>
        </w:numPr>
        <w:ind w:firstLineChars="0"/>
        <w:rPr>
          <w:rFonts w:ascii="宋体" w:hAnsi="宋体" w:cs="宋体"/>
          <w:szCs w:val="24"/>
        </w:rPr>
      </w:pPr>
      <w:r>
        <w:rPr>
          <w:rFonts w:hint="eastAsia" w:ascii="宋体" w:hAnsi="宋体" w:cs="宋体"/>
          <w:szCs w:val="24"/>
        </w:rPr>
        <w:t>基于finereport进行定制开发；</w:t>
      </w:r>
    </w:p>
    <w:p>
      <w:pPr>
        <w:pStyle w:val="36"/>
        <w:numPr>
          <w:ilvl w:val="0"/>
          <w:numId w:val="20"/>
        </w:numPr>
        <w:ind w:firstLineChars="0"/>
        <w:rPr>
          <w:rFonts w:ascii="宋体" w:hAnsi="宋体" w:cs="宋体"/>
          <w:szCs w:val="24"/>
        </w:rPr>
      </w:pPr>
      <w:r>
        <w:rPr>
          <w:rFonts w:hint="eastAsia" w:ascii="宋体" w:hAnsi="宋体" w:cs="宋体"/>
          <w:szCs w:val="24"/>
        </w:rPr>
        <w:t>美工：基于finereport进行报表、大屏优化；</w:t>
      </w:r>
    </w:p>
    <w:p>
      <w:pPr>
        <w:pStyle w:val="36"/>
        <w:numPr>
          <w:ilvl w:val="0"/>
          <w:numId w:val="20"/>
        </w:numPr>
        <w:ind w:firstLineChars="0"/>
        <w:rPr>
          <w:rFonts w:ascii="宋体" w:hAnsi="宋体" w:cs="宋体"/>
          <w:szCs w:val="24"/>
        </w:rPr>
      </w:pPr>
      <w:r>
        <w:rPr>
          <w:rFonts w:hint="eastAsia" w:ascii="宋体" w:hAnsi="宋体" w:cs="宋体"/>
          <w:szCs w:val="24"/>
        </w:rPr>
        <w:t>中国重汽集团其他业务单位报表开发及与数据分析有关的项目。</w:t>
      </w:r>
    </w:p>
    <w:p>
      <w:pPr>
        <w:pStyle w:val="21"/>
        <w:widowControl/>
        <w:ind w:firstLine="643"/>
        <w:rPr>
          <w:rFonts w:ascii="宋体" w:hAnsi="宋体" w:cs="宋体"/>
          <w:b/>
          <w:sz w:val="32"/>
          <w:szCs w:val="32"/>
        </w:rPr>
      </w:pPr>
      <w:r>
        <w:rPr>
          <w:rFonts w:hint="eastAsia" w:ascii="宋体" w:hAnsi="宋体" w:cs="宋体"/>
          <w:b/>
          <w:sz w:val="32"/>
          <w:szCs w:val="32"/>
        </w:rPr>
        <w:t>1.2项目技术要求</w:t>
      </w:r>
    </w:p>
    <w:p>
      <w:pPr>
        <w:spacing w:line="276" w:lineRule="auto"/>
        <w:ind w:firstLine="480" w:firstLineChars="200"/>
        <w:rPr>
          <w:rFonts w:ascii="宋体" w:hAnsi="宋体" w:eastAsia="宋体" w:cs="宋体"/>
          <w:kern w:val="0"/>
          <w:sz w:val="24"/>
        </w:rPr>
      </w:pPr>
      <w:r>
        <w:rPr>
          <w:rFonts w:hint="eastAsia" w:ascii="宋体" w:hAnsi="宋体" w:eastAsia="宋体" w:cs="宋体"/>
          <w:kern w:val="0"/>
          <w:sz w:val="24"/>
        </w:rPr>
        <w:t>乙方负责为中国重汽提供现场服务、远程支持服务、运维管理、产品技术咨询和综合培训等，具体如下：</w:t>
      </w:r>
    </w:p>
    <w:p>
      <w:pPr>
        <w:pStyle w:val="37"/>
        <w:numPr>
          <w:ilvl w:val="0"/>
          <w:numId w:val="21"/>
        </w:numPr>
        <w:rPr>
          <w:rFonts w:ascii="Arial" w:hAnsi="Arial" w:cs="Arial"/>
          <w:b/>
          <w:kern w:val="0"/>
          <w:szCs w:val="21"/>
        </w:rPr>
      </w:pPr>
      <w:bookmarkStart w:id="74" w:name="_Toc388257360"/>
      <w:bookmarkStart w:id="75" w:name="_Toc393440035"/>
      <w:bookmarkStart w:id="76" w:name="_Toc225048241"/>
      <w:bookmarkStart w:id="77" w:name="_Toc302227514"/>
      <w:r>
        <w:rPr>
          <w:rFonts w:hint="eastAsia" w:ascii="Arial" w:hAnsi="Arial" w:cs="Arial"/>
          <w:b/>
          <w:kern w:val="0"/>
          <w:szCs w:val="21"/>
        </w:rPr>
        <w:t>系统性能需求</w:t>
      </w:r>
      <w:bookmarkEnd w:id="74"/>
      <w:bookmarkEnd w:id="75"/>
      <w:bookmarkEnd w:id="76"/>
      <w:bookmarkEnd w:id="77"/>
    </w:p>
    <w:p>
      <w:pPr>
        <w:pStyle w:val="38"/>
        <w:spacing w:line="360" w:lineRule="auto"/>
        <w:ind w:firstLine="426"/>
        <w:jc w:val="left"/>
        <w:rPr>
          <w:rFonts w:ascii="Times New Roman" w:hAnsi="Times New Roman"/>
          <w:i w:val="0"/>
          <w:iCs/>
          <w:color w:val="auto"/>
          <w:sz w:val="24"/>
          <w:szCs w:val="24"/>
          <w:lang w:val="en-US" w:eastAsia="zh-CN"/>
        </w:rPr>
      </w:pPr>
      <w:r>
        <w:rPr>
          <w:rFonts w:ascii="Times New Roman"/>
          <w:i w:val="0"/>
          <w:iCs/>
          <w:color w:val="auto"/>
          <w:sz w:val="24"/>
          <w:szCs w:val="24"/>
          <w:lang w:val="en-US" w:eastAsia="zh-CN"/>
        </w:rPr>
        <w:t>应根据系统所要处理的数据量、系统处理逻辑、业务或系统引起的数据增长以及所要安装的系统软件对硬件需求做出合理评估，并要求达到以下参考性能指标：</w:t>
      </w:r>
    </w:p>
    <w:p>
      <w:pPr>
        <w:pStyle w:val="39"/>
        <w:numPr>
          <w:ilvl w:val="0"/>
          <w:numId w:val="0"/>
        </w:numPr>
        <w:ind w:left="1320" w:leftChars="400" w:hanging="480" w:hangingChars="200"/>
        <w:rPr>
          <w:color w:val="000000"/>
        </w:rPr>
      </w:pPr>
      <w:r>
        <w:t>CPU 最高利用率</w:t>
      </w:r>
      <w:r>
        <w:rPr>
          <w:color w:val="000000"/>
        </w:rPr>
        <w:t xml:space="preserve"> &lt;70％&gt;CPU 平均利用率 &lt;50％&gt;</w:t>
      </w:r>
    </w:p>
    <w:p>
      <w:pPr>
        <w:pStyle w:val="36"/>
        <w:ind w:firstLine="480"/>
        <w:rPr>
          <w:color w:val="000000"/>
        </w:rPr>
      </w:pPr>
      <w:r>
        <w:rPr>
          <w:color w:val="000000"/>
        </w:rPr>
        <w:t>Memory 平均利用率 &lt;60％&gt;</w:t>
      </w:r>
    </w:p>
    <w:p>
      <w:pPr>
        <w:pStyle w:val="37"/>
        <w:numPr>
          <w:ilvl w:val="0"/>
          <w:numId w:val="21"/>
        </w:numPr>
        <w:rPr>
          <w:rFonts w:ascii="Arial" w:hAnsi="Arial" w:cs="Arial"/>
          <w:b/>
          <w:kern w:val="0"/>
          <w:szCs w:val="21"/>
        </w:rPr>
      </w:pPr>
      <w:r>
        <w:rPr>
          <w:rFonts w:ascii="Arial" w:hAnsi="Arial" w:cs="Arial"/>
          <w:b/>
          <w:kern w:val="0"/>
          <w:szCs w:val="21"/>
        </w:rPr>
        <w:t>系统响应时间</w:t>
      </w:r>
    </w:p>
    <w:p>
      <w:pPr>
        <w:pStyle w:val="36"/>
        <w:ind w:firstLine="480"/>
        <w:rPr>
          <w:iCs/>
          <w:szCs w:val="24"/>
        </w:rPr>
      </w:pPr>
      <w:r>
        <w:rPr>
          <w:iCs/>
          <w:szCs w:val="24"/>
        </w:rPr>
        <w:t>要求</w:t>
      </w:r>
      <w:r>
        <w:rPr>
          <w:rFonts w:hint="eastAsia"/>
          <w:iCs/>
          <w:szCs w:val="24"/>
        </w:rPr>
        <w:t>提供</w:t>
      </w:r>
      <w:r>
        <w:rPr>
          <w:iCs/>
          <w:szCs w:val="24"/>
        </w:rPr>
        <w:t>参考用户需求</w:t>
      </w:r>
      <w:r>
        <w:rPr>
          <w:rFonts w:hint="eastAsia"/>
          <w:iCs/>
          <w:szCs w:val="24"/>
        </w:rPr>
        <w:t>和</w:t>
      </w:r>
      <w:r>
        <w:rPr>
          <w:iCs/>
          <w:szCs w:val="24"/>
        </w:rPr>
        <w:t>业界标准</w:t>
      </w:r>
      <w:r>
        <w:rPr>
          <w:rFonts w:hint="eastAsia"/>
          <w:iCs/>
          <w:szCs w:val="24"/>
        </w:rPr>
        <w:t>，</w:t>
      </w:r>
      <w:r>
        <w:rPr>
          <w:iCs/>
          <w:szCs w:val="24"/>
        </w:rPr>
        <w:t>在</w:t>
      </w:r>
      <w:r>
        <w:rPr>
          <w:rFonts w:hint="eastAsia"/>
          <w:iCs/>
          <w:szCs w:val="24"/>
        </w:rPr>
        <w:t>单节点并发</w:t>
      </w:r>
      <w:r>
        <w:rPr>
          <w:iCs/>
          <w:szCs w:val="24"/>
        </w:rPr>
        <w:t>用户数</w:t>
      </w:r>
      <w:r>
        <w:rPr>
          <w:rFonts w:hint="eastAsia"/>
          <w:iCs/>
          <w:szCs w:val="24"/>
        </w:rPr>
        <w:t>（</w:t>
      </w:r>
      <w:r>
        <w:rPr>
          <w:iCs/>
          <w:szCs w:val="24"/>
        </w:rPr>
        <w:t>200</w:t>
      </w:r>
      <w:r>
        <w:rPr>
          <w:rFonts w:hint="eastAsia"/>
          <w:iCs/>
          <w:szCs w:val="24"/>
        </w:rPr>
        <w:t>个）</w:t>
      </w:r>
      <w:r>
        <w:rPr>
          <w:iCs/>
          <w:szCs w:val="24"/>
        </w:rPr>
        <w:t>和数据容量的基础上，针对不同操作的系统响应时间</w:t>
      </w:r>
      <w:r>
        <w:rPr>
          <w:rFonts w:hint="eastAsia"/>
          <w:iCs/>
          <w:szCs w:val="24"/>
        </w:rPr>
        <w:t>：</w:t>
      </w:r>
      <w:r>
        <w:rPr>
          <w:iCs/>
          <w:szCs w:val="24"/>
        </w:rPr>
        <w:t>对于简单交易，如数据状态查询、填写内容提交等，要求在</w:t>
      </w:r>
      <w:r>
        <w:rPr>
          <w:rFonts w:hint="eastAsia"/>
          <w:iCs/>
          <w:szCs w:val="24"/>
        </w:rPr>
        <w:t>1-2</w:t>
      </w:r>
      <w:r>
        <w:rPr>
          <w:iCs/>
          <w:szCs w:val="24"/>
        </w:rPr>
        <w:t>s内完成；对于复杂交易，如大数据量的档案查询等，要求在</w:t>
      </w:r>
      <w:r>
        <w:rPr>
          <w:rFonts w:hint="eastAsia"/>
          <w:iCs/>
          <w:szCs w:val="24"/>
        </w:rPr>
        <w:t>5-8</w:t>
      </w:r>
      <w:r>
        <w:rPr>
          <w:iCs/>
          <w:szCs w:val="24"/>
        </w:rPr>
        <w:t>s内完成；介于简单和复杂程度之间的中等交易，要求在</w:t>
      </w:r>
      <w:r>
        <w:rPr>
          <w:rFonts w:hint="eastAsia"/>
          <w:iCs/>
          <w:szCs w:val="24"/>
        </w:rPr>
        <w:t>2-5</w:t>
      </w:r>
      <w:r>
        <w:rPr>
          <w:iCs/>
          <w:szCs w:val="24"/>
        </w:rPr>
        <w:t>s内完成。</w:t>
      </w:r>
    </w:p>
    <w:p>
      <w:pPr>
        <w:numPr>
          <w:ilvl w:val="0"/>
          <w:numId w:val="21"/>
        </w:numPr>
        <w:tabs>
          <w:tab w:val="left" w:pos="840"/>
        </w:tabs>
        <w:spacing w:line="360" w:lineRule="auto"/>
        <w:rPr>
          <w:rFonts w:ascii="Arial" w:hAnsi="Arial" w:cs="Arial"/>
          <w:b/>
          <w:kern w:val="0"/>
          <w:sz w:val="24"/>
          <w:szCs w:val="21"/>
        </w:rPr>
      </w:pPr>
      <w:bookmarkStart w:id="78" w:name="_Toc460658915"/>
      <w:r>
        <w:rPr>
          <w:rFonts w:ascii="Arial" w:hAnsi="Arial" w:cs="Arial"/>
          <w:b/>
          <w:kern w:val="0"/>
          <w:sz w:val="24"/>
          <w:szCs w:val="21"/>
        </w:rPr>
        <w:t>系统部署设计</w:t>
      </w:r>
      <w:r>
        <w:rPr>
          <w:rFonts w:hint="eastAsia" w:ascii="Arial" w:hAnsi="Arial" w:cs="Arial"/>
          <w:b/>
          <w:kern w:val="0"/>
          <w:sz w:val="24"/>
          <w:szCs w:val="21"/>
        </w:rPr>
        <w:t>要求</w:t>
      </w:r>
      <w:bookmarkEnd w:id="78"/>
    </w:p>
    <w:p>
      <w:pPr>
        <w:spacing w:line="360" w:lineRule="auto"/>
        <w:ind w:firstLine="480" w:firstLineChars="200"/>
        <w:rPr>
          <w:color w:val="000000"/>
          <w:sz w:val="24"/>
        </w:rPr>
      </w:pPr>
      <w:r>
        <w:rPr>
          <w:rFonts w:hint="eastAsia"/>
          <w:color w:val="000000"/>
          <w:sz w:val="24"/>
        </w:rPr>
        <w:t>帆软报表分析系统整体架构要逻辑清晰、功能模块化、松耦合，要具备与异构系统的集成能力和跨硬件平台的扩展能力,支持虚拟化及各部分负载均衡和扩展能力。</w:t>
      </w:r>
    </w:p>
    <w:p>
      <w:pPr>
        <w:spacing w:line="360" w:lineRule="auto"/>
        <w:ind w:firstLine="480" w:firstLineChars="200"/>
        <w:rPr>
          <w:sz w:val="24"/>
        </w:rPr>
      </w:pPr>
      <w:r>
        <w:rPr>
          <w:rFonts w:hint="eastAsia"/>
          <w:color w:val="000000"/>
          <w:sz w:val="24"/>
        </w:rPr>
        <w:t>考虑帆软报表分析系统未</w:t>
      </w:r>
      <w:r>
        <w:rPr>
          <w:rFonts w:hint="eastAsia"/>
          <w:sz w:val="24"/>
        </w:rPr>
        <w:t>来扩展性出具明确的系统架构图，并准确描述架构图各个模块的功能及设计方案。</w:t>
      </w:r>
    </w:p>
    <w:p>
      <w:pPr>
        <w:numPr>
          <w:ilvl w:val="0"/>
          <w:numId w:val="21"/>
        </w:numPr>
        <w:tabs>
          <w:tab w:val="left" w:pos="840"/>
        </w:tabs>
        <w:spacing w:line="360" w:lineRule="auto"/>
        <w:rPr>
          <w:rFonts w:ascii="Arial" w:hAnsi="Arial" w:cs="Arial"/>
          <w:b/>
          <w:kern w:val="0"/>
          <w:sz w:val="24"/>
          <w:szCs w:val="21"/>
        </w:rPr>
      </w:pPr>
      <w:bookmarkStart w:id="79" w:name="_Toc460658916"/>
      <w:r>
        <w:rPr>
          <w:rFonts w:hint="eastAsia" w:ascii="Arial" w:hAnsi="Arial" w:cs="Arial"/>
          <w:b/>
          <w:kern w:val="0"/>
          <w:sz w:val="24"/>
          <w:szCs w:val="21"/>
        </w:rPr>
        <w:t>系统集成设计</w:t>
      </w:r>
      <w:bookmarkEnd w:id="79"/>
    </w:p>
    <w:p>
      <w:pPr>
        <w:spacing w:line="360" w:lineRule="auto"/>
        <w:ind w:firstLine="480" w:firstLineChars="200"/>
        <w:rPr>
          <w:sz w:val="24"/>
        </w:rPr>
      </w:pPr>
      <w:r>
        <w:rPr>
          <w:rFonts w:hint="eastAsia"/>
          <w:sz w:val="24"/>
        </w:rPr>
        <w:t>帆软报表分析系统和周边系统的集成关系和数据交互方式高效性，以及如何对数据接口进行监控以确保其正常工作和异常处理手段等。这些系统主要是：大数据可视化平台等，相应的接口设计方案、应用日志配置等。</w:t>
      </w:r>
    </w:p>
    <w:p>
      <w:pPr>
        <w:spacing w:line="360" w:lineRule="auto"/>
        <w:ind w:firstLine="480" w:firstLineChars="200"/>
        <w:rPr>
          <w:sz w:val="24"/>
        </w:rPr>
      </w:pPr>
      <w:r>
        <w:rPr>
          <w:rFonts w:hint="eastAsia"/>
          <w:sz w:val="24"/>
        </w:rPr>
        <w:t>项目要能满足与统一身份认证及其他相关系统集成。</w:t>
      </w:r>
    </w:p>
    <w:p>
      <w:pPr>
        <w:numPr>
          <w:ilvl w:val="0"/>
          <w:numId w:val="21"/>
        </w:numPr>
        <w:tabs>
          <w:tab w:val="left" w:pos="840"/>
        </w:tabs>
        <w:spacing w:line="360" w:lineRule="auto"/>
        <w:rPr>
          <w:rFonts w:ascii="Arial" w:hAnsi="Arial" w:cs="Arial"/>
          <w:b/>
          <w:kern w:val="0"/>
          <w:sz w:val="24"/>
          <w:szCs w:val="21"/>
        </w:rPr>
      </w:pPr>
      <w:bookmarkStart w:id="80" w:name="_Toc460658917"/>
      <w:r>
        <w:rPr>
          <w:rFonts w:hint="eastAsia" w:ascii="Arial" w:hAnsi="Arial" w:cs="Arial"/>
          <w:b/>
          <w:kern w:val="0"/>
          <w:sz w:val="24"/>
          <w:szCs w:val="21"/>
        </w:rPr>
        <w:t>系统高可用方案</w:t>
      </w:r>
      <w:bookmarkEnd w:id="80"/>
    </w:p>
    <w:p>
      <w:pPr>
        <w:spacing w:line="360" w:lineRule="auto"/>
        <w:ind w:firstLine="480" w:firstLineChars="200"/>
        <w:rPr>
          <w:sz w:val="24"/>
        </w:rPr>
      </w:pPr>
      <w:r>
        <w:rPr>
          <w:rFonts w:hint="eastAsia"/>
          <w:sz w:val="24"/>
        </w:rPr>
        <w:t>根据本项目系统的影响范围和使用范围，评估实施高可用部署。</w:t>
      </w:r>
    </w:p>
    <w:p>
      <w:pPr>
        <w:numPr>
          <w:ilvl w:val="0"/>
          <w:numId w:val="21"/>
        </w:numPr>
        <w:tabs>
          <w:tab w:val="left" w:pos="840"/>
        </w:tabs>
        <w:spacing w:line="360" w:lineRule="auto"/>
        <w:rPr>
          <w:rFonts w:ascii="Arial" w:hAnsi="Arial" w:cs="Arial"/>
          <w:b/>
          <w:kern w:val="0"/>
          <w:sz w:val="24"/>
          <w:szCs w:val="21"/>
        </w:rPr>
      </w:pPr>
      <w:bookmarkStart w:id="81" w:name="_Toc460658919"/>
      <w:r>
        <w:rPr>
          <w:rFonts w:hint="eastAsia" w:ascii="Arial" w:hAnsi="Arial" w:cs="Arial"/>
          <w:b/>
          <w:kern w:val="0"/>
          <w:sz w:val="24"/>
          <w:szCs w:val="21"/>
        </w:rPr>
        <w:t>系统</w:t>
      </w:r>
      <w:r>
        <w:rPr>
          <w:rFonts w:ascii="Arial" w:hAnsi="Arial" w:cs="Arial"/>
          <w:b/>
          <w:kern w:val="0"/>
          <w:sz w:val="24"/>
          <w:szCs w:val="21"/>
        </w:rPr>
        <w:t>可靠性需求</w:t>
      </w:r>
      <w:bookmarkEnd w:id="81"/>
    </w:p>
    <w:p>
      <w:pPr>
        <w:spacing w:line="360" w:lineRule="auto"/>
        <w:ind w:firstLine="480" w:firstLineChars="200"/>
        <w:rPr>
          <w:sz w:val="24"/>
        </w:rPr>
      </w:pPr>
      <w:r>
        <w:rPr>
          <w:rFonts w:hint="eastAsia"/>
          <w:sz w:val="24"/>
        </w:rPr>
        <w:t>对帆软报表分析系统可靠性有较高要求，排除硬件故障，在具备正常的系统维护（系统可提供定期的维护时段，由系统支持人员对系统进行必要的维护，如应用重启、日志归档等）的情况下，因应用异常引起的系统崩溃、宕机等严重事故的频率应低于1次/2500小时。此外，系统应提供完备的故障预见和系统恢复功能，即要求具备可能故障的可监控或预警机制、有效的故障消除手段和可以接受的系统恢复时间。</w:t>
      </w:r>
    </w:p>
    <w:p>
      <w:pPr>
        <w:numPr>
          <w:ilvl w:val="0"/>
          <w:numId w:val="21"/>
        </w:numPr>
        <w:tabs>
          <w:tab w:val="left" w:pos="840"/>
        </w:tabs>
        <w:spacing w:line="360" w:lineRule="auto"/>
        <w:rPr>
          <w:sz w:val="24"/>
        </w:rPr>
      </w:pPr>
      <w:bookmarkStart w:id="82" w:name="_Toc460658920"/>
      <w:r>
        <w:rPr>
          <w:rFonts w:hint="eastAsia" w:ascii="Arial" w:hAnsi="Arial" w:cs="Arial"/>
          <w:b/>
          <w:kern w:val="0"/>
          <w:sz w:val="24"/>
          <w:szCs w:val="21"/>
        </w:rPr>
        <w:t>系统</w:t>
      </w:r>
      <w:r>
        <w:rPr>
          <w:rFonts w:ascii="Arial" w:hAnsi="Arial" w:cs="Arial"/>
          <w:b/>
          <w:kern w:val="0"/>
          <w:sz w:val="24"/>
          <w:szCs w:val="21"/>
        </w:rPr>
        <w:t>操作便利性</w:t>
      </w:r>
      <w:r>
        <w:rPr>
          <w:rFonts w:hint="eastAsia" w:ascii="Arial" w:hAnsi="Arial" w:cs="Arial"/>
          <w:b/>
          <w:kern w:val="0"/>
          <w:sz w:val="24"/>
          <w:szCs w:val="21"/>
        </w:rPr>
        <w:t>需求</w:t>
      </w:r>
      <w:bookmarkEnd w:id="82"/>
    </w:p>
    <w:p>
      <w:pPr>
        <w:numPr>
          <w:ilvl w:val="0"/>
          <w:numId w:val="21"/>
        </w:numPr>
        <w:tabs>
          <w:tab w:val="left" w:pos="840"/>
        </w:tabs>
        <w:spacing w:line="360" w:lineRule="auto"/>
        <w:rPr>
          <w:rFonts w:ascii="Arial" w:hAnsi="Arial" w:cs="Arial"/>
          <w:b/>
          <w:kern w:val="0"/>
          <w:sz w:val="24"/>
          <w:szCs w:val="21"/>
        </w:rPr>
      </w:pPr>
      <w:bookmarkStart w:id="83" w:name="_Toc460658921"/>
      <w:r>
        <w:rPr>
          <w:rFonts w:hint="eastAsia" w:ascii="Arial" w:hAnsi="Arial" w:cs="Arial"/>
          <w:b/>
          <w:kern w:val="0"/>
          <w:sz w:val="24"/>
          <w:szCs w:val="21"/>
        </w:rPr>
        <w:t>系统</w:t>
      </w:r>
      <w:r>
        <w:rPr>
          <w:rFonts w:ascii="Arial" w:hAnsi="Arial" w:cs="Arial"/>
          <w:b/>
          <w:kern w:val="0"/>
          <w:sz w:val="24"/>
          <w:szCs w:val="21"/>
        </w:rPr>
        <w:t>最低软硬件版本需求</w:t>
      </w:r>
      <w:bookmarkEnd w:id="83"/>
    </w:p>
    <w:p>
      <w:pPr>
        <w:spacing w:line="360" w:lineRule="auto"/>
        <w:ind w:firstLine="480" w:firstLineChars="200"/>
        <w:rPr>
          <w:color w:val="000000"/>
          <w:sz w:val="24"/>
        </w:rPr>
      </w:pPr>
      <w:r>
        <w:rPr>
          <w:rFonts w:hint="eastAsia"/>
          <w:sz w:val="24"/>
        </w:rPr>
        <w:t>客户端应支持当前主流操作系统及插件</w:t>
      </w:r>
      <w:r>
        <w:rPr>
          <w:rFonts w:hint="eastAsia"/>
          <w:color w:val="000000"/>
          <w:sz w:val="24"/>
        </w:rPr>
        <w:t>，如Java插件（要求支持Java1.6及以上版本）、操作系统（Win7及以上版本）、浏览器（IE9及以上版本、同时支持火狐、谷歌等主流浏览器）、如三年内操作系统及插件有大版本升级，应提供升级版本，保证系统及客户端可用。</w:t>
      </w:r>
    </w:p>
    <w:p>
      <w:pPr>
        <w:numPr>
          <w:ilvl w:val="0"/>
          <w:numId w:val="21"/>
        </w:numPr>
        <w:tabs>
          <w:tab w:val="left" w:pos="840"/>
        </w:tabs>
        <w:spacing w:line="360" w:lineRule="auto"/>
        <w:rPr>
          <w:rFonts w:ascii="Arial" w:hAnsi="Arial" w:cs="Arial"/>
          <w:b/>
          <w:kern w:val="0"/>
          <w:sz w:val="24"/>
          <w:szCs w:val="21"/>
        </w:rPr>
      </w:pPr>
      <w:bookmarkStart w:id="84" w:name="_Toc460658922"/>
      <w:r>
        <w:rPr>
          <w:rFonts w:hint="eastAsia" w:ascii="Arial" w:hAnsi="Arial" w:cs="Arial"/>
          <w:b/>
          <w:kern w:val="0"/>
          <w:sz w:val="24"/>
          <w:szCs w:val="21"/>
        </w:rPr>
        <w:t>系统可扩展性需求</w:t>
      </w:r>
      <w:bookmarkEnd w:id="84"/>
    </w:p>
    <w:p>
      <w:pPr>
        <w:spacing w:line="360" w:lineRule="auto"/>
        <w:ind w:firstLine="480" w:firstLineChars="200"/>
        <w:rPr>
          <w:sz w:val="24"/>
        </w:rPr>
      </w:pPr>
      <w:r>
        <w:rPr>
          <w:rFonts w:hint="eastAsia"/>
          <w:sz w:val="24"/>
        </w:rPr>
        <w:t>能够根据需求快速调整业务逻辑和业务流程，系统支持可配置、可二次开发进行功能扩展并能快速增加新业务功能；且提供未来系统的性能扩展方案。</w:t>
      </w:r>
    </w:p>
    <w:p>
      <w:pPr>
        <w:numPr>
          <w:ilvl w:val="0"/>
          <w:numId w:val="21"/>
        </w:numPr>
        <w:tabs>
          <w:tab w:val="left" w:pos="840"/>
        </w:tabs>
        <w:spacing w:line="360" w:lineRule="auto"/>
        <w:rPr>
          <w:rFonts w:ascii="Arial" w:hAnsi="Arial" w:cs="Arial"/>
          <w:b/>
          <w:kern w:val="0"/>
          <w:sz w:val="24"/>
          <w:szCs w:val="21"/>
        </w:rPr>
      </w:pPr>
      <w:bookmarkStart w:id="85" w:name="_Toc460658923"/>
      <w:r>
        <w:rPr>
          <w:rFonts w:hint="eastAsia" w:ascii="Arial" w:hAnsi="Arial" w:cs="Arial"/>
          <w:b/>
          <w:kern w:val="0"/>
          <w:sz w:val="24"/>
          <w:szCs w:val="21"/>
        </w:rPr>
        <w:t>系统安全性需求</w:t>
      </w:r>
      <w:bookmarkEnd w:id="85"/>
    </w:p>
    <w:p>
      <w:pPr>
        <w:spacing w:line="360" w:lineRule="auto"/>
        <w:ind w:firstLine="480" w:firstLineChars="200"/>
        <w:rPr>
          <w:sz w:val="24"/>
        </w:rPr>
      </w:pPr>
      <w:r>
        <w:rPr>
          <w:rFonts w:hint="eastAsia"/>
          <w:sz w:val="24"/>
        </w:rPr>
        <w:t>系统保证实施数据、用户和系统的安全管理，为用户提供可靠的网络接入及数据交换服务。</w:t>
      </w:r>
    </w:p>
    <w:p>
      <w:pPr>
        <w:spacing w:line="360" w:lineRule="auto"/>
        <w:ind w:firstLine="480" w:firstLineChars="200"/>
        <w:rPr>
          <w:sz w:val="24"/>
        </w:rPr>
      </w:pPr>
      <w:r>
        <w:rPr>
          <w:rFonts w:hint="eastAsia"/>
          <w:sz w:val="24"/>
        </w:rPr>
        <w:t>对公网公布应用，业务应用应支持单独部署在DMZ区域且支持HTTPS加密访问连接，应明确系统安全性建议，包括公网访问的安全性策略建议，应用系统安全性建议等。</w:t>
      </w:r>
    </w:p>
    <w:p>
      <w:pPr>
        <w:spacing w:line="360" w:lineRule="auto"/>
        <w:ind w:firstLine="480" w:firstLineChars="200"/>
        <w:rPr>
          <w:sz w:val="24"/>
        </w:rPr>
      </w:pPr>
      <w:r>
        <w:rPr>
          <w:rFonts w:hint="eastAsia"/>
          <w:sz w:val="24"/>
        </w:rPr>
        <w:t>业务应用端口和管理端口必须区分，且能提供完整的业务应用端口和管理端口明细和作用。</w:t>
      </w:r>
    </w:p>
    <w:p>
      <w:pPr>
        <w:spacing w:line="360" w:lineRule="auto"/>
        <w:ind w:firstLine="480" w:firstLineChars="200"/>
        <w:rPr>
          <w:sz w:val="24"/>
        </w:rPr>
      </w:pPr>
      <w:r>
        <w:rPr>
          <w:rFonts w:hint="eastAsia"/>
          <w:sz w:val="24"/>
        </w:rPr>
        <w:t>完善的授权机制，不同的功能需要有不同层次的安全接入，即不同级别的人只能进行各自权限范围内的操作。</w:t>
      </w:r>
    </w:p>
    <w:p>
      <w:pPr>
        <w:spacing w:line="360" w:lineRule="auto"/>
        <w:ind w:firstLine="480" w:firstLineChars="200"/>
        <w:rPr>
          <w:sz w:val="24"/>
        </w:rPr>
      </w:pPr>
      <w:r>
        <w:rPr>
          <w:rFonts w:hint="eastAsia"/>
          <w:sz w:val="24"/>
        </w:rPr>
        <w:t>确保数据在处理的各个环节中的保密性、完整性和可用性。</w:t>
      </w:r>
    </w:p>
    <w:p>
      <w:pPr>
        <w:spacing w:line="360" w:lineRule="auto"/>
        <w:ind w:firstLine="480" w:firstLineChars="200"/>
        <w:rPr>
          <w:sz w:val="24"/>
        </w:rPr>
      </w:pPr>
      <w:r>
        <w:rPr>
          <w:rFonts w:hint="eastAsia"/>
          <w:sz w:val="24"/>
        </w:rPr>
        <w:t>应提供用户安全需求，包括用户认证安全级别、认证方式和安全策略、用户的单点登录，支持未来向企业认证中心的迁移，确保系统和数据库的安全管理。</w:t>
      </w:r>
    </w:p>
    <w:p>
      <w:pPr>
        <w:numPr>
          <w:ilvl w:val="0"/>
          <w:numId w:val="21"/>
        </w:numPr>
        <w:tabs>
          <w:tab w:val="left" w:pos="840"/>
        </w:tabs>
        <w:spacing w:line="360" w:lineRule="auto"/>
        <w:rPr>
          <w:rFonts w:ascii="Arial" w:hAnsi="Arial" w:cs="Arial"/>
          <w:b/>
          <w:kern w:val="0"/>
          <w:sz w:val="24"/>
          <w:szCs w:val="21"/>
        </w:rPr>
      </w:pPr>
      <w:bookmarkStart w:id="86" w:name="_Toc460658924"/>
      <w:r>
        <w:rPr>
          <w:rFonts w:hint="eastAsia" w:ascii="Arial" w:hAnsi="Arial" w:cs="Arial"/>
          <w:b/>
          <w:kern w:val="0"/>
          <w:sz w:val="24"/>
          <w:szCs w:val="21"/>
        </w:rPr>
        <w:t>系统数据容量和备份归档需求</w:t>
      </w:r>
      <w:bookmarkEnd w:id="86"/>
    </w:p>
    <w:p>
      <w:pPr>
        <w:spacing w:line="360" w:lineRule="auto"/>
        <w:ind w:firstLine="480" w:firstLineChars="200"/>
        <w:rPr>
          <w:color w:val="000000"/>
          <w:sz w:val="24"/>
        </w:rPr>
      </w:pPr>
      <w:r>
        <w:rPr>
          <w:rFonts w:hint="eastAsia"/>
          <w:sz w:val="24"/>
        </w:rPr>
        <w:t>应根据业务现状及发展对系统上线时</w:t>
      </w:r>
      <w:r>
        <w:rPr>
          <w:rFonts w:hint="eastAsia"/>
          <w:color w:val="000000"/>
          <w:sz w:val="24"/>
        </w:rPr>
        <w:t>、上线后1年、2年、5年的数据增长给出可信的估算，并且，应提供切实可行的数据归档方案：</w:t>
      </w:r>
      <w:r>
        <w:rPr>
          <w:color w:val="000000"/>
          <w:sz w:val="24"/>
        </w:rPr>
        <w:t>如何实现数据归档，以保持交易数据的正常规模，以确保系统不因大数据量而导致的性能下降，同时归档数据可被正常访问，不影响报表和查询等。</w:t>
      </w:r>
      <w:r>
        <w:rPr>
          <w:rFonts w:hint="eastAsia"/>
          <w:color w:val="000000"/>
          <w:sz w:val="24"/>
        </w:rPr>
        <w:t>并能</w:t>
      </w:r>
      <w:r>
        <w:rPr>
          <w:color w:val="000000"/>
          <w:sz w:val="24"/>
        </w:rPr>
        <w:t>与</w:t>
      </w:r>
      <w:r>
        <w:rPr>
          <w:rFonts w:hint="eastAsia"/>
          <w:color w:val="000000"/>
          <w:sz w:val="24"/>
        </w:rPr>
        <w:t>NBU备份系统集成，</w:t>
      </w:r>
      <w:r>
        <w:rPr>
          <w:color w:val="000000"/>
          <w:sz w:val="24"/>
        </w:rPr>
        <w:t>保证数据的备份和还原。</w:t>
      </w:r>
    </w:p>
    <w:p>
      <w:pPr>
        <w:numPr>
          <w:ilvl w:val="0"/>
          <w:numId w:val="21"/>
        </w:numPr>
        <w:tabs>
          <w:tab w:val="left" w:pos="840"/>
        </w:tabs>
        <w:spacing w:line="360" w:lineRule="auto"/>
        <w:rPr>
          <w:rFonts w:ascii="Arial" w:hAnsi="Arial" w:cs="Arial"/>
          <w:b/>
          <w:kern w:val="0"/>
          <w:sz w:val="24"/>
          <w:szCs w:val="21"/>
        </w:rPr>
      </w:pPr>
      <w:bookmarkStart w:id="87" w:name="_Toc460658925"/>
      <w:r>
        <w:rPr>
          <w:rFonts w:hint="eastAsia" w:ascii="Arial" w:hAnsi="Arial" w:cs="Arial"/>
          <w:b/>
          <w:kern w:val="0"/>
          <w:sz w:val="24"/>
          <w:szCs w:val="21"/>
        </w:rPr>
        <w:t>系统灾备需求</w:t>
      </w:r>
      <w:bookmarkEnd w:id="87"/>
    </w:p>
    <w:p>
      <w:pPr>
        <w:spacing w:line="360" w:lineRule="auto"/>
        <w:ind w:firstLine="480" w:firstLineChars="200"/>
        <w:rPr>
          <w:sz w:val="24"/>
        </w:rPr>
      </w:pPr>
      <w:r>
        <w:rPr>
          <w:sz w:val="24"/>
        </w:rPr>
        <w:t>1）</w:t>
      </w:r>
      <w:r>
        <w:rPr>
          <w:rFonts w:hint="eastAsia"/>
          <w:sz w:val="24"/>
        </w:rPr>
        <w:t>故障恢复计划：支持的故障恢复技术，该计划应该包括文件恢复，服务可重启，数据丢失最小化，维护的机制，同步镜像或者物理上分布式部署服务器或组件等方案的描述。</w:t>
      </w:r>
    </w:p>
    <w:p>
      <w:pPr>
        <w:spacing w:line="360" w:lineRule="auto"/>
        <w:ind w:firstLine="480" w:firstLineChars="200"/>
        <w:rPr>
          <w:sz w:val="24"/>
        </w:rPr>
      </w:pPr>
      <w:r>
        <w:rPr>
          <w:sz w:val="24"/>
        </w:rPr>
        <w:t>2）</w:t>
      </w:r>
      <w:r>
        <w:rPr>
          <w:rFonts w:hint="eastAsia"/>
          <w:sz w:val="24"/>
        </w:rPr>
        <w:t>系统冗余/备份/恢复：系统和它的外部接口必须包括足够的冗余和备份，避免单点故障的发生。实施商必须提供详细的说明，用来描述避免单点故障而采用的技术，以及如何对某个组件进行恢复。</w:t>
      </w:r>
    </w:p>
    <w:p>
      <w:pPr>
        <w:spacing w:line="360" w:lineRule="auto"/>
        <w:ind w:firstLine="480" w:firstLineChars="200"/>
        <w:rPr>
          <w:sz w:val="24"/>
        </w:rPr>
      </w:pPr>
      <w:r>
        <w:rPr>
          <w:rFonts w:hint="eastAsia"/>
          <w:sz w:val="24"/>
        </w:rPr>
        <w:t>3</w:t>
      </w:r>
      <w:r>
        <w:rPr>
          <w:sz w:val="24"/>
        </w:rPr>
        <w:t>）</w:t>
      </w:r>
      <w:r>
        <w:rPr>
          <w:rFonts w:hint="eastAsia"/>
          <w:sz w:val="24"/>
        </w:rPr>
        <w:t>可支持服务器的集群（</w:t>
      </w:r>
      <w:r>
        <w:rPr>
          <w:sz w:val="24"/>
        </w:rPr>
        <w:t>Cluster</w:t>
      </w:r>
      <w:r>
        <w:rPr>
          <w:rFonts w:hint="eastAsia"/>
          <w:sz w:val="24"/>
        </w:rPr>
        <w:t>）部署。</w:t>
      </w:r>
    </w:p>
    <w:p>
      <w:pPr>
        <w:spacing w:line="360" w:lineRule="auto"/>
        <w:ind w:firstLine="480" w:firstLineChars="200"/>
        <w:rPr>
          <w:sz w:val="24"/>
        </w:rPr>
      </w:pPr>
      <w:r>
        <w:rPr>
          <w:rFonts w:hint="eastAsia"/>
          <w:sz w:val="24"/>
        </w:rPr>
        <w:t>4</w:t>
      </w:r>
      <w:r>
        <w:rPr>
          <w:sz w:val="24"/>
        </w:rPr>
        <w:t>）</w:t>
      </w:r>
      <w:r>
        <w:rPr>
          <w:rFonts w:hint="eastAsia"/>
          <w:sz w:val="24"/>
        </w:rPr>
        <w:t>系统能自动地或人工地进行每天的数据备份、支持全部和增量数据备份和恢复。系统应具备通过持续的数据维护、同步或异步错误处理服务能力，支持数据的高完整性和准确性。</w:t>
      </w:r>
    </w:p>
    <w:p>
      <w:pPr>
        <w:numPr>
          <w:ilvl w:val="0"/>
          <w:numId w:val="21"/>
        </w:numPr>
        <w:tabs>
          <w:tab w:val="left" w:pos="840"/>
        </w:tabs>
        <w:spacing w:line="360" w:lineRule="auto"/>
        <w:rPr>
          <w:rFonts w:ascii="Arial" w:hAnsi="Arial" w:cs="Arial"/>
          <w:b/>
          <w:kern w:val="0"/>
          <w:sz w:val="24"/>
          <w:szCs w:val="21"/>
        </w:rPr>
      </w:pPr>
      <w:bookmarkStart w:id="88" w:name="_Toc460658926"/>
      <w:r>
        <w:rPr>
          <w:rFonts w:hint="eastAsia" w:ascii="Arial" w:hAnsi="Arial" w:cs="Arial"/>
          <w:b/>
          <w:kern w:val="0"/>
          <w:sz w:val="24"/>
          <w:szCs w:val="21"/>
        </w:rPr>
        <w:t>业务连续性需求</w:t>
      </w:r>
      <w:bookmarkEnd w:id="88"/>
    </w:p>
    <w:p>
      <w:pPr>
        <w:spacing w:line="360" w:lineRule="auto"/>
        <w:ind w:firstLine="480" w:firstLineChars="200"/>
        <w:rPr>
          <w:sz w:val="24"/>
        </w:rPr>
      </w:pPr>
      <w:r>
        <w:rPr>
          <w:rFonts w:hint="eastAsia"/>
          <w:sz w:val="24"/>
        </w:rPr>
        <w:t>系统应提供（7天×24小时）连续性服务。</w:t>
      </w:r>
    </w:p>
    <w:p>
      <w:pPr>
        <w:spacing w:line="360" w:lineRule="auto"/>
        <w:ind w:firstLine="480" w:firstLineChars="200"/>
        <w:rPr>
          <w:sz w:val="24"/>
        </w:rPr>
      </w:pPr>
      <w:r>
        <w:rPr>
          <w:rFonts w:hint="eastAsia"/>
          <w:sz w:val="24"/>
        </w:rPr>
        <w:t>系统应具备持续的数据维护、同步或异步错误处理服务能力，支持数据的高完整性和准确性。系统维护、升级时不应影响相关系统的正常运行。</w:t>
      </w:r>
    </w:p>
    <w:p>
      <w:pPr>
        <w:snapToGrid w:val="0"/>
        <w:spacing w:line="360" w:lineRule="auto"/>
        <w:ind w:left="420" w:firstLine="720" w:firstLineChars="300"/>
        <w:rPr>
          <w:rFonts w:ascii="宋体" w:hAnsi="宋体" w:eastAsia="宋体" w:cs="宋体"/>
          <w:sz w:val="24"/>
        </w:rPr>
      </w:pPr>
      <w:r>
        <w:rPr>
          <w:sz w:val="24"/>
        </w:rPr>
        <w:t>提供系统运行支持服务的组织、时间和方式，包括可获得支持的</w:t>
      </w:r>
      <w:r>
        <w:rPr>
          <w:color w:val="000000"/>
          <w:sz w:val="24"/>
        </w:rPr>
        <w:t>7*24、远程和现场</w:t>
      </w:r>
      <w:r>
        <w:rPr>
          <w:sz w:val="24"/>
        </w:rPr>
        <w:t>等。</w:t>
      </w:r>
    </w:p>
    <w:p>
      <w:pPr>
        <w:pStyle w:val="21"/>
        <w:widowControl/>
        <w:ind w:firstLine="643"/>
        <w:rPr>
          <w:rFonts w:ascii="宋体" w:hAnsi="宋体" w:cs="宋体"/>
          <w:b/>
          <w:color w:val="auto"/>
          <w:sz w:val="32"/>
          <w:szCs w:val="32"/>
        </w:rPr>
      </w:pPr>
      <w:bookmarkStart w:id="89" w:name="_Toc318969407"/>
      <w:bookmarkStart w:id="90" w:name="_Toc2073"/>
      <w:bookmarkStart w:id="91" w:name="_Toc5247"/>
      <w:r>
        <w:rPr>
          <w:rFonts w:hint="eastAsia" w:ascii="宋体" w:hAnsi="宋体" w:cs="宋体"/>
          <w:b/>
          <w:color w:val="auto"/>
          <w:sz w:val="32"/>
          <w:szCs w:val="32"/>
        </w:rPr>
        <w:t>1.3</w:t>
      </w:r>
      <w:bookmarkEnd w:id="89"/>
      <w:r>
        <w:rPr>
          <w:rFonts w:hint="eastAsia" w:ascii="宋体" w:hAnsi="宋体" w:cs="宋体"/>
          <w:b/>
          <w:color w:val="auto"/>
          <w:sz w:val="32"/>
          <w:szCs w:val="32"/>
        </w:rPr>
        <w:t>信息安全要求</w:t>
      </w:r>
      <w:bookmarkEnd w:id="90"/>
      <w:bookmarkEnd w:id="91"/>
    </w:p>
    <w:p>
      <w:pPr>
        <w:pStyle w:val="36"/>
        <w:ind w:firstLine="482"/>
        <w:rPr>
          <w:iCs/>
          <w:color w:val="auto"/>
          <w:szCs w:val="24"/>
        </w:rPr>
      </w:pPr>
      <w:bookmarkStart w:id="92" w:name="_Toc28881"/>
      <w:bookmarkStart w:id="93" w:name="_Toc6675"/>
      <w:bookmarkStart w:id="94" w:name="_Toc44844620"/>
      <w:bookmarkStart w:id="95" w:name="_Toc83802579"/>
      <w:bookmarkStart w:id="96" w:name="_Toc206300110"/>
      <w:bookmarkStart w:id="97" w:name="_Toc146611528"/>
      <w:bookmarkStart w:id="98" w:name="_Toc209342282"/>
      <w:bookmarkStart w:id="99" w:name="_Toc186689329"/>
      <w:bookmarkStart w:id="100" w:name="_Toc84236787"/>
      <w:bookmarkStart w:id="101" w:name="_Toc318969408"/>
      <w:r>
        <w:rPr>
          <w:rFonts w:hint="eastAsia"/>
          <w:b/>
          <w:iCs/>
          <w:color w:val="auto"/>
          <w:szCs w:val="24"/>
        </w:rPr>
        <w:t>账号管理：</w:t>
      </w:r>
      <w:ins w:id="0" w:author="庞红娜" w:date="2017-08-15T13:17:00Z">
        <w:r>
          <w:rPr>
            <w:rFonts w:hint="eastAsia"/>
            <w:iCs/>
            <w:color w:val="auto"/>
            <w:szCs w:val="24"/>
          </w:rPr>
          <w:t>采用强密码策略：密码必须最少8个字符；密码必须至少包含4种形式文字中的3种：大写字母、小写字母、数字和特殊字符；密码最长有效期：6个月；用户首次登陆必须强制修改密码;</w:t>
        </w:r>
      </w:ins>
      <w:ins w:id="1" w:author="庞红娜" w:date="2017-08-15T13:16:00Z">
        <w:r>
          <w:rPr>
            <w:rFonts w:hint="eastAsia"/>
            <w:iCs/>
            <w:color w:val="auto"/>
            <w:szCs w:val="24"/>
          </w:rPr>
          <w:t>设定账户锁定阈值（建议为5次），设定用户锁定时间（建议15分钟）</w:t>
        </w:r>
      </w:ins>
      <w:r>
        <w:rPr>
          <w:rFonts w:hint="eastAsia"/>
          <w:iCs/>
          <w:color w:val="auto"/>
          <w:szCs w:val="24"/>
        </w:rPr>
        <w:t>；</w:t>
      </w:r>
    </w:p>
    <w:p>
      <w:pPr>
        <w:pStyle w:val="36"/>
        <w:ind w:firstLine="482"/>
        <w:rPr>
          <w:iCs/>
          <w:szCs w:val="24"/>
        </w:rPr>
      </w:pPr>
      <w:r>
        <w:rPr>
          <w:rFonts w:hint="eastAsia"/>
          <w:b/>
          <w:iCs/>
          <w:color w:val="auto"/>
          <w:szCs w:val="24"/>
        </w:rPr>
        <w:t>端口管理：</w:t>
      </w:r>
      <w:r>
        <w:rPr>
          <w:rFonts w:hint="eastAsia"/>
          <w:iCs/>
          <w:color w:val="auto"/>
          <w:szCs w:val="24"/>
        </w:rPr>
        <w:t>使用tomcat做为应用服务</w:t>
      </w:r>
      <w:bookmarkStart w:id="109" w:name="_GoBack"/>
      <w:bookmarkEnd w:id="109"/>
      <w:r>
        <w:rPr>
          <w:rFonts w:hint="eastAsia"/>
          <w:iCs/>
          <w:color w:val="auto"/>
          <w:szCs w:val="24"/>
        </w:rPr>
        <w:t>器，管</w:t>
      </w:r>
      <w:r>
        <w:rPr>
          <w:rFonts w:hint="eastAsia"/>
          <w:iCs/>
          <w:szCs w:val="24"/>
        </w:rPr>
        <w:t>理端口与业务端口无法分开；</w:t>
      </w:r>
    </w:p>
    <w:p>
      <w:pPr>
        <w:pStyle w:val="36"/>
        <w:ind w:firstLine="482"/>
        <w:rPr>
          <w:iCs/>
          <w:szCs w:val="24"/>
        </w:rPr>
      </w:pPr>
      <w:r>
        <w:rPr>
          <w:rFonts w:hint="eastAsia"/>
          <w:b/>
          <w:iCs/>
          <w:szCs w:val="24"/>
        </w:rPr>
        <w:t>身份认证：</w:t>
      </w:r>
      <w:r>
        <w:rPr>
          <w:rFonts w:hint="eastAsia"/>
          <w:iCs/>
          <w:szCs w:val="24"/>
        </w:rPr>
        <w:t>提供系统登录失败处理功能（可采结束会话、限制非法登录次数和自动退出等措施）；系统超时（即系统无操作</w:t>
      </w:r>
      <w:r>
        <w:rPr>
          <w:iCs/>
          <w:szCs w:val="24"/>
        </w:rPr>
        <w:t>20</w:t>
      </w:r>
      <w:r>
        <w:rPr>
          <w:rFonts w:hint="eastAsia"/>
          <w:iCs/>
          <w:szCs w:val="24"/>
        </w:rPr>
        <w:t>分钟），需重新登陆；启用身份鉴别、用户身份唯一性检查、用户身份鉴别复杂性检查，确保系统中不存在重复用户身份标识，且身份鉴别信息不易被盗用；</w:t>
      </w:r>
    </w:p>
    <w:p>
      <w:pPr>
        <w:pStyle w:val="36"/>
        <w:ind w:firstLine="482"/>
        <w:rPr>
          <w:iCs/>
          <w:szCs w:val="24"/>
        </w:rPr>
      </w:pPr>
      <w:r>
        <w:rPr>
          <w:rFonts w:hint="eastAsia"/>
          <w:b/>
          <w:iCs/>
          <w:szCs w:val="24"/>
        </w:rPr>
        <w:t>访问控制：</w:t>
      </w:r>
      <w:r>
        <w:rPr>
          <w:rFonts w:hint="eastAsia"/>
          <w:iCs/>
          <w:szCs w:val="24"/>
        </w:rPr>
        <w:t>应提供访问控制功能，根据安全策略控制用户对问见、数据库的客体的访问；应授予不同账户为完成各自承担任务所需的最小权限，并在他们之间形成相互制约的关系；</w:t>
      </w:r>
    </w:p>
    <w:p>
      <w:pPr>
        <w:pStyle w:val="36"/>
        <w:ind w:firstLine="482"/>
        <w:rPr>
          <w:iCs/>
          <w:szCs w:val="24"/>
        </w:rPr>
      </w:pPr>
      <w:r>
        <w:rPr>
          <w:rFonts w:hint="eastAsia"/>
          <w:b/>
          <w:iCs/>
          <w:szCs w:val="24"/>
        </w:rPr>
        <w:t>安全审计</w:t>
      </w:r>
      <w:r>
        <w:rPr>
          <w:rFonts w:hint="eastAsia"/>
          <w:iCs/>
          <w:szCs w:val="24"/>
        </w:rPr>
        <w:t>：应提供覆盖到每个用户的安全设计功能，对应用系统重要安全事件进行审计；应保证无法删除、修改或覆盖审计记录；审计记录的内容需要事件日期、事件、发起者信息、类型、描述和结果等；支持系统日志、应用日志等的导出；</w:t>
      </w:r>
    </w:p>
    <w:p>
      <w:pPr>
        <w:pStyle w:val="36"/>
        <w:ind w:firstLine="482"/>
        <w:rPr>
          <w:iCs/>
          <w:szCs w:val="24"/>
        </w:rPr>
      </w:pPr>
      <w:r>
        <w:rPr>
          <w:rFonts w:hint="eastAsia"/>
          <w:b/>
          <w:iCs/>
          <w:szCs w:val="24"/>
        </w:rPr>
        <w:t>资源控制：</w:t>
      </w:r>
      <w:r>
        <w:rPr>
          <w:rFonts w:hint="eastAsia"/>
          <w:iCs/>
          <w:szCs w:val="24"/>
        </w:rPr>
        <w:t>FineReport报表开发系统支持全局最大并发，登录用户的IP地址可在系统日志中查询；</w:t>
      </w:r>
    </w:p>
    <w:p>
      <w:pPr>
        <w:pStyle w:val="36"/>
        <w:ind w:firstLine="0" w:firstLineChars="0"/>
        <w:rPr>
          <w:iCs/>
          <w:szCs w:val="24"/>
        </w:rPr>
      </w:pPr>
      <w:r>
        <w:rPr>
          <w:rFonts w:hint="eastAsia"/>
          <w:iCs/>
          <w:szCs w:val="24"/>
        </w:rPr>
        <w:t xml:space="preserve">    </w:t>
      </w:r>
      <w:r>
        <w:rPr>
          <w:rFonts w:hint="eastAsia"/>
          <w:b/>
          <w:iCs/>
          <w:szCs w:val="24"/>
        </w:rPr>
        <w:t>发布协议：</w:t>
      </w:r>
      <w:r>
        <w:rPr>
          <w:rFonts w:hint="eastAsia"/>
          <w:iCs/>
          <w:szCs w:val="24"/>
        </w:rPr>
        <w:t>使用</w:t>
      </w:r>
      <w:r>
        <w:rPr>
          <w:iCs/>
          <w:szCs w:val="24"/>
        </w:rPr>
        <w:t>http</w:t>
      </w:r>
      <w:r>
        <w:rPr>
          <w:rFonts w:hint="eastAsia"/>
          <w:iCs/>
          <w:szCs w:val="24"/>
        </w:rPr>
        <w:t>协议；</w:t>
      </w:r>
    </w:p>
    <w:p>
      <w:pPr>
        <w:pStyle w:val="36"/>
        <w:ind w:firstLine="482"/>
        <w:rPr>
          <w:iCs/>
          <w:szCs w:val="24"/>
        </w:rPr>
      </w:pPr>
      <w:r>
        <w:rPr>
          <w:rFonts w:hint="eastAsia"/>
          <w:b/>
          <w:iCs/>
          <w:szCs w:val="24"/>
        </w:rPr>
        <w:t>应用部署：</w:t>
      </w:r>
      <w:r>
        <w:rPr>
          <w:rFonts w:hint="eastAsia"/>
          <w:iCs/>
          <w:szCs w:val="24"/>
        </w:rPr>
        <w:t>对外发布的系统应保证安全稳定；</w:t>
      </w:r>
    </w:p>
    <w:p>
      <w:pPr>
        <w:pStyle w:val="36"/>
        <w:ind w:firstLine="482"/>
        <w:rPr>
          <w:iCs/>
          <w:szCs w:val="24"/>
        </w:rPr>
      </w:pPr>
      <w:r>
        <w:rPr>
          <w:rFonts w:hint="eastAsia"/>
          <w:b/>
          <w:iCs/>
          <w:szCs w:val="24"/>
        </w:rPr>
        <w:t>数据：</w:t>
      </w:r>
      <w:r>
        <w:rPr>
          <w:rFonts w:hint="eastAsia"/>
          <w:iCs/>
          <w:szCs w:val="24"/>
        </w:rPr>
        <w:t>制订了重要数据的备份策略，内容应包括备份的数据对象、备份方式、备份周期、备份采用的介质、数据备份保存的期限、以及操作人员；要求验证所制定的数据备份策略的有效性，对数据恢复过程进行试验，确保在发生安全问题时能够从数据备份中进行恢复；制订了重要数据的灾难恢复计划，内容包括重要数据对象、数据存储及备份的位置、从数据备份进行恢复的详细过程和步骤、以及执行恢复操作的人员；</w:t>
      </w:r>
    </w:p>
    <w:p>
      <w:pPr>
        <w:pStyle w:val="21"/>
        <w:widowControl/>
        <w:ind w:firstLine="482"/>
        <w:rPr>
          <w:rFonts w:ascii="宋体" w:hAnsi="宋体" w:cs="宋体"/>
          <w:b/>
          <w:sz w:val="32"/>
          <w:szCs w:val="32"/>
        </w:rPr>
      </w:pPr>
      <w:r>
        <w:rPr>
          <w:rFonts w:hint="eastAsia"/>
          <w:b/>
          <w:iCs/>
          <w:szCs w:val="24"/>
        </w:rPr>
        <w:t>配合整改：</w:t>
      </w:r>
      <w:r>
        <w:rPr>
          <w:rFonts w:hint="eastAsia"/>
          <w:iCs/>
          <w:szCs w:val="24"/>
        </w:rPr>
        <w:t>乙方应配合甲方进行信息安全检查，并根据检查结果及时进行整改,直至符合甲方信息安全要求。</w:t>
      </w:r>
    </w:p>
    <w:p>
      <w:pPr>
        <w:pStyle w:val="21"/>
        <w:widowControl/>
        <w:ind w:firstLine="643"/>
        <w:rPr>
          <w:rFonts w:ascii="宋体" w:hAnsi="宋体" w:cs="宋体"/>
          <w:b/>
          <w:sz w:val="32"/>
          <w:szCs w:val="32"/>
        </w:rPr>
      </w:pPr>
      <w:r>
        <w:rPr>
          <w:rFonts w:hint="eastAsia" w:ascii="宋体" w:hAnsi="宋体" w:cs="宋体"/>
          <w:b/>
          <w:sz w:val="32"/>
          <w:szCs w:val="32"/>
        </w:rPr>
        <w:t>1.4</w:t>
      </w:r>
      <w:bookmarkEnd w:id="92"/>
      <w:bookmarkEnd w:id="93"/>
      <w:r>
        <w:rPr>
          <w:rFonts w:hint="eastAsia" w:ascii="宋体" w:hAnsi="宋体" w:cs="宋体"/>
          <w:b/>
          <w:sz w:val="32"/>
          <w:szCs w:val="32"/>
        </w:rPr>
        <w:t>其他要求</w:t>
      </w:r>
    </w:p>
    <w:p>
      <w:pPr>
        <w:autoSpaceDE w:val="0"/>
        <w:autoSpaceDN w:val="0"/>
        <w:adjustRightInd w:val="0"/>
        <w:ind w:firstLine="420"/>
        <w:jc w:val="left"/>
        <w:rPr>
          <w:rFonts w:ascii="宋体" w:hAnsi="Arial" w:eastAsia="宋体" w:cs="宋体"/>
          <w:color w:val="auto"/>
          <w:kern w:val="0"/>
          <w:sz w:val="23"/>
          <w:szCs w:val="23"/>
        </w:rPr>
      </w:pPr>
      <w:r>
        <w:rPr>
          <w:rFonts w:ascii="Arial" w:hAnsi="Arial" w:eastAsia="宋体" w:cs="Arial"/>
          <w:color w:val="auto"/>
          <w:kern w:val="0"/>
          <w:sz w:val="23"/>
          <w:szCs w:val="23"/>
        </w:rPr>
        <w:t>1</w:t>
      </w:r>
      <w:r>
        <w:rPr>
          <w:rFonts w:hint="eastAsia" w:ascii="宋体" w:hAnsi="Arial" w:eastAsia="宋体" w:cs="宋体"/>
          <w:color w:val="auto"/>
          <w:kern w:val="0"/>
          <w:sz w:val="23"/>
          <w:szCs w:val="23"/>
        </w:rPr>
        <w:t>）本次招标采购软件部分是按产品全功能模块进行</w:t>
      </w:r>
      <w:r>
        <w:rPr>
          <w:rFonts w:hint="eastAsia" w:ascii="宋体" w:hAnsi="Arial" w:cs="宋体"/>
          <w:color w:val="auto"/>
          <w:kern w:val="0"/>
          <w:sz w:val="23"/>
          <w:szCs w:val="23"/>
        </w:rPr>
        <w:t>采购</w:t>
      </w:r>
      <w:r>
        <w:rPr>
          <w:rFonts w:hint="eastAsia" w:ascii="宋体" w:hAnsi="Arial" w:eastAsia="宋体" w:cs="宋体"/>
          <w:color w:val="auto"/>
          <w:kern w:val="0"/>
          <w:sz w:val="23"/>
          <w:szCs w:val="23"/>
        </w:rPr>
        <w:t>，投标人须明确列出软件产品所有的功能模块，不得隐藏已有功能单独收费。</w:t>
      </w:r>
    </w:p>
    <w:p>
      <w:pPr>
        <w:pStyle w:val="21"/>
        <w:widowControl/>
        <w:ind w:firstLine="460"/>
        <w:rPr>
          <w:rFonts w:ascii="宋体" w:hAnsi="宋体" w:cs="宋体"/>
          <w:b/>
          <w:color w:val="auto"/>
          <w:sz w:val="32"/>
          <w:szCs w:val="32"/>
        </w:rPr>
      </w:pPr>
      <w:r>
        <w:rPr>
          <w:rFonts w:ascii="Arial" w:hAnsi="Arial" w:cs="Arial"/>
          <w:color w:val="auto"/>
          <w:kern w:val="0"/>
          <w:sz w:val="23"/>
          <w:szCs w:val="23"/>
        </w:rPr>
        <w:t>2</w:t>
      </w:r>
      <w:r>
        <w:rPr>
          <w:rFonts w:hint="eastAsia" w:ascii="宋体" w:hAnsi="Arial" w:cs="宋体"/>
          <w:color w:val="auto"/>
          <w:kern w:val="0"/>
          <w:sz w:val="23"/>
          <w:szCs w:val="23"/>
        </w:rPr>
        <w:t>）实施商认为必要的其他说明性文件。</w:t>
      </w:r>
      <w:bookmarkStart w:id="102" w:name="_Toc13572"/>
      <w:bookmarkStart w:id="103" w:name="_Toc4490"/>
    </w:p>
    <w:p>
      <w:pPr>
        <w:pStyle w:val="21"/>
        <w:widowControl/>
        <w:ind w:firstLine="643"/>
      </w:pPr>
      <w:r>
        <w:rPr>
          <w:rFonts w:hint="eastAsia" w:ascii="宋体" w:hAnsi="宋体" w:cs="宋体"/>
          <w:b/>
          <w:sz w:val="32"/>
          <w:szCs w:val="32"/>
        </w:rPr>
        <w:t>1.5</w:t>
      </w:r>
      <w:bookmarkEnd w:id="94"/>
      <w:bookmarkEnd w:id="95"/>
      <w:bookmarkEnd w:id="96"/>
      <w:bookmarkEnd w:id="97"/>
      <w:bookmarkEnd w:id="98"/>
      <w:bookmarkEnd w:id="99"/>
      <w:bookmarkEnd w:id="100"/>
      <w:bookmarkEnd w:id="101"/>
      <w:bookmarkEnd w:id="102"/>
      <w:bookmarkEnd w:id="103"/>
      <w:r>
        <w:t xml:space="preserve"> </w:t>
      </w:r>
      <w:r>
        <w:rPr>
          <w:rFonts w:hint="eastAsia" w:ascii="宋体" w:hAnsi="宋体" w:cs="宋体"/>
          <w:b/>
          <w:sz w:val="32"/>
          <w:szCs w:val="32"/>
        </w:rPr>
        <w:t>项目风险与关键因素</w:t>
      </w:r>
    </w:p>
    <w:p>
      <w:pPr>
        <w:pStyle w:val="21"/>
        <w:ind w:firstLine="0" w:firstLineChars="0"/>
        <w:rPr>
          <w:iCs/>
          <w:szCs w:val="24"/>
        </w:rPr>
      </w:pPr>
      <w:r>
        <w:rPr>
          <w:rFonts w:hint="eastAsia"/>
          <w:iCs/>
          <w:szCs w:val="24"/>
        </w:rPr>
        <w:t>无。</w:t>
      </w:r>
    </w:p>
    <w:p>
      <w:pPr>
        <w:pStyle w:val="21"/>
        <w:ind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.6</w:t>
      </w:r>
      <w:r>
        <w:rPr>
          <w:rFonts w:hint="eastAsia" w:ascii="宋体" w:hAnsi="宋体" w:cs="宋体"/>
          <w:b/>
          <w:sz w:val="32"/>
          <w:szCs w:val="32"/>
        </w:rPr>
        <w:t>交付成果</w:t>
      </w:r>
    </w:p>
    <w:tbl>
      <w:tblPr>
        <w:tblStyle w:val="17"/>
        <w:tblW w:w="7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57"/>
        <w:gridCol w:w="5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7513" w:type="dxa"/>
            <w:gridSpan w:val="3"/>
            <w:tcBorders>
              <w:top w:val="single" w:color="000000" w:sz="4" w:space="0"/>
              <w:left w:val="single" w:color="000000" w:sz="4" w:space="0"/>
              <w:bottom w:val="single" w:color="000000" w:sz="4" w:space="0"/>
              <w:right w:val="single" w:color="000000" w:sz="4" w:space="0"/>
            </w:tcBorders>
          </w:tcPr>
          <w:p>
            <w:pPr>
              <w:rPr>
                <w:color w:val="000000"/>
                <w:sz w:val="28"/>
              </w:rPr>
            </w:pPr>
            <w:r>
              <w:rPr>
                <w:rFonts w:hint="eastAsia" w:ascii="宋体" w:hAnsi="宋体"/>
                <w:color w:val="000000"/>
                <w:sz w:val="28"/>
              </w:rPr>
              <w:t>交付物列表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9"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olor w:val="000000"/>
                <w:sz w:val="24"/>
              </w:rPr>
              <w:t>NO.</w:t>
            </w:r>
          </w:p>
        </w:tc>
        <w:tc>
          <w:tcPr>
            <w:tcW w:w="145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类别</w:t>
            </w:r>
          </w:p>
        </w:tc>
        <w:tc>
          <w:tcPr>
            <w:tcW w:w="534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9"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olor w:val="000000"/>
                <w:sz w:val="24"/>
              </w:rPr>
              <w:t>1</w:t>
            </w:r>
          </w:p>
        </w:tc>
        <w:tc>
          <w:tcPr>
            <w:tcW w:w="145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源代码</w:t>
            </w:r>
          </w:p>
        </w:tc>
        <w:tc>
          <w:tcPr>
            <w:tcW w:w="534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乙方外包服务期间参与项目开发的程序源代码。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9"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olor w:val="000000"/>
                <w:sz w:val="24"/>
              </w:rPr>
              <w:t>2</w:t>
            </w:r>
          </w:p>
        </w:tc>
        <w:tc>
          <w:tcPr>
            <w:tcW w:w="145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相关文档</w:t>
            </w:r>
          </w:p>
        </w:tc>
        <w:tc>
          <w:tcPr>
            <w:tcW w:w="534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乙方外包服务期间参与项目所需的相关文档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9"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3</w:t>
            </w:r>
          </w:p>
        </w:tc>
        <w:tc>
          <w:tcPr>
            <w:tcW w:w="145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知识转移</w:t>
            </w:r>
          </w:p>
        </w:tc>
        <w:tc>
          <w:tcPr>
            <w:tcW w:w="5347" w:type="dxa"/>
            <w:tcBorders>
              <w:top w:val="single" w:color="000000" w:sz="4" w:space="0"/>
              <w:left w:val="single" w:color="000000" w:sz="4" w:space="0"/>
              <w:bottom w:val="single" w:color="000000" w:sz="4" w:space="0"/>
              <w:right w:val="single" w:color="000000" w:sz="4" w:space="0"/>
            </w:tcBorders>
          </w:tcPr>
          <w:p>
            <w:pPr>
              <w:rPr>
                <w:color w:val="000000"/>
                <w:sz w:val="24"/>
              </w:rPr>
            </w:pPr>
            <w:r>
              <w:rPr>
                <w:rFonts w:hint="eastAsia" w:ascii="宋体" w:hAnsi="宋体"/>
                <w:color w:val="000000"/>
                <w:sz w:val="24"/>
              </w:rPr>
              <w:t>项目上线转运维的知识转移对应转移情况文档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709"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olor w:val="000000"/>
                <w:sz w:val="24"/>
              </w:rPr>
              <w:t>4</w:t>
            </w:r>
          </w:p>
        </w:tc>
        <w:tc>
          <w:tcPr>
            <w:tcW w:w="1457"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olor w:val="000000"/>
                <w:sz w:val="24"/>
              </w:rPr>
              <w:t>问题清单</w:t>
            </w:r>
          </w:p>
        </w:tc>
        <w:tc>
          <w:tcPr>
            <w:tcW w:w="5347"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4"/>
              </w:rPr>
            </w:pPr>
            <w:r>
              <w:rPr>
                <w:rFonts w:hint="eastAsia" w:ascii="宋体" w:hAnsi="宋体" w:cs="黑体"/>
                <w:color w:val="000000"/>
                <w:sz w:val="24"/>
              </w:rPr>
              <w:t>乙方远程运维服务问题清单及对应解决方案</w:t>
            </w:r>
          </w:p>
        </w:tc>
      </w:tr>
    </w:tbl>
    <w:p>
      <w:pPr>
        <w:pStyle w:val="21"/>
        <w:ind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.7</w:t>
      </w:r>
      <w:r>
        <w:rPr>
          <w:rFonts w:hint="eastAsia" w:ascii="宋体" w:hAnsi="宋体" w:cs="宋体"/>
          <w:b/>
          <w:sz w:val="32"/>
          <w:szCs w:val="32"/>
        </w:rPr>
        <w:t>项目验收标准</w:t>
      </w:r>
    </w:p>
    <w:p>
      <w:pPr>
        <w:pStyle w:val="36"/>
        <w:ind w:firstLine="480"/>
        <w:rPr>
          <w:rFonts w:ascii="宋体" w:hAnsi="宋体" w:cs="宋体"/>
          <w:b/>
          <w:sz w:val="32"/>
          <w:szCs w:val="32"/>
        </w:rPr>
      </w:pPr>
      <w:r>
        <w:rPr>
          <w:rFonts w:ascii="宋体" w:hAnsi="宋体" w:cs="宋体"/>
          <w:szCs w:val="24"/>
        </w:rPr>
        <w:t>项目验收要求以立项通知单内容为指导、以项目工作说明书（SOW)进行项目验收</w:t>
      </w:r>
      <w:r>
        <w:rPr>
          <w:rFonts w:hint="eastAsia" w:ascii="宋体" w:hAnsi="宋体" w:cs="宋体"/>
          <w:szCs w:val="24"/>
        </w:rPr>
        <w:t>。</w:t>
      </w:r>
      <w:r>
        <w:t>在每一事项结束时，</w:t>
      </w:r>
      <w:r>
        <w:rPr>
          <w:rFonts w:hint="eastAsia"/>
        </w:rPr>
        <w:t>按照甲方要求</w:t>
      </w:r>
      <w:r>
        <w:t>提交</w:t>
      </w:r>
      <w:r>
        <w:rPr>
          <w:rFonts w:hint="eastAsia"/>
        </w:rPr>
        <w:t>相关文档</w:t>
      </w:r>
      <w:r>
        <w:t>，并通过甲方相关人员的考核评审。</w:t>
      </w:r>
    </w:p>
    <w:p>
      <w:pPr>
        <w:pStyle w:val="21"/>
        <w:ind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.8</w:t>
      </w:r>
      <w:r>
        <w:rPr>
          <w:rFonts w:hint="eastAsia" w:ascii="宋体" w:hAnsi="宋体" w:cs="宋体"/>
          <w:b/>
          <w:sz w:val="32"/>
          <w:szCs w:val="32"/>
        </w:rPr>
        <w:t>项目实施计划</w:t>
      </w:r>
    </w:p>
    <w:p>
      <w:pPr>
        <w:pStyle w:val="30"/>
        <w:widowControl/>
        <w:spacing w:after="156" w:afterLines="50"/>
        <w:ind w:firstLine="480"/>
        <w:rPr>
          <w:rFonts w:ascii="宋体" w:hAnsi="宋体" w:cs="宋体"/>
        </w:rPr>
      </w:pPr>
      <w:r>
        <w:rPr>
          <w:rFonts w:ascii="宋体" w:hAnsi="宋体" w:cs="宋体"/>
        </w:rPr>
        <w:t>项目实施按信息化项目实施管理规范执行</w:t>
      </w:r>
      <w:r>
        <w:rPr>
          <w:rFonts w:hint="eastAsia" w:ascii="宋体" w:hAnsi="宋体" w:cs="宋体"/>
        </w:rPr>
        <w:t>。</w:t>
      </w:r>
    </w:p>
    <w:p>
      <w:pPr>
        <w:pStyle w:val="21"/>
        <w:ind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.9</w:t>
      </w:r>
      <w:r>
        <w:rPr>
          <w:rFonts w:hint="eastAsia" w:ascii="宋体" w:hAnsi="宋体" w:cs="宋体"/>
          <w:b/>
          <w:sz w:val="32"/>
          <w:szCs w:val="32"/>
        </w:rPr>
        <w:t>人员安排</w:t>
      </w:r>
    </w:p>
    <w:p>
      <w:pPr>
        <w:pStyle w:val="36"/>
        <w:ind w:firstLine="480"/>
        <w:rPr>
          <w:rFonts w:eastAsia="Times New Roman"/>
        </w:rPr>
      </w:pPr>
      <w:r>
        <w:t>1、由甲方经理（或执行经理）提交人员需求计划至乙方服务经理。</w:t>
      </w:r>
    </w:p>
    <w:p>
      <w:pPr>
        <w:pStyle w:val="36"/>
        <w:ind w:firstLine="480"/>
      </w:pPr>
      <w:r>
        <w:t>2、由乙方服务经理进行人员派遣的安排，乙方派遣的服务人员应具有相应等级的工作经验。</w:t>
      </w:r>
    </w:p>
    <w:p>
      <w:pPr>
        <w:pStyle w:val="36"/>
        <w:ind w:firstLine="480"/>
        <w:rPr>
          <w:highlight w:val="none"/>
        </w:rPr>
      </w:pPr>
      <w:r>
        <w:rPr>
          <w:rFonts w:hint="eastAsia"/>
          <w:highlight w:val="none"/>
        </w:rPr>
        <w:t>项目负责人（</w:t>
      </w:r>
      <w:r>
        <w:rPr>
          <w:highlight w:val="none"/>
        </w:rPr>
        <w:t>4</w:t>
      </w:r>
      <w:r>
        <w:rPr>
          <w:rFonts w:hint="eastAsia"/>
          <w:highlight w:val="none"/>
        </w:rPr>
        <w:t>年及以上工作经验），具备制造业项目经验2年及以上。</w:t>
      </w:r>
    </w:p>
    <w:p>
      <w:pPr>
        <w:pStyle w:val="36"/>
        <w:ind w:firstLine="480"/>
        <w:rPr>
          <w:rFonts w:hint="eastAsia"/>
          <w:highlight w:val="none"/>
        </w:rPr>
      </w:pPr>
      <w:r>
        <w:rPr>
          <w:rFonts w:hint="eastAsia"/>
          <w:highlight w:val="none"/>
        </w:rPr>
        <w:t>驻场工程师（2年及以上工作经验），具有丰富的产品开发和实施技术能力，有制造业尤其是汽车行业经验优先。</w:t>
      </w:r>
    </w:p>
    <w:p>
      <w:pPr>
        <w:pStyle w:val="36"/>
        <w:ind w:firstLine="480"/>
        <w:rPr>
          <w:rFonts w:eastAsia="Times New Roman"/>
          <w:highlight w:val="none"/>
        </w:rPr>
      </w:pPr>
      <w:r>
        <w:rPr>
          <w:highlight w:val="none"/>
        </w:rPr>
        <w:t>3、乙方服务人员至现场后，按甲方要求进行服务工作，工作完成后，需要递交</w:t>
      </w:r>
      <w:r>
        <w:rPr>
          <w:rFonts w:hint="eastAsia"/>
          <w:highlight w:val="none"/>
        </w:rPr>
        <w:t>“</w:t>
      </w:r>
      <w:r>
        <w:rPr>
          <w:highlight w:val="none"/>
        </w:rPr>
        <w:t>现场服务单</w:t>
      </w:r>
      <w:r>
        <w:rPr>
          <w:rFonts w:hint="eastAsia"/>
          <w:highlight w:val="none"/>
        </w:rPr>
        <w:t>”</w:t>
      </w:r>
      <w:r>
        <w:rPr>
          <w:highlight w:val="none"/>
        </w:rPr>
        <w:t>给甲方经理签字确认。</w:t>
      </w:r>
    </w:p>
    <w:p>
      <w:pPr>
        <w:pStyle w:val="36"/>
        <w:ind w:firstLine="480"/>
        <w:rPr>
          <w:highlight w:val="none"/>
        </w:rPr>
      </w:pPr>
      <w:r>
        <w:rPr>
          <w:highlight w:val="none"/>
        </w:rPr>
        <w:t>4、当双方有争议时，由双方服务经理进行商谈处理。</w:t>
      </w:r>
    </w:p>
    <w:p>
      <w:pPr>
        <w:pStyle w:val="36"/>
        <w:ind w:firstLine="480"/>
        <w:rPr>
          <w:highlight w:val="none"/>
        </w:rPr>
      </w:pPr>
      <w:r>
        <w:rPr>
          <w:highlight w:val="none"/>
        </w:rPr>
        <w:t>远程服务流程：</w:t>
      </w:r>
    </w:p>
    <w:p>
      <w:pPr>
        <w:pStyle w:val="36"/>
        <w:ind w:firstLine="480"/>
        <w:rPr>
          <w:highlight w:val="none"/>
        </w:rPr>
      </w:pPr>
      <w:r>
        <w:rPr>
          <w:highlight w:val="none"/>
        </w:rPr>
        <w:t>1、由甲方经理（或执行经理）提交远程服务需求至乙方服务经理。</w:t>
      </w:r>
    </w:p>
    <w:p>
      <w:pPr>
        <w:pStyle w:val="36"/>
        <w:ind w:firstLine="480"/>
        <w:rPr>
          <w:highlight w:val="none"/>
        </w:rPr>
      </w:pPr>
      <w:r>
        <w:rPr>
          <w:highlight w:val="none"/>
        </w:rPr>
        <w:t>2、由乙方服务经理进行人员协调安排，乙方安排的远程服务人员应具有相应等级的工作经验。</w:t>
      </w:r>
    </w:p>
    <w:p>
      <w:pPr>
        <w:pStyle w:val="36"/>
        <w:ind w:firstLine="480"/>
        <w:rPr>
          <w:highlight w:val="none"/>
        </w:rPr>
      </w:pPr>
      <w:r>
        <w:rPr>
          <w:rFonts w:hint="eastAsia"/>
          <w:highlight w:val="none"/>
        </w:rPr>
        <w:t>项目负责人（</w:t>
      </w:r>
      <w:r>
        <w:rPr>
          <w:highlight w:val="none"/>
        </w:rPr>
        <w:t>4</w:t>
      </w:r>
      <w:r>
        <w:rPr>
          <w:rFonts w:hint="eastAsia"/>
          <w:highlight w:val="none"/>
        </w:rPr>
        <w:t>年及以上工作经验），具备制造业项目经验2年及以上。</w:t>
      </w:r>
    </w:p>
    <w:p>
      <w:pPr>
        <w:pStyle w:val="36"/>
        <w:ind w:firstLine="480"/>
        <w:rPr>
          <w:rFonts w:hint="eastAsia"/>
          <w:highlight w:val="none"/>
        </w:rPr>
      </w:pPr>
      <w:r>
        <w:rPr>
          <w:rFonts w:hint="eastAsia"/>
          <w:highlight w:val="none"/>
        </w:rPr>
        <w:t>驻场工程师（2年及以上工作经验），具有丰富的产品开发和实施技术能力，有制造业尤其是汽车行业经验优先。</w:t>
      </w:r>
    </w:p>
    <w:p>
      <w:pPr>
        <w:pStyle w:val="36"/>
        <w:ind w:firstLine="480"/>
        <w:rPr>
          <w:highlight w:val="none"/>
        </w:rPr>
      </w:pPr>
      <w:r>
        <w:rPr>
          <w:highlight w:val="none"/>
        </w:rPr>
        <w:t>3、乙方服务人员按甲方要求进行远程服务工作，工作完成后，需要递交“远程服务单”给甲方经理签字确认。</w:t>
      </w:r>
    </w:p>
    <w:p>
      <w:pPr>
        <w:pStyle w:val="15"/>
      </w:pPr>
      <w:r>
        <w:t>4. 当双方有争议是，由双方服务经理进行商谈处理。</w:t>
      </w:r>
    </w:p>
    <w:p>
      <w:pPr>
        <w:pStyle w:val="21"/>
        <w:ind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.10</w:t>
      </w:r>
      <w:r>
        <w:rPr>
          <w:rFonts w:hint="eastAsia" w:ascii="宋体" w:hAnsi="宋体" w:cs="宋体"/>
          <w:b/>
          <w:sz w:val="32"/>
          <w:szCs w:val="32"/>
        </w:rPr>
        <w:t>双方职责</w:t>
      </w:r>
    </w:p>
    <w:p>
      <w:pPr>
        <w:pStyle w:val="36"/>
        <w:numPr>
          <w:ilvl w:val="0"/>
          <w:numId w:val="22"/>
        </w:numPr>
        <w:ind w:firstLineChars="0"/>
        <w:rPr>
          <w:rFonts w:eastAsia="Times New Roman"/>
        </w:rPr>
      </w:pPr>
      <w:r>
        <w:t>乙方应以审慎尽职的态度，按合同规定的要求忠诚地为甲方提供服务，同时遵守甲方的工作纪律，国家法律、法规。</w:t>
      </w:r>
    </w:p>
    <w:p>
      <w:pPr>
        <w:pStyle w:val="36"/>
        <w:numPr>
          <w:ilvl w:val="0"/>
          <w:numId w:val="22"/>
        </w:numPr>
        <w:ind w:firstLineChars="0"/>
        <w:rPr>
          <w:rFonts w:eastAsia="Times New Roman"/>
        </w:rPr>
      </w:pPr>
      <w:r>
        <w:t>在乙方按照合同履行服务时甲方应提供必要的办公场所、设备、系统环境，并向乙方提供合理的方便和及时地获取甲方的数据、信息以及同甲方有关人员进行接触。同时，甲方应负责其人员及代理人的职责，以保证可以提供准确、完整的数据和信息。</w:t>
      </w:r>
    </w:p>
    <w:p>
      <w:pPr>
        <w:pStyle w:val="36"/>
        <w:numPr>
          <w:ilvl w:val="0"/>
          <w:numId w:val="22"/>
        </w:numPr>
        <w:ind w:firstLineChars="0"/>
        <w:rPr>
          <w:rFonts w:eastAsia="Times New Roman"/>
        </w:rPr>
      </w:pPr>
      <w:r>
        <w:t>为了确保项目顺利进行和实现预计目标，有效控制项目风险和项目质量，双方应联合组建项目管理组织，共同完成项目的实施工作。在按照合同履行服务时，双方应指派足够的、具备相应能力的人员（包括，但不限于：</w:t>
      </w:r>
      <w:r>
        <w:rPr>
          <w:rFonts w:hint="eastAsia" w:ascii="宋体" w:hAnsi="宋体"/>
          <w:color w:val="000000"/>
        </w:rPr>
        <w:t>报表-Report、仪表盘-Dashboard</w:t>
      </w:r>
      <w:r>
        <w:t>、</w:t>
      </w:r>
      <w:r>
        <w:rPr>
          <w:rFonts w:hint="eastAsia" w:ascii="宋体" w:hAnsi="宋体"/>
          <w:color w:val="000000"/>
        </w:rPr>
        <w:t>填报-Data filling</w:t>
      </w:r>
      <w:r>
        <w:t>、</w:t>
      </w:r>
      <w:r>
        <w:rPr>
          <w:rFonts w:hint="eastAsia" w:ascii="宋体" w:hAnsi="宋体"/>
          <w:color w:val="000000"/>
        </w:rPr>
        <w:t>门户-Portal</w:t>
      </w:r>
      <w:r>
        <w:rPr>
          <w:rFonts w:hint="eastAsia"/>
        </w:rPr>
        <w:t>、</w:t>
      </w:r>
      <w:r>
        <w:rPr>
          <w:rFonts w:hint="eastAsia" w:ascii="宋体" w:hAnsi="宋体"/>
          <w:color w:val="000000"/>
        </w:rPr>
        <w:t>高级图表-Chart</w:t>
      </w:r>
      <w:r>
        <w:rPr>
          <w:rFonts w:hint="eastAsia"/>
        </w:rPr>
        <w:t>、</w:t>
      </w:r>
      <w:r>
        <w:rPr>
          <w:rFonts w:hint="eastAsia" w:ascii="宋体" w:hAnsi="宋体"/>
          <w:color w:val="000000"/>
        </w:rPr>
        <w:t>移动端-Mobile</w:t>
      </w:r>
      <w:r>
        <w:t>）参与，且在整个项目服务期间，尽量确保这些人员的相对稳定。如个别人员能力达不到要求或时间不能保证或因特别原因须离开项目组，双方应及时更换或补充，不得影响项目正常实施。</w:t>
      </w:r>
    </w:p>
    <w:p>
      <w:pPr>
        <w:pStyle w:val="21"/>
        <w:ind w:left="480"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.11</w:t>
      </w:r>
      <w:r>
        <w:rPr>
          <w:rFonts w:hint="eastAsia" w:ascii="宋体" w:hAnsi="宋体" w:cs="宋体"/>
          <w:b/>
          <w:sz w:val="32"/>
          <w:szCs w:val="32"/>
        </w:rPr>
        <w:t>总体质量要求</w:t>
      </w:r>
    </w:p>
    <w:p>
      <w:pPr>
        <w:pStyle w:val="8"/>
        <w:spacing w:before="3"/>
        <w:ind w:left="0"/>
        <w:rPr>
          <w:rFonts w:ascii="Times New Roman" w:hAnsi="Times New Roman" w:eastAsia="宋体" w:cs="Times New Roman"/>
          <w:kern w:val="2"/>
          <w:sz w:val="24"/>
          <w:szCs w:val="22"/>
          <w:lang w:val="en-US" w:eastAsia="zh-CN" w:bidi="ar-SA"/>
        </w:rPr>
      </w:pPr>
      <w:r>
        <w:rPr>
          <w:rFonts w:ascii="Times New Roman" w:hAnsi="Times New Roman" w:eastAsia="宋体" w:cs="Times New Roman"/>
          <w:kern w:val="2"/>
          <w:sz w:val="24"/>
          <w:szCs w:val="22"/>
          <w:lang w:val="en-US" w:eastAsia="zh-CN" w:bidi="ar-SA"/>
        </w:rPr>
        <w:t>乙方应详细描述其外包质量管理措施，其中包括质量标准和质量管理流程以及严重质量问题的应急预案等。外包过程中乙方必须接受甲方的管理和监督，也应做好项目实施过程的自我监督。乙方应提出适当的项目例会措施，以保证外包过程中的跟踪监控。</w:t>
      </w:r>
    </w:p>
    <w:p>
      <w:pPr>
        <w:pStyle w:val="21"/>
        <w:ind w:left="480"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.12</w:t>
      </w:r>
      <w:r>
        <w:rPr>
          <w:rFonts w:hint="eastAsia" w:ascii="宋体" w:hAnsi="宋体" w:cs="宋体"/>
          <w:b/>
          <w:sz w:val="32"/>
          <w:szCs w:val="32"/>
        </w:rPr>
        <w:t>人员保障</w:t>
      </w:r>
    </w:p>
    <w:p>
      <w:pPr>
        <w:pStyle w:val="36"/>
        <w:ind w:firstLine="480"/>
        <w:rPr>
          <w:rFonts w:eastAsia="Times New Roman"/>
        </w:rPr>
      </w:pPr>
      <w:r>
        <w:t>外包服务阶段：</w:t>
      </w:r>
    </w:p>
    <w:p>
      <w:pPr>
        <w:pStyle w:val="36"/>
        <w:numPr>
          <w:ilvl w:val="0"/>
          <w:numId w:val="23"/>
        </w:numPr>
        <w:ind w:firstLineChars="0"/>
        <w:rPr>
          <w:highlight w:val="none"/>
        </w:rPr>
      </w:pPr>
      <w:r>
        <w:t>每季度初乙方</w:t>
      </w:r>
      <w:r>
        <w:rPr>
          <w:highlight w:val="none"/>
        </w:rPr>
        <w:t>提供可选外包人员名单，包括功能技术顾问、工作年限、工作经历，确保甲方有足够人员可供选择。</w:t>
      </w:r>
    </w:p>
    <w:p>
      <w:pPr>
        <w:pStyle w:val="36"/>
        <w:numPr>
          <w:ilvl w:val="0"/>
          <w:numId w:val="23"/>
        </w:numPr>
        <w:ind w:firstLineChars="0"/>
        <w:rPr>
          <w:highlight w:val="none"/>
        </w:rPr>
      </w:pPr>
      <w:r>
        <w:rPr>
          <w:highlight w:val="none"/>
        </w:rPr>
        <w:t>甲方向乙方提出人员需求后，乙方需在10日内提供符合甲方需求数量的合格人员。提供的人员需经甲方面试，不通过面试需要乙方更换人员，直至满足甲方需求，面试过程包含在30日期限以内。</w:t>
      </w:r>
    </w:p>
    <w:p>
      <w:pPr>
        <w:pStyle w:val="36"/>
        <w:numPr>
          <w:ilvl w:val="0"/>
          <w:numId w:val="23"/>
        </w:numPr>
        <w:ind w:firstLineChars="0"/>
      </w:pPr>
      <w:r>
        <w:rPr>
          <w:highlight w:val="none"/>
        </w:rPr>
        <w:t>甲方向乙方提出工作内容需求后，乙方需</w:t>
      </w:r>
      <w:r>
        <w:t>在3个工作日内派人与甲方讨论工作内容，确定使用人天数，经双方认可后，外包人员可进场开展工作。</w:t>
      </w:r>
    </w:p>
    <w:p>
      <w:pPr>
        <w:pStyle w:val="36"/>
        <w:numPr>
          <w:ilvl w:val="0"/>
          <w:numId w:val="23"/>
        </w:numPr>
        <w:ind w:firstLineChars="0"/>
        <w:rPr>
          <w:rFonts w:eastAsia="Times New Roman"/>
        </w:rPr>
      </w:pPr>
      <w:r>
        <w:t>乙方因特殊原因导致人员变更，应提前15日书面通知甲方，并做好人员交接，经甲方认可后方可变更。</w:t>
      </w:r>
    </w:p>
    <w:p>
      <w:pPr>
        <w:pStyle w:val="36"/>
        <w:numPr>
          <w:ilvl w:val="0"/>
          <w:numId w:val="23"/>
        </w:numPr>
        <w:ind w:firstLineChars="0"/>
        <w:rPr>
          <w:rFonts w:eastAsia="Times New Roman"/>
        </w:rPr>
      </w:pPr>
      <w:r>
        <w:t>乙方人员根据甲方要求，定期上报工作任务完成情况给甲方项目经理、提交代码至SVN服务器，甲方项目经理有权核定乙方人员的工作是否有效，无效工作量将从总工作量中扣除。</w:t>
      </w:r>
    </w:p>
    <w:p>
      <w:pPr>
        <w:pStyle w:val="36"/>
        <w:numPr>
          <w:ilvl w:val="0"/>
          <w:numId w:val="23"/>
        </w:numPr>
        <w:ind w:firstLineChars="0"/>
      </w:pPr>
      <w:r>
        <w:t>乙方出场之前，需与甲方人员做工作交接，经甲方人员确认后方可出场。远程服务阶段：</w:t>
      </w:r>
    </w:p>
    <w:p>
      <w:pPr>
        <w:pStyle w:val="36"/>
        <w:numPr>
          <w:ilvl w:val="0"/>
          <w:numId w:val="23"/>
        </w:numPr>
        <w:ind w:firstLineChars="0"/>
      </w:pPr>
      <w:r>
        <w:t>甲向乙方提出运维需求后，乙方需在两小时以内给予响应，并安排合格人员进行处理。</w:t>
      </w:r>
    </w:p>
    <w:p>
      <w:pPr>
        <w:pStyle w:val="21"/>
        <w:ind w:left="480" w:firstLine="0" w:firstLineChars="0"/>
      </w:pPr>
      <w:r>
        <w:t>紧急情况（系统停机或因系统bug引起的日常业务终止）下可拨打服务经理电话进行7*24小时服务。</w:t>
      </w:r>
    </w:p>
    <w:p>
      <w:pPr>
        <w:pStyle w:val="21"/>
        <w:ind w:left="480"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.13</w:t>
      </w:r>
      <w:r>
        <w:rPr>
          <w:rFonts w:hint="eastAsia" w:ascii="宋体" w:hAnsi="宋体" w:cs="宋体"/>
          <w:b/>
          <w:sz w:val="32"/>
          <w:szCs w:val="32"/>
        </w:rPr>
        <w:t>安全保密要求</w:t>
      </w:r>
    </w:p>
    <w:p>
      <w:pPr>
        <w:pStyle w:val="36"/>
        <w:numPr>
          <w:ilvl w:val="0"/>
          <w:numId w:val="24"/>
        </w:numPr>
        <w:ind w:firstLineChars="0"/>
        <w:rPr>
          <w:rFonts w:eastAsia="Times New Roman"/>
        </w:rPr>
      </w:pPr>
      <w:r>
        <w:t>乙方人员应遵守甲方的信息安全管理规定，不得以任何手段给甲方造成信息安全隐患或后果；乙方应遵守甲方的信息保密管理规定，不得窥探甲方涉密信息，更不得向第三方透漏；对于违反甲方安全保密管理规定的，乙方应承担相应的经济和法律后果。</w:t>
      </w:r>
    </w:p>
    <w:p>
      <w:pPr>
        <w:pStyle w:val="36"/>
        <w:numPr>
          <w:ilvl w:val="0"/>
          <w:numId w:val="24"/>
        </w:numPr>
        <w:ind w:firstLineChars="0"/>
        <w:rPr>
          <w:rFonts w:eastAsia="Times New Roman"/>
        </w:rPr>
      </w:pPr>
      <w:r>
        <w:t>乙方人员如需操作甲方业务数据，需经甲方批准，否则视为窥探商业机密；乙方人员接入甲方局域网后，不得访问与承包工作无关的其他信息系统，否则视为窥探商业秘密。</w:t>
      </w:r>
    </w:p>
    <w:p>
      <w:pPr>
        <w:pStyle w:val="36"/>
        <w:numPr>
          <w:ilvl w:val="0"/>
          <w:numId w:val="24"/>
        </w:numPr>
        <w:ind w:firstLineChars="0"/>
        <w:rPr>
          <w:rFonts w:eastAsia="Times New Roman"/>
        </w:rPr>
      </w:pPr>
      <w:r>
        <w:t>乙方人员的开发调试工作需在各系统的测试环境中进行，经甲方确认无误后方可部署到正式环境。</w:t>
      </w:r>
    </w:p>
    <w:p>
      <w:pPr>
        <w:pStyle w:val="21"/>
        <w:ind w:left="480" w:firstLine="0" w:firstLineChars="0"/>
        <w:rPr>
          <w:rFonts w:ascii="宋体" w:hAnsi="宋体" w:cs="宋体"/>
          <w:b/>
          <w:sz w:val="32"/>
          <w:szCs w:val="32"/>
        </w:rPr>
      </w:pPr>
      <w:r>
        <w:rPr>
          <w:rFonts w:hint="eastAsia" w:ascii="宋体" w:hAnsi="宋体" w:cs="宋体"/>
          <w:b/>
          <w:sz w:val="32"/>
          <w:szCs w:val="32"/>
        </w:rPr>
        <w:t>1</w:t>
      </w:r>
      <w:r>
        <w:rPr>
          <w:rFonts w:ascii="宋体" w:hAnsi="宋体" w:cs="宋体"/>
          <w:b/>
          <w:sz w:val="32"/>
          <w:szCs w:val="32"/>
        </w:rPr>
        <w:t>.14</w:t>
      </w:r>
      <w:r>
        <w:rPr>
          <w:rFonts w:hint="eastAsia" w:ascii="宋体" w:hAnsi="宋体" w:cs="宋体"/>
          <w:b/>
          <w:sz w:val="32"/>
          <w:szCs w:val="32"/>
        </w:rPr>
        <w:t>远程服务级别要求</w:t>
      </w:r>
    </w:p>
    <w:p>
      <w:pPr>
        <w:pStyle w:val="36"/>
        <w:tabs>
          <w:tab w:val="left" w:pos="1050"/>
        </w:tabs>
        <w:ind w:firstLine="482"/>
        <w:rPr>
          <w:b/>
        </w:rPr>
      </w:pPr>
      <w:r>
        <w:rPr>
          <w:rFonts w:hint="eastAsia"/>
          <w:b/>
        </w:rPr>
        <w:t>优先级：</w:t>
      </w:r>
    </w:p>
    <w:p>
      <w:pPr>
        <w:pStyle w:val="36"/>
        <w:tabs>
          <w:tab w:val="left" w:pos="1050"/>
        </w:tabs>
        <w:ind w:firstLine="480"/>
        <w:rPr>
          <w:color w:val="000000"/>
        </w:rPr>
      </w:pPr>
      <w:r>
        <w:rPr>
          <w:rFonts w:hint="eastAsia"/>
        </w:rPr>
        <w:t>当系统发生问题时，可以确定问题的优先级和支持服务中心的响应时间。在下列三种优先级中进行选择：紧急（系统</w:t>
      </w:r>
      <w:r>
        <w:rPr>
          <w:rFonts w:hint="eastAsia"/>
          <w:color w:val="000000"/>
        </w:rPr>
        <w:t>无法使用）、严重（系统严重故障）和系统一般故障，从而得到不同的响应速度。（响应及解决时间可根据项目级别情况进行调整）</w:t>
      </w:r>
    </w:p>
    <w:p>
      <w:pPr>
        <w:pStyle w:val="36"/>
        <w:tabs>
          <w:tab w:val="left" w:pos="1050"/>
        </w:tabs>
        <w:ind w:firstLine="480"/>
        <w:rPr>
          <w:color w:val="000000"/>
        </w:rPr>
      </w:pPr>
      <w:r>
        <w:rPr>
          <w:rFonts w:hint="eastAsia"/>
          <w:color w:val="000000"/>
        </w:rPr>
        <w:t>具体要求如下：</w:t>
      </w:r>
    </w:p>
    <w:tbl>
      <w:tblPr>
        <w:tblStyle w:val="17"/>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268"/>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9D9D9"/>
          </w:tcPr>
          <w:p>
            <w:pPr>
              <w:jc w:val="left"/>
              <w:rPr>
                <w:b/>
                <w:color w:val="000000"/>
                <w:sz w:val="24"/>
              </w:rPr>
            </w:pPr>
            <w:r>
              <w:rPr>
                <w:rFonts w:hint="eastAsia"/>
                <w:b/>
                <w:color w:val="000000"/>
                <w:sz w:val="24"/>
              </w:rPr>
              <w:t>要求</w:t>
            </w:r>
          </w:p>
        </w:tc>
        <w:tc>
          <w:tcPr>
            <w:tcW w:w="2268" w:type="dxa"/>
            <w:shd w:val="clear" w:color="auto" w:fill="D9D9D9"/>
          </w:tcPr>
          <w:p>
            <w:pPr>
              <w:jc w:val="left"/>
              <w:rPr>
                <w:b/>
                <w:color w:val="000000"/>
                <w:sz w:val="24"/>
              </w:rPr>
            </w:pPr>
            <w:r>
              <w:rPr>
                <w:rFonts w:hint="eastAsia"/>
                <w:b/>
                <w:color w:val="000000"/>
                <w:sz w:val="24"/>
              </w:rPr>
              <w:t>响应时间</w:t>
            </w:r>
          </w:p>
        </w:tc>
        <w:tc>
          <w:tcPr>
            <w:tcW w:w="4111" w:type="dxa"/>
            <w:shd w:val="clear" w:color="auto" w:fill="D9D9D9"/>
          </w:tcPr>
          <w:p>
            <w:pPr>
              <w:jc w:val="left"/>
              <w:rPr>
                <w:b/>
                <w:color w:val="000000"/>
                <w:sz w:val="24"/>
              </w:rPr>
            </w:pPr>
            <w:r>
              <w:rPr>
                <w:rFonts w:hint="eastAsia"/>
                <w:b/>
                <w:color w:val="000000"/>
                <w:sz w:val="24"/>
              </w:rPr>
              <w:t>解决时间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Pr>
          <w:p>
            <w:pPr>
              <w:jc w:val="left"/>
              <w:rPr>
                <w:color w:val="000000"/>
                <w:sz w:val="24"/>
              </w:rPr>
            </w:pPr>
            <w:r>
              <w:rPr>
                <w:rFonts w:hint="eastAsia"/>
                <w:color w:val="000000"/>
                <w:sz w:val="24"/>
              </w:rPr>
              <w:t>紧急</w:t>
            </w:r>
          </w:p>
        </w:tc>
        <w:tc>
          <w:tcPr>
            <w:tcW w:w="2268" w:type="dxa"/>
          </w:tcPr>
          <w:p>
            <w:pPr>
              <w:jc w:val="left"/>
              <w:rPr>
                <w:color w:val="000000"/>
                <w:sz w:val="24"/>
              </w:rPr>
            </w:pPr>
            <w:r>
              <w:rPr>
                <w:rFonts w:hint="eastAsia" w:ascii="宋体" w:hAnsi="宋体"/>
                <w:color w:val="000000"/>
                <w:sz w:val="24"/>
              </w:rPr>
              <w:t>立即（3分钟）</w:t>
            </w:r>
          </w:p>
        </w:tc>
        <w:tc>
          <w:tcPr>
            <w:tcW w:w="4111" w:type="dxa"/>
          </w:tcPr>
          <w:p>
            <w:pPr>
              <w:jc w:val="left"/>
              <w:rPr>
                <w:color w:val="000000"/>
                <w:sz w:val="24"/>
              </w:rPr>
            </w:pPr>
            <w:r>
              <w:rPr>
                <w:rFonts w:hint="eastAsia"/>
                <w:color w:val="000000"/>
                <w:sz w:val="24"/>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127" w:type="dxa"/>
          </w:tcPr>
          <w:p>
            <w:pPr>
              <w:jc w:val="left"/>
              <w:rPr>
                <w:color w:val="000000"/>
                <w:sz w:val="22"/>
              </w:rPr>
            </w:pPr>
            <w:r>
              <w:rPr>
                <w:rFonts w:hint="eastAsia"/>
                <w:color w:val="000000"/>
                <w:sz w:val="22"/>
              </w:rPr>
              <w:t>严重</w:t>
            </w:r>
          </w:p>
        </w:tc>
        <w:tc>
          <w:tcPr>
            <w:tcW w:w="2268" w:type="dxa"/>
          </w:tcPr>
          <w:p>
            <w:pPr>
              <w:jc w:val="left"/>
              <w:rPr>
                <w:color w:val="000000"/>
                <w:sz w:val="22"/>
              </w:rPr>
            </w:pPr>
            <w:r>
              <w:rPr>
                <w:rFonts w:hint="eastAsia"/>
                <w:color w:val="000000"/>
                <w:sz w:val="22"/>
              </w:rPr>
              <w:t>1小时内</w:t>
            </w:r>
          </w:p>
        </w:tc>
        <w:tc>
          <w:tcPr>
            <w:tcW w:w="4111" w:type="dxa"/>
          </w:tcPr>
          <w:p>
            <w:pPr>
              <w:jc w:val="left"/>
              <w:rPr>
                <w:color w:val="000000"/>
                <w:sz w:val="22"/>
              </w:rPr>
            </w:pPr>
            <w:r>
              <w:rPr>
                <w:rFonts w:hint="eastAsia"/>
                <w:bCs/>
                <w:color w:val="000000"/>
                <w:sz w:val="22"/>
              </w:rPr>
              <w:t>一个工作日内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127" w:type="dxa"/>
          </w:tcPr>
          <w:p>
            <w:pPr>
              <w:jc w:val="left"/>
              <w:rPr>
                <w:color w:val="000000"/>
                <w:sz w:val="22"/>
              </w:rPr>
            </w:pPr>
            <w:r>
              <w:rPr>
                <w:rFonts w:hint="eastAsia"/>
                <w:color w:val="000000"/>
                <w:sz w:val="22"/>
              </w:rPr>
              <w:t>系统一般故障</w:t>
            </w:r>
          </w:p>
        </w:tc>
        <w:tc>
          <w:tcPr>
            <w:tcW w:w="2268" w:type="dxa"/>
          </w:tcPr>
          <w:p>
            <w:pPr>
              <w:jc w:val="left"/>
              <w:rPr>
                <w:color w:val="000000"/>
                <w:sz w:val="22"/>
              </w:rPr>
            </w:pPr>
            <w:r>
              <w:rPr>
                <w:rFonts w:hint="eastAsia"/>
                <w:color w:val="000000"/>
                <w:sz w:val="22"/>
              </w:rPr>
              <w:t>2小时内</w:t>
            </w:r>
          </w:p>
        </w:tc>
        <w:tc>
          <w:tcPr>
            <w:tcW w:w="4111" w:type="dxa"/>
          </w:tcPr>
          <w:p>
            <w:pPr>
              <w:jc w:val="left"/>
              <w:rPr>
                <w:color w:val="000000"/>
                <w:sz w:val="22"/>
              </w:rPr>
            </w:pPr>
            <w:r>
              <w:rPr>
                <w:rFonts w:hint="eastAsia"/>
                <w:bCs/>
                <w:color w:val="000000"/>
                <w:sz w:val="22"/>
              </w:rPr>
              <w:t>3个工作日或预定时间内</w:t>
            </w:r>
          </w:p>
        </w:tc>
      </w:tr>
    </w:tbl>
    <w:p>
      <w:pPr>
        <w:pStyle w:val="36"/>
        <w:tabs>
          <w:tab w:val="left" w:pos="1050"/>
        </w:tabs>
        <w:ind w:firstLine="482"/>
        <w:rPr>
          <w:szCs w:val="24"/>
        </w:rPr>
      </w:pPr>
      <w:r>
        <w:rPr>
          <w:rFonts w:hint="eastAsia"/>
          <w:b/>
          <w:szCs w:val="24"/>
        </w:rPr>
        <w:t>可用率：</w:t>
      </w:r>
      <w:r>
        <w:rPr>
          <w:rFonts w:hint="eastAsia"/>
          <w:szCs w:val="24"/>
        </w:rPr>
        <w:t>在服务运行时间7*24内的系统可用率</w:t>
      </w:r>
    </w:p>
    <w:p>
      <w:pPr>
        <w:pStyle w:val="36"/>
        <w:tabs>
          <w:tab w:val="left" w:pos="1050"/>
        </w:tabs>
        <w:ind w:firstLine="482"/>
      </w:pPr>
      <w:r>
        <w:rPr>
          <w:rFonts w:hint="eastAsia"/>
          <w:b/>
        </w:rPr>
        <w:t>RPO（恢复点目标）</w:t>
      </w:r>
      <w:r>
        <w:rPr>
          <w:rFonts w:hint="eastAsia"/>
        </w:rPr>
        <w:t>：宕机事件发生后，系统恢复运行后，系统数据所能恢复到最近1天前的数据。</w:t>
      </w:r>
    </w:p>
    <w:p>
      <w:pPr>
        <w:pStyle w:val="36"/>
        <w:tabs>
          <w:tab w:val="left" w:pos="1050"/>
        </w:tabs>
        <w:ind w:firstLine="482"/>
        <w:rPr>
          <w:b/>
          <w:szCs w:val="24"/>
        </w:rPr>
      </w:pPr>
      <w:r>
        <w:rPr>
          <w:rFonts w:hint="eastAsia"/>
          <w:b/>
        </w:rPr>
        <w:t>RTO（恢复时间目标）</w:t>
      </w:r>
      <w:r>
        <w:rPr>
          <w:rFonts w:hint="eastAsia"/>
        </w:rPr>
        <w:t>：宕机事件发生后，系统2小时内能够恢复运行。</w:t>
      </w:r>
    </w:p>
    <w:p>
      <w:pPr>
        <w:pStyle w:val="36"/>
        <w:tabs>
          <w:tab w:val="left" w:pos="1050"/>
        </w:tabs>
        <w:ind w:firstLine="482"/>
        <w:rPr>
          <w:szCs w:val="24"/>
        </w:rPr>
      </w:pPr>
      <w:r>
        <w:rPr>
          <w:rFonts w:hint="eastAsia"/>
          <w:b/>
          <w:szCs w:val="24"/>
        </w:rPr>
        <w:t>问题解决率</w:t>
      </w:r>
      <w:r>
        <w:rPr>
          <w:rFonts w:hint="eastAsia"/>
          <w:szCs w:val="24"/>
        </w:rPr>
        <w:t>不能低于99.5%</w:t>
      </w:r>
    </w:p>
    <w:p>
      <w:pPr>
        <w:pStyle w:val="21"/>
        <w:ind w:left="480" w:firstLine="0" w:firstLineChars="0"/>
        <w:rPr>
          <w:rFonts w:ascii="宋体" w:hAnsi="宋体" w:cs="宋体"/>
          <w:b/>
          <w:sz w:val="32"/>
          <w:szCs w:val="32"/>
        </w:rPr>
      </w:pPr>
      <w:r>
        <w:rPr>
          <w:rFonts w:hint="eastAsia" w:ascii="宋体" w:hAnsi="宋体"/>
          <w:szCs w:val="24"/>
        </w:rPr>
        <w:t>运维技术满意度、工作态度满意度不低于95%。</w:t>
      </w:r>
    </w:p>
    <w:p>
      <w:pPr>
        <w:pStyle w:val="21"/>
        <w:ind w:firstLine="480"/>
      </w:pPr>
    </w:p>
    <w:p>
      <w:pPr>
        <w:pStyle w:val="21"/>
        <w:ind w:firstLine="0" w:firstLineChars="0"/>
        <w:rPr>
          <w:rFonts w:cs="宋体"/>
          <w:b/>
          <w:kern w:val="44"/>
          <w:sz w:val="44"/>
          <w:szCs w:val="44"/>
        </w:rPr>
      </w:pPr>
    </w:p>
    <w:p>
      <w:pPr>
        <w:pStyle w:val="21"/>
        <w:ind w:firstLine="0" w:firstLineChars="0"/>
        <w:rPr>
          <w:rFonts w:cs="宋体"/>
          <w:b/>
          <w:kern w:val="44"/>
          <w:sz w:val="44"/>
          <w:szCs w:val="44"/>
        </w:rPr>
      </w:pPr>
    </w:p>
    <w:p>
      <w:pPr>
        <w:pStyle w:val="8"/>
        <w:spacing w:before="3"/>
        <w:ind w:left="0"/>
        <w:rPr>
          <w:rFonts w:ascii="宋体" w:hAnsi="宋体" w:cs="宋体"/>
          <w:sz w:val="24"/>
          <w:szCs w:val="24"/>
        </w:rPr>
      </w:pPr>
    </w:p>
    <w:p>
      <w:pPr>
        <w:rPr>
          <w:rFonts w:eastAsia="黑体"/>
          <w:b/>
          <w:sz w:val="28"/>
          <w:szCs w:val="22"/>
        </w:rPr>
      </w:pPr>
      <w:r>
        <w:rPr>
          <w:rFonts w:hint="eastAsia" w:ascii="Calibri" w:hAnsi="Calibri" w:eastAsia="黑体" w:cs="黑体"/>
          <w:b/>
          <w:sz w:val="28"/>
          <w:szCs w:val="22"/>
          <w:lang w:bidi="ar"/>
        </w:rPr>
        <w:t>附件</w:t>
      </w:r>
      <w:r>
        <w:rPr>
          <w:rFonts w:ascii="Calibri" w:hAnsi="Calibri" w:eastAsia="黑体" w:cs="Times New Roman"/>
          <w:b/>
          <w:sz w:val="28"/>
          <w:szCs w:val="22"/>
          <w:lang w:bidi="ar"/>
        </w:rPr>
        <w:t>1</w:t>
      </w:r>
    </w:p>
    <w:p>
      <w:pPr>
        <w:jc w:val="center"/>
        <w:rPr>
          <w:rFonts w:eastAsia="黑体"/>
          <w:b/>
          <w:sz w:val="28"/>
          <w:szCs w:val="22"/>
        </w:rPr>
      </w:pPr>
      <w:bookmarkStart w:id="104" w:name="_Toc290401063"/>
      <w:bookmarkStart w:id="105" w:name="_Toc533251966"/>
      <w:bookmarkStart w:id="106" w:name="_Toc278876641"/>
      <w:bookmarkStart w:id="107" w:name="_Toc283368335"/>
      <w:r>
        <w:rPr>
          <w:rFonts w:hint="eastAsia" w:ascii="Calibri" w:hAnsi="Calibri" w:eastAsia="黑体" w:cs="黑体"/>
          <w:b/>
          <w:sz w:val="28"/>
          <w:szCs w:val="22"/>
          <w:lang w:bidi="ar"/>
        </w:rPr>
        <w:t>投标函</w:t>
      </w:r>
      <w:bookmarkEnd w:id="104"/>
      <w:bookmarkEnd w:id="105"/>
      <w:bookmarkEnd w:id="106"/>
      <w:bookmarkEnd w:id="107"/>
    </w:p>
    <w:p>
      <w:pPr>
        <w:tabs>
          <w:tab w:val="left" w:pos="720"/>
        </w:tabs>
        <w:spacing w:line="360" w:lineRule="auto"/>
        <w:ind w:right="3"/>
        <w:rPr>
          <w:rFonts w:ascii="宋体" w:hAnsi="宋体" w:eastAsia="宋体" w:cs="宋体"/>
          <w:sz w:val="24"/>
          <w:szCs w:val="22"/>
        </w:rPr>
      </w:pPr>
      <w:r>
        <w:rPr>
          <w:rFonts w:hint="eastAsia" w:ascii="宋体" w:hAnsi="宋体" w:eastAsia="宋体" w:cs="宋体"/>
          <w:sz w:val="24"/>
          <w:szCs w:val="22"/>
          <w:lang w:bidi="ar"/>
        </w:rPr>
        <w:t xml:space="preserve">致：中国重汽集团济南动力有限公司              </w:t>
      </w:r>
    </w:p>
    <w:p>
      <w:pPr>
        <w:spacing w:before="156" w:beforeLines="50" w:line="360" w:lineRule="auto"/>
        <w:rPr>
          <w:rFonts w:ascii="宋体" w:hAnsi="宋体" w:eastAsia="宋体" w:cs="宋体"/>
          <w:sz w:val="24"/>
          <w:szCs w:val="22"/>
        </w:rPr>
      </w:pPr>
      <w:r>
        <w:rPr>
          <w:rFonts w:hint="eastAsia" w:ascii="宋体" w:hAnsi="宋体" w:eastAsia="宋体" w:cs="宋体"/>
          <w:sz w:val="24"/>
          <w:szCs w:val="22"/>
          <w:lang w:bidi="ar"/>
        </w:rPr>
        <w:t>根据贵司的招标函，本人代表投标人_____________（投标人名称）提交下述投标文件。</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本人宣布同意如下：</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1、所附《开标一览表》规定的</w:t>
      </w:r>
      <w:r>
        <w:rPr>
          <w:rFonts w:hint="eastAsia" w:ascii="宋体" w:hAnsi="宋体" w:eastAsia="宋体" w:cs="宋体"/>
          <w:sz w:val="24"/>
          <w:szCs w:val="22"/>
          <w:u w:val="single"/>
          <w:lang w:bidi="ar"/>
        </w:rPr>
        <w:t xml:space="preserve">            项目</w:t>
      </w:r>
      <w:r>
        <w:rPr>
          <w:rFonts w:hint="eastAsia" w:ascii="宋体" w:hAnsi="宋体" w:eastAsia="宋体" w:cs="宋体"/>
          <w:sz w:val="24"/>
          <w:szCs w:val="22"/>
          <w:lang w:bidi="ar"/>
        </w:rPr>
        <w:t>投标总价为：________________（人民币），____________________（大写）。</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2、我方郑重承诺：投标人将全部满足招标文件中的各项实质性要求，如果发现投标文件中另有与招标文件中不一致的响应或没有响应，投标人同意招标人有权要求投标人按照招标文件的要求提供服务。投标人并同意按照招标文件的规定履行合同责任和义务。</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3、我方已详细审查全部招标文件，包括修改文件（如有的话）以及全部参考资料和有关附件。我们完全理解并同意放弃对这方面有不明及误解的权利。</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4、我方的投标自投标截止之日起有效期为</w:t>
      </w:r>
      <w:r>
        <w:rPr>
          <w:rFonts w:ascii="宋体" w:hAnsi="宋体" w:eastAsia="宋体" w:cs="宋体"/>
          <w:sz w:val="24"/>
          <w:szCs w:val="22"/>
          <w:lang w:bidi="ar"/>
        </w:rPr>
        <w:t>3</w:t>
      </w:r>
      <w:r>
        <w:rPr>
          <w:rFonts w:hint="eastAsia" w:ascii="宋体" w:hAnsi="宋体" w:eastAsia="宋体" w:cs="宋体"/>
          <w:sz w:val="24"/>
          <w:szCs w:val="22"/>
          <w:lang w:bidi="ar"/>
        </w:rPr>
        <w:t>0天。</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5、我方同意提供按照贵方可能要求的与我方投标有关的一切数据或资料，理解贵方不一定要接受最低价的投标或收到的任何投标。</w:t>
      </w:r>
    </w:p>
    <w:p>
      <w:pPr>
        <w:spacing w:before="156" w:beforeLines="50"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6、与本投标有关的一切正式往来通讯请寄：</w:t>
      </w:r>
    </w:p>
    <w:p>
      <w:pPr>
        <w:tabs>
          <w:tab w:val="left" w:pos="720"/>
        </w:tabs>
        <w:spacing w:line="360" w:lineRule="auto"/>
        <w:ind w:right="3" w:firstLine="2640" w:firstLineChars="1100"/>
        <w:rPr>
          <w:rFonts w:ascii="宋体" w:hAnsi="宋体" w:eastAsia="宋体" w:cs="宋体"/>
          <w:sz w:val="24"/>
          <w:szCs w:val="22"/>
        </w:rPr>
      </w:pPr>
      <w:r>
        <w:rPr>
          <w:rFonts w:hint="eastAsia" w:ascii="宋体" w:hAnsi="宋体" w:eastAsia="宋体" w:cs="宋体"/>
          <w:sz w:val="24"/>
          <w:szCs w:val="22"/>
          <w:lang w:bidi="ar"/>
        </w:rPr>
        <w:t xml:space="preserve"> 投    标    人：          （公章）       </w:t>
      </w:r>
    </w:p>
    <w:p>
      <w:pPr>
        <w:spacing w:line="360" w:lineRule="auto"/>
        <w:ind w:right="-687" w:rightChars="-327" w:firstLine="2760" w:firstLineChars="1150"/>
        <w:rPr>
          <w:rFonts w:ascii="宋体" w:hAnsi="宋体" w:eastAsia="宋体" w:cs="宋体"/>
          <w:sz w:val="24"/>
          <w:szCs w:val="22"/>
        </w:rPr>
      </w:pPr>
      <w:r>
        <w:rPr>
          <w:rFonts w:hint="eastAsia" w:ascii="宋体" w:hAnsi="宋体" w:eastAsia="宋体" w:cs="宋体"/>
          <w:sz w:val="24"/>
          <w:szCs w:val="22"/>
          <w:lang w:bidi="ar"/>
        </w:rPr>
        <w:t xml:space="preserve">法定代表人或授权委托人： （签字或盖章） </w:t>
      </w:r>
    </w:p>
    <w:p>
      <w:pPr>
        <w:spacing w:line="360" w:lineRule="auto"/>
        <w:ind w:right="-687" w:rightChars="-327" w:firstLine="2760" w:firstLineChars="1150"/>
        <w:rPr>
          <w:rFonts w:ascii="宋体" w:hAnsi="宋体" w:eastAsia="宋体" w:cs="宋体"/>
          <w:sz w:val="24"/>
          <w:szCs w:val="22"/>
        </w:rPr>
      </w:pPr>
      <w:r>
        <w:rPr>
          <w:rFonts w:hint="eastAsia" w:ascii="宋体" w:hAnsi="宋体" w:eastAsia="宋体" w:cs="宋体"/>
          <w:sz w:val="24"/>
          <w:szCs w:val="22"/>
          <w:lang w:bidi="ar"/>
        </w:rPr>
        <w:t>日       期：         年      月      日</w:t>
      </w:r>
    </w:p>
    <w:p>
      <w:pPr>
        <w:rPr>
          <w:rFonts w:eastAsia="黑体"/>
        </w:rPr>
      </w:pPr>
      <w:r>
        <w:rPr>
          <w:rFonts w:ascii="Calibri" w:hAnsi="Calibri" w:eastAsia="宋体" w:cs="Times New Roman"/>
          <w:szCs w:val="22"/>
          <w:lang w:bidi="ar"/>
        </w:rPr>
        <w:br w:type="page"/>
      </w:r>
      <w:r>
        <w:rPr>
          <w:rFonts w:hint="eastAsia" w:ascii="Calibri" w:hAnsi="Calibri" w:eastAsia="黑体" w:cs="黑体"/>
          <w:b/>
          <w:sz w:val="28"/>
          <w:szCs w:val="22"/>
          <w:lang w:bidi="ar"/>
        </w:rPr>
        <w:t>附件</w:t>
      </w:r>
      <w:r>
        <w:rPr>
          <w:rFonts w:ascii="Calibri" w:hAnsi="Calibri" w:eastAsia="黑体" w:cs="Times New Roman"/>
          <w:b/>
          <w:sz w:val="28"/>
          <w:szCs w:val="22"/>
          <w:lang w:bidi="ar"/>
        </w:rPr>
        <w:t>2</w:t>
      </w:r>
    </w:p>
    <w:p>
      <w:pPr>
        <w:jc w:val="center"/>
        <w:rPr>
          <w:rFonts w:ascii="黑体" w:hAnsi="宋体" w:eastAsia="黑体" w:cs="黑体"/>
          <w:b/>
          <w:sz w:val="28"/>
          <w:szCs w:val="28"/>
        </w:rPr>
      </w:pPr>
      <w:r>
        <w:rPr>
          <w:rFonts w:hint="eastAsia" w:ascii="黑体" w:hAnsi="宋体" w:eastAsia="黑体" w:cs="黑体"/>
          <w:b/>
          <w:sz w:val="28"/>
          <w:szCs w:val="28"/>
          <w:lang w:bidi="ar"/>
        </w:rPr>
        <w:t>法定代表人授权委托书</w:t>
      </w:r>
    </w:p>
    <w:p>
      <w:pPr>
        <w:spacing w:line="360" w:lineRule="auto"/>
        <w:jc w:val="left"/>
        <w:rPr>
          <w:rFonts w:ascii="宋体" w:hAnsi="宋体" w:eastAsia="宋体" w:cs="宋体"/>
          <w:sz w:val="24"/>
          <w:szCs w:val="22"/>
        </w:rPr>
      </w:pPr>
      <w:r>
        <w:rPr>
          <w:rFonts w:hint="eastAsia" w:ascii="宋体" w:hAnsi="宋体" w:eastAsia="宋体" w:cs="宋体"/>
          <w:sz w:val="24"/>
          <w:szCs w:val="22"/>
          <w:lang w:bidi="ar"/>
        </w:rPr>
        <w:t>中国重汽集团济南动力有限公司：</w:t>
      </w:r>
    </w:p>
    <w:p>
      <w:pPr>
        <w:spacing w:line="360" w:lineRule="auto"/>
        <w:ind w:firstLine="480" w:firstLineChars="200"/>
        <w:rPr>
          <w:rFonts w:ascii="宋体" w:hAnsi="宋体" w:eastAsia="宋体" w:cs="宋体"/>
          <w:sz w:val="24"/>
          <w:szCs w:val="22"/>
          <w:u w:val="single"/>
        </w:rPr>
      </w:pPr>
      <w:r>
        <w:rPr>
          <w:rFonts w:hint="eastAsia" w:ascii="宋体" w:hAnsi="宋体" w:eastAsia="宋体" w:cs="宋体"/>
          <w:sz w:val="24"/>
          <w:szCs w:val="22"/>
          <w:lang w:bidi="ar"/>
        </w:rPr>
        <w:t>我公司法定代表人授权委托为其代理人，参加贵公司于</w:t>
      </w:r>
    </w:p>
    <w:p>
      <w:pPr>
        <w:spacing w:line="360" w:lineRule="auto"/>
        <w:ind w:firstLine="720" w:firstLineChars="300"/>
        <w:rPr>
          <w:rFonts w:ascii="宋体" w:hAnsi="宋体" w:eastAsia="宋体" w:cs="宋体"/>
          <w:sz w:val="24"/>
          <w:szCs w:val="22"/>
        </w:rPr>
      </w:pPr>
      <w:r>
        <w:rPr>
          <w:rFonts w:hint="eastAsia" w:ascii="宋体" w:hAnsi="宋体" w:eastAsia="宋体" w:cs="宋体"/>
          <w:sz w:val="24"/>
          <w:szCs w:val="22"/>
          <w:lang w:bidi="ar"/>
        </w:rPr>
        <w:t>年    月     日组织的项目采购活动，并全权代表我公司处理活动中的一切事宜。</w:t>
      </w:r>
    </w:p>
    <w:p>
      <w:pPr>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lang w:bidi="ar"/>
        </w:rPr>
        <w:t>本授权书自年月日签字生效，特此声明。</w:t>
      </w:r>
    </w:p>
    <w:p>
      <w:pPr>
        <w:spacing w:line="360" w:lineRule="auto"/>
        <w:jc w:val="left"/>
        <w:rPr>
          <w:rFonts w:ascii="宋体" w:hAnsi="宋体" w:eastAsia="宋体" w:cs="宋体"/>
          <w:sz w:val="24"/>
          <w:szCs w:val="22"/>
        </w:rPr>
      </w:pPr>
      <w:r>
        <w:rPr>
          <w:rFonts w:hint="eastAsia" w:ascii="宋体" w:hAnsi="宋体" w:eastAsia="宋体" w:cs="宋体"/>
          <w:sz w:val="24"/>
          <w:szCs w:val="22"/>
          <w:lang w:bidi="ar"/>
        </w:rPr>
        <w:t>竞标人名称（加盖公章）： 日    期：</w:t>
      </w:r>
    </w:p>
    <w:p>
      <w:pPr>
        <w:spacing w:line="360" w:lineRule="auto"/>
        <w:jc w:val="left"/>
        <w:rPr>
          <w:rFonts w:ascii="宋体" w:hAnsi="宋体" w:eastAsia="宋体" w:cs="宋体"/>
          <w:sz w:val="24"/>
          <w:szCs w:val="22"/>
        </w:rPr>
      </w:pPr>
      <w:r>
        <w:rPr>
          <w:rFonts w:hint="eastAsia" w:ascii="宋体" w:hAnsi="宋体" w:eastAsia="宋体" w:cs="宋体"/>
          <w:sz w:val="24"/>
          <w:szCs w:val="22"/>
          <w:lang w:bidi="ar"/>
        </w:rPr>
        <w:t>法定代表人（签字或印章）： 身份证号：</w:t>
      </w:r>
    </w:p>
    <w:p>
      <w:pPr>
        <w:spacing w:line="360" w:lineRule="auto"/>
        <w:ind w:firstLine="480" w:firstLineChars="200"/>
        <w:jc w:val="left"/>
        <w:rPr>
          <w:rFonts w:ascii="宋体" w:hAnsi="宋体" w:eastAsia="宋体" w:cs="宋体"/>
          <w:sz w:val="24"/>
          <w:szCs w:val="22"/>
        </w:rPr>
      </w:pPr>
    </w:p>
    <w:p>
      <w:pPr>
        <w:spacing w:line="360" w:lineRule="auto"/>
        <w:ind w:firstLine="482" w:firstLineChars="200"/>
        <w:jc w:val="left"/>
        <w:rPr>
          <w:rFonts w:ascii="宋体" w:hAnsi="宋体" w:eastAsia="宋体" w:cs="宋体"/>
          <w:sz w:val="24"/>
          <w:szCs w:val="22"/>
        </w:rPr>
      </w:pPr>
      <w:r>
        <w:rPr>
          <w:rFonts w:hint="eastAsia" w:ascii="宋体" w:hAnsi="宋体" w:eastAsia="宋体" w:cs="宋体"/>
          <w:b/>
          <w:sz w:val="24"/>
          <w:szCs w:val="22"/>
          <w:lang w:bidi="ar"/>
        </w:rPr>
        <w:t>附</w:t>
      </w:r>
      <w:r>
        <w:rPr>
          <w:rFonts w:hint="eastAsia" w:ascii="宋体" w:hAnsi="宋体" w:eastAsia="宋体" w:cs="宋体"/>
          <w:sz w:val="24"/>
          <w:szCs w:val="22"/>
          <w:lang w:bidi="ar"/>
        </w:rPr>
        <w:t xml:space="preserve">  授权代理人情况（附加盖竞标人公章的代理人身份证复印件）：</w:t>
      </w:r>
    </w:p>
    <w:p>
      <w:pPr>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lang w:bidi="ar"/>
        </w:rPr>
        <w:t xml:space="preserve">    姓名：    性别：</w:t>
      </w:r>
    </w:p>
    <w:p>
      <w:pPr>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lang w:bidi="ar"/>
        </w:rPr>
        <w:t xml:space="preserve">    年龄：    职务：</w:t>
      </w:r>
    </w:p>
    <w:p>
      <w:pPr>
        <w:spacing w:line="360" w:lineRule="auto"/>
        <w:ind w:firstLine="480" w:firstLineChars="200"/>
        <w:jc w:val="left"/>
        <w:rPr>
          <w:rFonts w:ascii="宋体" w:hAnsi="宋体" w:eastAsia="宋体" w:cs="宋体"/>
          <w:sz w:val="24"/>
          <w:szCs w:val="22"/>
        </w:rPr>
      </w:pPr>
      <w:r>
        <w:rPr>
          <w:rFonts w:hint="eastAsia" w:ascii="宋体" w:hAnsi="宋体" w:eastAsia="宋体" w:cs="宋体"/>
          <w:sz w:val="24"/>
          <w:szCs w:val="22"/>
          <w:lang w:bidi="ar"/>
        </w:rPr>
        <w:t xml:space="preserve">    联系电话：    手机：</w:t>
      </w:r>
    </w:p>
    <w:p>
      <w:pPr>
        <w:spacing w:line="360" w:lineRule="auto"/>
        <w:ind w:firstLine="480" w:firstLineChars="200"/>
        <w:jc w:val="left"/>
        <w:rPr>
          <w:rFonts w:ascii="宋体" w:hAnsi="宋体" w:eastAsia="宋体" w:cs="宋体"/>
          <w:sz w:val="24"/>
          <w:szCs w:val="22"/>
          <w:u w:val="single"/>
        </w:rPr>
      </w:pPr>
      <w:r>
        <w:rPr>
          <w:rFonts w:hint="eastAsia" w:ascii="宋体" w:hAnsi="宋体" w:eastAsia="宋体" w:cs="宋体"/>
          <w:sz w:val="24"/>
          <w:szCs w:val="22"/>
          <w:lang w:bidi="ar"/>
        </w:rPr>
        <w:t xml:space="preserve">    详细通信地址：</w:t>
      </w:r>
    </w:p>
    <w:p>
      <w:pPr>
        <w:spacing w:line="360" w:lineRule="auto"/>
        <w:ind w:firstLine="480" w:firstLineChars="200"/>
        <w:jc w:val="left"/>
        <w:rPr>
          <w:rFonts w:ascii="宋体" w:hAnsi="宋体" w:eastAsia="宋体" w:cs="宋体"/>
          <w:sz w:val="24"/>
          <w:szCs w:val="22"/>
        </w:rPr>
      </w:pPr>
    </w:p>
    <w:p>
      <w:pPr>
        <w:spacing w:line="360" w:lineRule="auto"/>
        <w:jc w:val="left"/>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r>
        <w:rPr>
          <w:rFonts w:hint="eastAsia" w:ascii="宋体" w:hAnsi="宋体" w:eastAsia="宋体" w:cs="宋体"/>
          <w:sz w:val="24"/>
          <w:szCs w:val="22"/>
          <w:lang w:bidi="ar"/>
        </w:rPr>
        <w:t>说明：</w:t>
      </w:r>
    </w:p>
    <w:p>
      <w:pPr>
        <w:spacing w:line="360" w:lineRule="auto"/>
        <w:rPr>
          <w:rFonts w:ascii="宋体" w:hAnsi="宋体" w:eastAsia="宋体" w:cs="宋体"/>
          <w:sz w:val="24"/>
          <w:szCs w:val="22"/>
        </w:rPr>
      </w:pPr>
      <w:r>
        <w:rPr>
          <w:rFonts w:hint="eastAsia" w:ascii="宋体" w:hAnsi="宋体" w:eastAsia="宋体" w:cs="宋体"/>
          <w:sz w:val="24"/>
          <w:szCs w:val="22"/>
          <w:lang w:bidi="ar"/>
        </w:rPr>
        <w:t>1、如法定代表人参加竞标的，竞标文件中不需提供法定代表人授权委托书，但必须提供法定代表人身份证复印件。</w:t>
      </w:r>
    </w:p>
    <w:p>
      <w:pPr>
        <w:spacing w:line="360" w:lineRule="auto"/>
        <w:rPr>
          <w:rFonts w:ascii="宋体" w:hAnsi="宋体" w:eastAsia="宋体" w:cs="宋体"/>
          <w:sz w:val="24"/>
          <w:szCs w:val="22"/>
        </w:rPr>
      </w:pPr>
      <w:r>
        <w:rPr>
          <w:rFonts w:hint="eastAsia" w:ascii="宋体" w:hAnsi="宋体" w:eastAsia="宋体" w:cs="宋体"/>
          <w:sz w:val="24"/>
          <w:szCs w:val="22"/>
          <w:lang w:bidi="ar"/>
        </w:rPr>
        <w:t>2、如委托代理人参加竞标的，竞标文件中必须提供法定代表人授权委托书和委托代理人的身份证复印件。</w:t>
      </w:r>
    </w:p>
    <w:p>
      <w:pPr>
        <w:rPr>
          <w:rFonts w:eastAsia="黑体"/>
          <w:b/>
          <w:sz w:val="28"/>
          <w:szCs w:val="22"/>
        </w:rPr>
      </w:pPr>
      <w:r>
        <w:rPr>
          <w:rFonts w:ascii="Calibri" w:hAnsi="Calibri" w:eastAsia="宋体" w:cs="Times New Roman"/>
          <w:szCs w:val="22"/>
          <w:lang w:bidi="ar"/>
        </w:rPr>
        <w:br w:type="page"/>
      </w:r>
      <w:bookmarkStart w:id="108" w:name="_Toc386297882"/>
      <w:r>
        <w:rPr>
          <w:rFonts w:hint="eastAsia" w:ascii="Calibri" w:hAnsi="Calibri" w:eastAsia="黑体" w:cs="黑体"/>
          <w:b/>
          <w:sz w:val="28"/>
          <w:szCs w:val="22"/>
          <w:lang w:bidi="ar"/>
        </w:rPr>
        <w:t>附件</w:t>
      </w:r>
      <w:r>
        <w:rPr>
          <w:rFonts w:ascii="Calibri" w:hAnsi="Calibri" w:eastAsia="黑体" w:cs="Times New Roman"/>
          <w:b/>
          <w:sz w:val="28"/>
          <w:szCs w:val="22"/>
          <w:lang w:bidi="ar"/>
        </w:rPr>
        <w:t>3</w:t>
      </w:r>
    </w:p>
    <w:p>
      <w:pPr>
        <w:jc w:val="center"/>
        <w:rPr>
          <w:sz w:val="32"/>
          <w:szCs w:val="22"/>
        </w:rPr>
      </w:pPr>
      <w:r>
        <w:rPr>
          <w:rFonts w:hint="eastAsia" w:ascii="Calibri" w:hAnsi="Calibri" w:eastAsia="黑体" w:cs="黑体"/>
          <w:b/>
          <w:sz w:val="28"/>
          <w:szCs w:val="22"/>
          <w:lang w:bidi="ar"/>
        </w:rPr>
        <w:t>竞标人资格证明文件</w:t>
      </w:r>
      <w:bookmarkEnd w:id="108"/>
    </w:p>
    <w:p>
      <w:pPr>
        <w:spacing w:line="360" w:lineRule="auto"/>
        <w:rPr>
          <w:rFonts w:ascii="宋体" w:hAnsi="宋体" w:eastAsia="宋体" w:cs="宋体"/>
          <w:sz w:val="24"/>
          <w:szCs w:val="22"/>
        </w:rPr>
      </w:pPr>
      <w:r>
        <w:rPr>
          <w:rFonts w:hint="eastAsia" w:ascii="宋体" w:hAnsi="宋体" w:eastAsia="宋体" w:cs="宋体"/>
          <w:sz w:val="24"/>
          <w:szCs w:val="22"/>
          <w:lang w:bidi="ar"/>
        </w:rPr>
        <w:t>中国重汽集团济南动力有限公司：</w:t>
      </w:r>
    </w:p>
    <w:p>
      <w:pPr>
        <w:spacing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贵公司组织的 项目谈判采购活动，我公司愿意参加，并证明提交的下列文件、证明和陈述均是准确的、真实的。若与真实情况不符，我公司愿意承担由此而产生的一切后果。</w:t>
      </w:r>
    </w:p>
    <w:p>
      <w:pPr>
        <w:numPr>
          <w:ilvl w:val="0"/>
          <w:numId w:val="25"/>
        </w:numPr>
        <w:spacing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工商营业执照副本复印件（加盖公章）。</w:t>
      </w:r>
    </w:p>
    <w:p>
      <w:pPr>
        <w:numPr>
          <w:ilvl w:val="0"/>
          <w:numId w:val="25"/>
        </w:numPr>
        <w:spacing w:line="360" w:lineRule="auto"/>
        <w:ind w:firstLine="480" w:firstLineChars="200"/>
        <w:rPr>
          <w:rFonts w:ascii="宋体" w:hAnsi="宋体" w:eastAsia="宋体" w:cs="宋体"/>
          <w:sz w:val="24"/>
          <w:szCs w:val="22"/>
        </w:rPr>
      </w:pPr>
      <w:r>
        <w:rPr>
          <w:rFonts w:hint="eastAsia" w:ascii="宋体" w:hAnsi="宋体" w:eastAsia="宋体" w:cs="宋体"/>
          <w:sz w:val="24"/>
          <w:szCs w:val="22"/>
          <w:lang w:bidi="ar"/>
        </w:rPr>
        <w:t>竞标人认为有必要提供的其他证明文件（加盖公章）。</w:t>
      </w:r>
    </w:p>
    <w:p>
      <w:pPr>
        <w:numPr>
          <w:ilvl w:val="0"/>
          <w:numId w:val="25"/>
        </w:numPr>
        <w:spacing w:line="360" w:lineRule="auto"/>
        <w:ind w:firstLine="480" w:firstLineChars="200"/>
        <w:rPr>
          <w:rFonts w:ascii="宋体" w:hAnsi="宋体" w:eastAsia="宋体" w:cs="宋体"/>
          <w:sz w:val="24"/>
          <w:szCs w:val="22"/>
        </w:rPr>
      </w:pPr>
      <w:r>
        <w:rPr>
          <w:rFonts w:hint="eastAsia" w:ascii="宋体" w:hAnsi="宋体" w:eastAsia="宋体" w:cs="宋体"/>
          <w:sz w:val="24"/>
          <w:szCs w:val="22"/>
        </w:rPr>
        <w:t>……</w:t>
      </w:r>
    </w:p>
    <w:p>
      <w:pPr>
        <w:spacing w:line="360" w:lineRule="auto"/>
        <w:rPr>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rFonts w:ascii="宋体" w:hAnsi="宋体" w:eastAsia="宋体" w:cs="宋体"/>
          <w:sz w:val="24"/>
          <w:szCs w:val="22"/>
        </w:rPr>
      </w:pPr>
    </w:p>
    <w:p>
      <w:pPr>
        <w:spacing w:line="360" w:lineRule="auto"/>
        <w:rPr>
          <w:sz w:val="24"/>
          <w:szCs w:val="22"/>
        </w:rPr>
      </w:pPr>
    </w:p>
    <w:p>
      <w:pPr>
        <w:spacing w:line="360" w:lineRule="auto"/>
        <w:rPr>
          <w:sz w:val="24"/>
          <w:szCs w:val="22"/>
        </w:rPr>
      </w:pPr>
    </w:p>
    <w:p>
      <w:pPr>
        <w:spacing w:line="360" w:lineRule="auto"/>
        <w:rPr>
          <w:rFonts w:ascii="Calibri" w:hAnsi="Calibri" w:eastAsia="宋体" w:cs="宋体"/>
          <w:sz w:val="24"/>
          <w:lang w:bidi="ar"/>
        </w:rPr>
      </w:pPr>
    </w:p>
    <w:p>
      <w:pPr>
        <w:spacing w:line="360" w:lineRule="auto"/>
        <w:rPr>
          <w:sz w:val="24"/>
        </w:rPr>
      </w:pPr>
      <w:r>
        <w:rPr>
          <w:rFonts w:hint="eastAsia" w:ascii="Calibri" w:hAnsi="Calibri" w:eastAsia="宋体" w:cs="宋体"/>
          <w:sz w:val="24"/>
          <w:lang w:bidi="ar"/>
        </w:rPr>
        <w:t>竞标人名称：（加盖公章）</w:t>
      </w:r>
    </w:p>
    <w:p>
      <w:pPr>
        <w:spacing w:line="360" w:lineRule="auto"/>
        <w:rPr>
          <w:sz w:val="24"/>
        </w:rPr>
      </w:pPr>
      <w:r>
        <w:rPr>
          <w:rFonts w:ascii="Calibri" w:hAnsi="Calibri" w:eastAsia="宋体" w:cs="Times New Roman"/>
          <w:sz w:val="24"/>
          <w:lang w:bidi="ar"/>
        </w:rPr>
        <w:t xml:space="preserve"> </w:t>
      </w:r>
      <w:r>
        <w:rPr>
          <w:rFonts w:hint="eastAsia" w:ascii="Calibri" w:hAnsi="Calibri" w:eastAsia="宋体" w:cs="宋体"/>
          <w:sz w:val="24"/>
          <w:lang w:bidi="ar"/>
        </w:rPr>
        <w:t>法定代表人或其代理人：</w:t>
      </w:r>
      <w:r>
        <w:rPr>
          <w:rFonts w:ascii="Calibri" w:hAnsi="Calibri" w:eastAsia="宋体" w:cs="Times New Roman"/>
          <w:sz w:val="24"/>
          <w:lang w:bidi="ar"/>
        </w:rPr>
        <w:t xml:space="preserve">                       </w:t>
      </w:r>
      <w:r>
        <w:rPr>
          <w:rFonts w:hint="eastAsia" w:ascii="Calibri" w:hAnsi="Calibri" w:eastAsia="宋体" w:cs="宋体"/>
          <w:sz w:val="24"/>
          <w:lang w:bidi="ar"/>
        </w:rPr>
        <w:t>（签</w:t>
      </w:r>
      <w:r>
        <w:rPr>
          <w:rFonts w:ascii="Calibri" w:hAnsi="Calibri" w:eastAsia="宋体" w:cs="Times New Roman"/>
          <w:sz w:val="24"/>
          <w:lang w:bidi="ar"/>
        </w:rPr>
        <w:t xml:space="preserve">    </w:t>
      </w:r>
      <w:r>
        <w:rPr>
          <w:rFonts w:hint="eastAsia" w:ascii="Calibri" w:hAnsi="Calibri" w:eastAsia="宋体" w:cs="宋体"/>
          <w:sz w:val="24"/>
          <w:lang w:bidi="ar"/>
        </w:rPr>
        <w:t>字）</w:t>
      </w:r>
      <w:r>
        <w:rPr>
          <w:rFonts w:ascii="Calibri" w:hAnsi="Calibri" w:eastAsia="宋体" w:cs="Times New Roman"/>
          <w:sz w:val="24"/>
          <w:lang w:bidi="ar"/>
        </w:rPr>
        <w:t xml:space="preserve">     </w:t>
      </w:r>
    </w:p>
    <w:p>
      <w:pPr>
        <w:spacing w:line="360" w:lineRule="auto"/>
        <w:rPr>
          <w:rFonts w:ascii="黑体" w:hAnsi="Calibri" w:eastAsia="黑体" w:cs="黑体"/>
          <w:sz w:val="30"/>
          <w:szCs w:val="22"/>
        </w:rPr>
      </w:pPr>
    </w:p>
    <w:p>
      <w:pPr>
        <w:widowControl/>
        <w:jc w:val="left"/>
        <w:rPr>
          <w:rFonts w:eastAsia="黑体"/>
          <w:b/>
          <w:sz w:val="28"/>
          <w:szCs w:val="22"/>
        </w:rPr>
      </w:pPr>
      <w:r>
        <w:rPr>
          <w:rFonts w:hint="eastAsia" w:ascii="宋体" w:hAnsi="宋体" w:eastAsia="宋体" w:cs="Times New Roman"/>
          <w:sz w:val="24"/>
          <w:szCs w:val="22"/>
          <w:lang w:bidi="ar"/>
        </w:rPr>
        <w:br w:type="page"/>
      </w:r>
      <w:r>
        <w:rPr>
          <w:rFonts w:hint="eastAsia" w:ascii="Calibri" w:hAnsi="Calibri" w:eastAsia="黑体" w:cs="黑体"/>
          <w:b/>
          <w:sz w:val="28"/>
          <w:szCs w:val="22"/>
          <w:lang w:bidi="ar"/>
        </w:rPr>
        <w:t>附件</w:t>
      </w:r>
      <w:r>
        <w:rPr>
          <w:rFonts w:ascii="Calibri" w:hAnsi="Calibri" w:eastAsia="黑体" w:cs="Times New Roman"/>
          <w:b/>
          <w:sz w:val="28"/>
          <w:szCs w:val="22"/>
          <w:lang w:bidi="ar"/>
        </w:rPr>
        <w:t>4</w:t>
      </w:r>
    </w:p>
    <w:p>
      <w:pPr>
        <w:widowControl/>
        <w:jc w:val="center"/>
        <w:rPr>
          <w:rFonts w:eastAsia="黑体"/>
          <w:b/>
          <w:sz w:val="28"/>
          <w:szCs w:val="22"/>
        </w:rPr>
      </w:pPr>
      <w:r>
        <w:rPr>
          <w:rFonts w:hint="eastAsia" w:ascii="Calibri" w:hAnsi="Calibri" w:eastAsia="黑体" w:cs="黑体"/>
          <w:b/>
          <w:sz w:val="28"/>
          <w:szCs w:val="22"/>
          <w:lang w:bidi="ar"/>
        </w:rPr>
        <w:t>开标一览表</w:t>
      </w:r>
    </w:p>
    <w:p>
      <w:pPr>
        <w:spacing w:before="6"/>
        <w:ind w:right="88"/>
        <w:jc w:val="left"/>
        <w:rPr>
          <w:rFonts w:ascii="宋体" w:hAnsi="宋体" w:eastAsia="宋体" w:cs="宋体"/>
          <w:color w:val="000000"/>
          <w:sz w:val="24"/>
          <w:u w:val="single"/>
        </w:rPr>
      </w:pPr>
      <w:r>
        <w:rPr>
          <w:rFonts w:hint="eastAsia" w:ascii="宋体" w:hAnsi="宋体" w:eastAsia="宋体" w:cs="宋体"/>
          <w:color w:val="000000"/>
          <w:sz w:val="24"/>
          <w:lang w:bidi="ar"/>
        </w:rPr>
        <w:t>项目名称：</w:t>
      </w:r>
    </w:p>
    <w:p>
      <w:pPr>
        <w:spacing w:before="6"/>
        <w:ind w:right="88"/>
        <w:jc w:val="left"/>
        <w:rPr>
          <w:rFonts w:ascii="宋体" w:hAnsi="宋体" w:eastAsia="宋体" w:cs="宋体"/>
          <w:color w:val="000000"/>
          <w:sz w:val="24"/>
          <w:u w:val="single"/>
        </w:rPr>
      </w:pPr>
      <w:r>
        <w:rPr>
          <w:rFonts w:hint="eastAsia" w:ascii="宋体" w:hAnsi="宋体" w:eastAsia="宋体" w:cs="宋体"/>
          <w:color w:val="000000"/>
          <w:sz w:val="24"/>
          <w:lang w:bidi="ar"/>
        </w:rPr>
        <w:t>投标人名称（公章）：</w:t>
      </w:r>
    </w:p>
    <w:p>
      <w:pPr>
        <w:spacing w:before="6"/>
        <w:ind w:right="88"/>
        <w:jc w:val="left"/>
        <w:rPr>
          <w:rFonts w:ascii="宋体" w:hAnsi="宋体" w:eastAsia="宋体" w:cs="宋体"/>
          <w:color w:val="000000"/>
          <w:sz w:val="24"/>
          <w:u w:val="single"/>
        </w:rPr>
      </w:pPr>
      <w:r>
        <w:rPr>
          <w:rFonts w:hint="eastAsia" w:ascii="Calibri" w:hAnsi="Calibri" w:eastAsia="宋体" w:cs="宋体"/>
          <w:sz w:val="24"/>
          <w:lang w:bidi="ar"/>
        </w:rPr>
        <w:t>投标人代表签字：</w:t>
      </w:r>
    </w:p>
    <w:p>
      <w:pPr>
        <w:spacing w:before="62"/>
        <w:ind w:right="88"/>
        <w:jc w:val="right"/>
        <w:rPr>
          <w:rFonts w:ascii="宋体" w:hAnsi="宋体" w:eastAsia="宋体" w:cs="宋体"/>
          <w:color w:val="000000"/>
          <w:sz w:val="24"/>
        </w:rPr>
      </w:pPr>
      <w:r>
        <w:rPr>
          <w:rFonts w:hint="eastAsia" w:ascii="宋体" w:hAnsi="宋体" w:eastAsia="宋体" w:cs="宋体"/>
          <w:color w:val="000000"/>
          <w:sz w:val="24"/>
          <w:lang w:bidi="ar"/>
        </w:rPr>
        <w:t>价格单位：元</w:t>
      </w:r>
    </w:p>
    <w:tbl>
      <w:tblPr>
        <w:tblStyle w:val="17"/>
        <w:tblW w:w="8520" w:type="dxa"/>
        <w:tblInd w:w="123" w:type="dxa"/>
        <w:tblLayout w:type="fixed"/>
        <w:tblCellMar>
          <w:top w:w="0" w:type="dxa"/>
          <w:left w:w="108" w:type="dxa"/>
          <w:bottom w:w="0" w:type="dxa"/>
          <w:right w:w="108" w:type="dxa"/>
        </w:tblCellMar>
      </w:tblPr>
      <w:tblGrid>
        <w:gridCol w:w="1422"/>
        <w:gridCol w:w="4587"/>
        <w:gridCol w:w="2511"/>
      </w:tblGrid>
      <w:tr>
        <w:tblPrEx>
          <w:tblCellMar>
            <w:top w:w="0" w:type="dxa"/>
            <w:left w:w="108" w:type="dxa"/>
            <w:bottom w:w="0" w:type="dxa"/>
            <w:right w:w="108" w:type="dxa"/>
          </w:tblCellMar>
        </w:tblPrEx>
        <w:trPr>
          <w:trHeight w:val="748" w:hRule="atLeast"/>
        </w:trPr>
        <w:tc>
          <w:tcPr>
            <w:tcW w:w="1422" w:type="dxa"/>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序号</w:t>
            </w:r>
          </w:p>
        </w:tc>
        <w:tc>
          <w:tcPr>
            <w:tcW w:w="4587" w:type="dxa"/>
            <w:tcBorders>
              <w:top w:val="single" w:color="000000" w:sz="12"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名称</w:t>
            </w:r>
          </w:p>
        </w:tc>
        <w:tc>
          <w:tcPr>
            <w:tcW w:w="2511" w:type="dxa"/>
            <w:tcBorders>
              <w:top w:val="single" w:color="000000" w:sz="12" w:space="0"/>
              <w:left w:val="nil"/>
              <w:bottom w:val="single" w:color="000000" w:sz="8" w:space="0"/>
              <w:right w:val="single" w:color="000000" w:sz="12"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投标报价</w:t>
            </w:r>
          </w:p>
        </w:tc>
      </w:tr>
      <w:tr>
        <w:tblPrEx>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1</w:t>
            </w:r>
          </w:p>
        </w:tc>
        <w:tc>
          <w:tcPr>
            <w:tcW w:w="4587"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511" w:type="dxa"/>
            <w:tcBorders>
              <w:top w:val="nil"/>
              <w:left w:val="nil"/>
              <w:bottom w:val="single" w:color="000000" w:sz="8" w:space="0"/>
              <w:right w:val="single" w:color="000000" w:sz="12"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2</w:t>
            </w:r>
          </w:p>
        </w:tc>
        <w:tc>
          <w:tcPr>
            <w:tcW w:w="4587"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511" w:type="dxa"/>
            <w:tcBorders>
              <w:top w:val="nil"/>
              <w:left w:val="nil"/>
              <w:bottom w:val="single" w:color="000000" w:sz="8" w:space="0"/>
              <w:right w:val="single" w:color="000000" w:sz="12"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3</w:t>
            </w:r>
          </w:p>
        </w:tc>
        <w:tc>
          <w:tcPr>
            <w:tcW w:w="4587"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511" w:type="dxa"/>
            <w:tcBorders>
              <w:top w:val="nil"/>
              <w:left w:val="nil"/>
              <w:bottom w:val="single" w:color="000000" w:sz="8" w:space="0"/>
              <w:right w:val="single" w:color="000000" w:sz="12"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48" w:hRule="atLeast"/>
        </w:trPr>
        <w:tc>
          <w:tcPr>
            <w:tcW w:w="1422" w:type="dxa"/>
            <w:tcBorders>
              <w:top w:val="nil"/>
              <w:left w:val="single" w:color="000000" w:sz="12"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bidi="ar"/>
              </w:rPr>
              <w:t>4</w:t>
            </w:r>
          </w:p>
        </w:tc>
        <w:tc>
          <w:tcPr>
            <w:tcW w:w="4587"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511" w:type="dxa"/>
            <w:tcBorders>
              <w:top w:val="nil"/>
              <w:left w:val="nil"/>
              <w:bottom w:val="single" w:color="000000" w:sz="8" w:space="0"/>
              <w:right w:val="single" w:color="000000" w:sz="12"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48" w:hRule="atLeast"/>
        </w:trPr>
        <w:tc>
          <w:tcPr>
            <w:tcW w:w="8520" w:type="dxa"/>
            <w:gridSpan w:val="3"/>
            <w:tcBorders>
              <w:top w:val="single" w:color="000000" w:sz="8" w:space="0"/>
              <w:left w:val="single" w:color="000000" w:sz="12" w:space="0"/>
              <w:bottom w:val="single" w:color="000000" w:sz="8" w:space="0"/>
              <w:right w:val="single" w:color="000000" w:sz="12" w:space="0"/>
            </w:tcBorders>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lang w:bidi="ar"/>
              </w:rPr>
              <w:t>人民币（大写）：</w:t>
            </w:r>
          </w:p>
        </w:tc>
      </w:tr>
    </w:tbl>
    <w:p>
      <w:pPr>
        <w:pStyle w:val="8"/>
        <w:spacing w:before="48"/>
        <w:ind w:left="400" w:hanging="400"/>
        <w:rPr>
          <w:color w:val="000000"/>
          <w:sz w:val="24"/>
          <w:szCs w:val="24"/>
        </w:rPr>
      </w:pPr>
    </w:p>
    <w:p>
      <w:pPr>
        <w:pStyle w:val="8"/>
        <w:spacing w:before="48"/>
        <w:ind w:left="400" w:hanging="400"/>
        <w:rPr>
          <w:rFonts w:ascii="宋体" w:hAnsi="宋体" w:cs="宋体"/>
          <w:color w:val="000000"/>
          <w:spacing w:val="-1"/>
          <w:sz w:val="24"/>
          <w:szCs w:val="24"/>
        </w:rPr>
      </w:pPr>
      <w:r>
        <w:rPr>
          <w:rFonts w:hint="eastAsia" w:ascii="宋体" w:hAnsi="宋体" w:cs="宋体"/>
          <w:color w:val="000000"/>
          <w:sz w:val="24"/>
          <w:szCs w:val="24"/>
        </w:rPr>
        <w:t>说明：</w:t>
      </w:r>
    </w:p>
    <w:p>
      <w:pPr>
        <w:pStyle w:val="8"/>
        <w:spacing w:before="48"/>
        <w:ind w:left="400" w:hanging="400"/>
        <w:rPr>
          <w:rFonts w:ascii="宋体" w:hAnsi="宋体" w:cs="宋体"/>
          <w:color w:val="000000"/>
          <w:sz w:val="24"/>
          <w:szCs w:val="24"/>
        </w:rPr>
      </w:pPr>
      <w:r>
        <w:rPr>
          <w:rFonts w:hint="eastAsia" w:ascii="宋体" w:hAnsi="宋体" w:cs="宋体"/>
          <w:color w:val="000000"/>
          <w:sz w:val="24"/>
          <w:szCs w:val="24"/>
        </w:rPr>
        <w:t xml:space="preserve">1、开标一览表中“投标总价”是指提供服务的全部费用的报价。 </w:t>
      </w:r>
    </w:p>
    <w:p>
      <w:pPr>
        <w:pStyle w:val="8"/>
        <w:spacing w:before="48"/>
        <w:ind w:left="400" w:hanging="400"/>
        <w:rPr>
          <w:rFonts w:ascii="宋体" w:hAnsi="宋体" w:cs="宋体"/>
          <w:color w:val="000000"/>
          <w:sz w:val="24"/>
          <w:szCs w:val="24"/>
        </w:rPr>
      </w:pPr>
      <w:r>
        <w:rPr>
          <w:rFonts w:hint="eastAsia" w:ascii="宋体" w:hAnsi="宋体" w:cs="宋体"/>
          <w:color w:val="000000"/>
          <w:sz w:val="24"/>
          <w:szCs w:val="24"/>
        </w:rPr>
        <w:t>2、投标人严格按照规定的格式填写。</w:t>
      </w:r>
    </w:p>
    <w:p>
      <w:pPr>
        <w:rPr>
          <w:rFonts w:ascii="宋体" w:hAnsi="宋体" w:eastAsia="宋体" w:cs="宋体"/>
          <w:color w:val="000000"/>
          <w:sz w:val="24"/>
        </w:rPr>
      </w:pPr>
    </w:p>
    <w:p>
      <w:pPr>
        <w:spacing w:before="2"/>
        <w:rPr>
          <w:rFonts w:ascii="宋体" w:hAnsi="宋体" w:eastAsia="宋体" w:cs="宋体"/>
          <w:color w:val="000000"/>
        </w:rPr>
      </w:pPr>
    </w:p>
    <w:p>
      <w:pPr>
        <w:pStyle w:val="8"/>
        <w:spacing w:before="48"/>
        <w:ind w:left="400" w:hanging="400"/>
        <w:jc w:val="right"/>
        <w:rPr>
          <w:rFonts w:ascii="宋体" w:hAnsi="宋体" w:cs="宋体"/>
          <w:color w:val="000000"/>
          <w:sz w:val="24"/>
          <w:szCs w:val="24"/>
        </w:rPr>
      </w:pPr>
      <w:r>
        <w:rPr>
          <w:rFonts w:hint="eastAsia" w:ascii="宋体" w:hAnsi="宋体" w:cs="宋体"/>
          <w:color w:val="000000"/>
          <w:sz w:val="24"/>
          <w:szCs w:val="24"/>
        </w:rPr>
        <w:t>日期：  年 月  日</w:t>
      </w: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ind w:firstLine="480"/>
        <w:rPr>
          <w:rFonts w:ascii="宋体" w:hAnsi="宋体" w:eastAsia="宋体" w:cs="宋体"/>
          <w:sz w:val="24"/>
          <w:szCs w:val="22"/>
        </w:rPr>
      </w:pPr>
    </w:p>
    <w:p>
      <w:pPr>
        <w:jc w:val="left"/>
        <w:rPr>
          <w:rFonts w:ascii="Calibri" w:hAnsi="Calibri" w:eastAsia="黑体" w:cs="黑体"/>
          <w:b/>
          <w:sz w:val="28"/>
          <w:szCs w:val="22"/>
          <w:lang w:bidi="ar"/>
        </w:rPr>
      </w:pPr>
      <w:r>
        <w:rPr>
          <w:rFonts w:hint="eastAsia" w:ascii="Calibri" w:hAnsi="Calibri" w:eastAsia="黑体" w:cs="黑体"/>
          <w:b/>
          <w:sz w:val="28"/>
          <w:szCs w:val="22"/>
          <w:lang w:bidi="ar"/>
        </w:rPr>
        <w:t>附件5</w:t>
      </w:r>
    </w:p>
    <w:p>
      <w:pPr>
        <w:jc w:val="center"/>
        <w:rPr>
          <w:rFonts w:eastAsia="黑体"/>
          <w:b/>
          <w:sz w:val="28"/>
          <w:szCs w:val="22"/>
        </w:rPr>
      </w:pPr>
      <w:r>
        <w:rPr>
          <w:rFonts w:hint="eastAsia" w:ascii="Calibri" w:hAnsi="Calibri" w:eastAsia="黑体" w:cs="黑体"/>
          <w:b/>
          <w:sz w:val="28"/>
          <w:szCs w:val="22"/>
          <w:lang w:bidi="ar"/>
        </w:rPr>
        <w:t>投标价格分解表</w:t>
      </w:r>
    </w:p>
    <w:p>
      <w:pPr>
        <w:spacing w:before="6"/>
        <w:ind w:right="88"/>
        <w:jc w:val="left"/>
        <w:rPr>
          <w:rFonts w:ascii="宋体" w:hAnsi="宋体" w:eastAsia="宋体" w:cs="宋体"/>
          <w:color w:val="000000"/>
          <w:sz w:val="24"/>
          <w:u w:val="single"/>
        </w:rPr>
      </w:pPr>
      <w:r>
        <w:rPr>
          <w:rFonts w:hint="eastAsia" w:ascii="宋体" w:hAnsi="宋体" w:eastAsia="宋体" w:cs="宋体"/>
          <w:color w:val="000000"/>
          <w:sz w:val="24"/>
          <w:lang w:bidi="ar"/>
        </w:rPr>
        <w:t>项目名称：</w:t>
      </w:r>
    </w:p>
    <w:p>
      <w:pPr>
        <w:spacing w:before="6"/>
        <w:ind w:right="88"/>
        <w:jc w:val="left"/>
        <w:rPr>
          <w:rFonts w:ascii="宋体" w:hAnsi="宋体" w:eastAsia="宋体" w:cs="宋体"/>
          <w:color w:val="000000"/>
          <w:sz w:val="24"/>
          <w:u w:val="single"/>
        </w:rPr>
      </w:pPr>
      <w:r>
        <w:rPr>
          <w:rFonts w:hint="eastAsia" w:ascii="宋体" w:hAnsi="宋体" w:eastAsia="宋体" w:cs="宋体"/>
          <w:color w:val="000000"/>
          <w:sz w:val="24"/>
          <w:lang w:bidi="ar"/>
        </w:rPr>
        <w:t>投标人名称（公章）：</w:t>
      </w:r>
    </w:p>
    <w:p>
      <w:pPr>
        <w:spacing w:before="6"/>
        <w:ind w:right="88"/>
        <w:jc w:val="left"/>
        <w:rPr>
          <w:rFonts w:ascii="宋体" w:hAnsi="宋体" w:eastAsia="宋体" w:cs="宋体"/>
          <w:color w:val="000000"/>
          <w:sz w:val="24"/>
          <w:u w:val="single"/>
        </w:rPr>
      </w:pPr>
      <w:r>
        <w:rPr>
          <w:rFonts w:hint="eastAsia" w:ascii="Calibri" w:hAnsi="Calibri" w:eastAsia="宋体" w:cs="宋体"/>
          <w:sz w:val="24"/>
          <w:lang w:bidi="ar"/>
        </w:rPr>
        <w:t>投标人代表签字：</w:t>
      </w:r>
    </w:p>
    <w:p>
      <w:pPr>
        <w:spacing w:before="62"/>
        <w:ind w:right="1048"/>
        <w:jc w:val="center"/>
        <w:rPr>
          <w:rFonts w:ascii="宋体" w:hAnsi="宋体" w:eastAsia="宋体" w:cs="宋体"/>
          <w:sz w:val="24"/>
          <w:szCs w:val="22"/>
        </w:rPr>
      </w:pPr>
      <w:r>
        <w:rPr>
          <w:rFonts w:hint="eastAsia" w:ascii="宋体" w:hAnsi="宋体" w:eastAsia="宋体" w:cs="宋体"/>
          <w:color w:val="000000"/>
          <w:sz w:val="24"/>
          <w:lang w:bidi="ar"/>
        </w:rPr>
        <w:t xml:space="preserve">                                        价格单位：   元</w:t>
      </w:r>
    </w:p>
    <w:p>
      <w:pPr>
        <w:rPr>
          <w:rFonts w:eastAsia="黑体"/>
          <w:b/>
          <w:sz w:val="28"/>
          <w:szCs w:val="22"/>
        </w:rPr>
      </w:pPr>
    </w:p>
    <w:tbl>
      <w:tblPr>
        <w:tblStyle w:val="17"/>
        <w:tblpPr w:leftFromText="180" w:rightFromText="180" w:vertAnchor="text" w:horzAnchor="page" w:tblpX="1972" w:tblpY="20"/>
        <w:tblOverlap w:val="never"/>
        <w:tblW w:w="7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85"/>
        <w:gridCol w:w="1477"/>
        <w:gridCol w:w="1494"/>
        <w:gridCol w:w="126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序号</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工程师级别</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人天单价（元）</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折扣价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最终价</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Cs w:val="21"/>
              </w:rPr>
            </w:pPr>
            <w:r>
              <w:rPr>
                <w:rFonts w:hint="eastAsia" w:ascii="宋体" w:hAnsi="宋体" w:eastAsia="宋体" w:cs="宋体"/>
                <w:b/>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5</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6</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7</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8</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10</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11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12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13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FF0000"/>
                <w:szCs w:val="21"/>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bl>
    <w:p>
      <w:pPr>
        <w:rPr>
          <w:rFonts w:eastAsia="黑体"/>
          <w:b/>
          <w:sz w:val="28"/>
          <w:szCs w:val="22"/>
        </w:rPr>
      </w:pPr>
    </w:p>
    <w:p>
      <w:pPr>
        <w:rPr>
          <w:rFonts w:eastAsia="黑体"/>
          <w:b/>
          <w:sz w:val="28"/>
          <w:szCs w:val="22"/>
        </w:rPr>
      </w:pPr>
    </w:p>
    <w:p>
      <w:pPr>
        <w:rPr>
          <w:rFonts w:eastAsia="黑体"/>
          <w:b/>
          <w:sz w:val="28"/>
          <w:szCs w:val="22"/>
        </w:rPr>
      </w:pPr>
    </w:p>
    <w:p>
      <w:pPr>
        <w:rPr>
          <w:rFonts w:eastAsia="黑体"/>
          <w:b/>
          <w:sz w:val="28"/>
          <w:szCs w:val="22"/>
        </w:rPr>
      </w:pPr>
    </w:p>
    <w:p>
      <w:pPr>
        <w:rPr>
          <w:rFonts w:ascii="Calibri" w:hAnsi="Calibri" w:eastAsia="黑体" w:cs="黑体"/>
          <w:b/>
          <w:sz w:val="28"/>
          <w:szCs w:val="22"/>
          <w:lang w:bidi="ar"/>
        </w:rPr>
      </w:pPr>
    </w:p>
    <w:p>
      <w:pPr>
        <w:rPr>
          <w:rFonts w:ascii="Calibri" w:hAnsi="Calibri" w:eastAsia="黑体" w:cs="黑体"/>
          <w:b/>
          <w:sz w:val="28"/>
          <w:szCs w:val="22"/>
          <w:lang w:bidi="ar"/>
        </w:rPr>
      </w:pPr>
    </w:p>
    <w:p>
      <w:pPr>
        <w:rPr>
          <w:rFonts w:eastAsia="黑体"/>
          <w:b/>
          <w:sz w:val="28"/>
          <w:szCs w:val="22"/>
        </w:rPr>
      </w:pPr>
      <w:r>
        <w:rPr>
          <w:rFonts w:hint="eastAsia" w:ascii="Calibri" w:hAnsi="Calibri" w:eastAsia="黑体" w:cs="黑体"/>
          <w:b/>
          <w:sz w:val="28"/>
          <w:szCs w:val="22"/>
          <w:lang w:bidi="ar"/>
        </w:rPr>
        <w:t>附件</w:t>
      </w:r>
      <w:r>
        <w:rPr>
          <w:rFonts w:ascii="Calibri" w:hAnsi="Calibri" w:eastAsia="黑体" w:cs="Times New Roman"/>
          <w:b/>
          <w:sz w:val="28"/>
          <w:szCs w:val="22"/>
          <w:lang w:bidi="ar"/>
        </w:rPr>
        <w:t>6</w:t>
      </w:r>
    </w:p>
    <w:p>
      <w:pPr>
        <w:jc w:val="center"/>
        <w:rPr>
          <w:rFonts w:eastAsia="黑体"/>
          <w:b/>
          <w:sz w:val="28"/>
          <w:szCs w:val="22"/>
        </w:rPr>
      </w:pPr>
      <w:r>
        <w:rPr>
          <w:rFonts w:hint="eastAsia" w:ascii="Calibri" w:hAnsi="Calibri" w:eastAsia="黑体" w:cs="黑体"/>
          <w:b/>
          <w:sz w:val="28"/>
          <w:szCs w:val="22"/>
          <w:lang w:bidi="ar"/>
        </w:rPr>
        <w:t>商务条款偏离表</w:t>
      </w:r>
    </w:p>
    <w:p>
      <w:pPr>
        <w:rPr>
          <w:rFonts w:eastAsia="黑体"/>
          <w:b/>
          <w:sz w:val="22"/>
          <w:szCs w:val="22"/>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9"/>
        <w:gridCol w:w="3060"/>
        <w:gridCol w:w="107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序号</w:t>
            </w:r>
          </w:p>
        </w:tc>
        <w:tc>
          <w:tcPr>
            <w:tcW w:w="4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招标文件条款</w:t>
            </w:r>
          </w:p>
        </w:tc>
        <w:tc>
          <w:tcPr>
            <w:tcW w:w="3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条款号</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条款内容</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条款号</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bl>
    <w:p>
      <w:pPr>
        <w:rPr>
          <w:rFonts w:ascii="宋体" w:hAnsi="宋体" w:eastAsia="宋体" w:cs="宋体"/>
          <w:sz w:val="24"/>
          <w:szCs w:val="22"/>
        </w:rPr>
      </w:pPr>
      <w:r>
        <w:rPr>
          <w:rFonts w:hint="eastAsia" w:ascii="宋体" w:hAnsi="宋体" w:eastAsia="宋体" w:cs="宋体"/>
          <w:sz w:val="24"/>
          <w:szCs w:val="22"/>
          <w:lang w:bidi="ar"/>
        </w:rPr>
        <w:t>投标人名称：                   投标人代表签字：            日期：</w:t>
      </w:r>
    </w:p>
    <w:p>
      <w:pPr>
        <w:rPr>
          <w:rFonts w:ascii="宋体" w:hAnsi="宋体" w:eastAsia="宋体" w:cs="宋体"/>
          <w:sz w:val="24"/>
          <w:szCs w:val="22"/>
        </w:rPr>
      </w:pPr>
      <w:r>
        <w:rPr>
          <w:rFonts w:hint="eastAsia" w:ascii="宋体" w:hAnsi="宋体" w:eastAsia="宋体" w:cs="宋体"/>
          <w:sz w:val="24"/>
          <w:szCs w:val="22"/>
          <w:lang w:bidi="ar"/>
        </w:rPr>
        <w:t>注：为避免歧义，无偏离也应要提报该表，并注明“无”字。如无该表则即使在其它部分已反映，将也被视为“无偏离”。</w:t>
      </w:r>
    </w:p>
    <w:p>
      <w:pPr>
        <w:rPr>
          <w:rFonts w:ascii="宋体" w:hAnsi="宋体" w:eastAsia="宋体" w:cs="宋体"/>
          <w:sz w:val="24"/>
          <w:szCs w:val="22"/>
        </w:rPr>
      </w:pPr>
    </w:p>
    <w:p>
      <w:pPr>
        <w:rPr>
          <w:rFonts w:ascii="Calibri" w:hAnsi="Calibri" w:eastAsia="黑体" w:cs="黑体"/>
          <w:b/>
          <w:sz w:val="28"/>
          <w:szCs w:val="22"/>
          <w:lang w:bidi="ar"/>
        </w:rPr>
      </w:pPr>
    </w:p>
    <w:p>
      <w:pPr>
        <w:rPr>
          <w:rFonts w:eastAsia="黑体"/>
          <w:b/>
          <w:sz w:val="28"/>
          <w:szCs w:val="22"/>
        </w:rPr>
      </w:pPr>
      <w:r>
        <w:rPr>
          <w:rFonts w:hint="eastAsia" w:ascii="Calibri" w:hAnsi="Calibri" w:eastAsia="黑体" w:cs="黑体"/>
          <w:b/>
          <w:sz w:val="28"/>
          <w:szCs w:val="22"/>
          <w:lang w:bidi="ar"/>
        </w:rPr>
        <w:t>附件</w:t>
      </w:r>
      <w:r>
        <w:rPr>
          <w:rFonts w:ascii="Calibri" w:hAnsi="Calibri" w:eastAsia="黑体" w:cs="Times New Roman"/>
          <w:b/>
          <w:sz w:val="28"/>
          <w:szCs w:val="22"/>
          <w:lang w:bidi="ar"/>
        </w:rPr>
        <w:t>7</w:t>
      </w:r>
    </w:p>
    <w:p>
      <w:pPr>
        <w:jc w:val="center"/>
        <w:rPr>
          <w:rFonts w:eastAsia="黑体"/>
          <w:b/>
          <w:sz w:val="28"/>
          <w:szCs w:val="22"/>
        </w:rPr>
      </w:pPr>
      <w:r>
        <w:rPr>
          <w:rFonts w:hint="eastAsia" w:ascii="Calibri" w:hAnsi="Calibri" w:eastAsia="黑体" w:cs="黑体"/>
          <w:b/>
          <w:sz w:val="28"/>
          <w:szCs w:val="22"/>
          <w:lang w:bidi="ar"/>
        </w:rPr>
        <w:t>技术规格、参数偏离表</w:t>
      </w:r>
    </w:p>
    <w:p>
      <w:pPr>
        <w:rPr>
          <w:rFonts w:ascii="宋体" w:hAnsi="宋体" w:eastAsia="宋体" w:cs="宋体"/>
          <w:sz w:val="24"/>
          <w:szCs w:val="22"/>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79"/>
        <w:gridCol w:w="2893"/>
        <w:gridCol w:w="1109"/>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序号</w:t>
            </w:r>
          </w:p>
        </w:tc>
        <w:tc>
          <w:tcPr>
            <w:tcW w:w="3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招标文件条款</w:t>
            </w:r>
          </w:p>
        </w:tc>
        <w:tc>
          <w:tcPr>
            <w:tcW w:w="3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条款号</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条款内容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条款号</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2"/>
              </w:rPr>
            </w:pPr>
            <w:r>
              <w:rPr>
                <w:rFonts w:hint="eastAsia" w:ascii="宋体" w:hAnsi="宋体" w:eastAsia="宋体" w:cs="宋体"/>
                <w:sz w:val="24"/>
                <w:szCs w:val="22"/>
                <w:lang w:bidi="ar"/>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2"/>
              </w:rPr>
            </w:pPr>
          </w:p>
        </w:tc>
      </w:tr>
    </w:tbl>
    <w:p>
      <w:pPr>
        <w:rPr>
          <w:sz w:val="24"/>
        </w:rPr>
      </w:pPr>
      <w:r>
        <w:rPr>
          <w:rFonts w:hint="eastAsia" w:ascii="Calibri" w:hAnsi="Calibri" w:eastAsia="宋体" w:cs="宋体"/>
          <w:sz w:val="24"/>
          <w:lang w:bidi="ar"/>
        </w:rPr>
        <w:t>投标人名称：</w:t>
      </w:r>
      <w:r>
        <w:rPr>
          <w:rFonts w:ascii="Calibri" w:hAnsi="Calibri" w:eastAsia="宋体" w:cs="Times New Roman"/>
          <w:sz w:val="24"/>
          <w:lang w:bidi="ar"/>
        </w:rPr>
        <w:t xml:space="preserve">                   </w:t>
      </w:r>
      <w:r>
        <w:rPr>
          <w:rFonts w:hint="eastAsia" w:ascii="Calibri" w:hAnsi="Calibri" w:eastAsia="宋体" w:cs="宋体"/>
          <w:sz w:val="24"/>
          <w:lang w:bidi="ar"/>
        </w:rPr>
        <w:t>投标人代表签字：</w:t>
      </w:r>
      <w:r>
        <w:rPr>
          <w:rFonts w:ascii="Calibri" w:hAnsi="Calibri" w:eastAsia="宋体" w:cs="Times New Roman"/>
          <w:sz w:val="24"/>
          <w:lang w:bidi="ar"/>
        </w:rPr>
        <w:t xml:space="preserve">            </w:t>
      </w:r>
      <w:r>
        <w:rPr>
          <w:rFonts w:hint="eastAsia" w:ascii="Calibri" w:hAnsi="Calibri" w:eastAsia="宋体" w:cs="宋体"/>
          <w:sz w:val="24"/>
          <w:lang w:bidi="ar"/>
        </w:rPr>
        <w:t>日期：</w:t>
      </w:r>
    </w:p>
    <w:p>
      <w:pPr>
        <w:rPr>
          <w:sz w:val="24"/>
        </w:rPr>
      </w:pPr>
      <w:r>
        <w:rPr>
          <w:rFonts w:hint="eastAsia" w:ascii="Calibri" w:hAnsi="Calibri" w:eastAsia="宋体" w:cs="宋体"/>
          <w:sz w:val="24"/>
          <w:lang w:bidi="ar"/>
        </w:rPr>
        <w:t>注：为避免歧义，无偏离也应要提报该表，并注明“无”字。如无该表则即使在其它部分已反映，将也被视为“无偏离”。</w:t>
      </w:r>
    </w:p>
    <w:p>
      <w:pPr>
        <w:rPr>
          <w:rFonts w:ascii="宋体" w:hAnsi="宋体" w:eastAsia="宋体" w:cs="宋体"/>
          <w:sz w:val="24"/>
          <w:szCs w:val="22"/>
        </w:rPr>
      </w:pPr>
    </w:p>
    <w:p>
      <w:pPr>
        <w:pStyle w:val="10"/>
        <w:widowControl/>
        <w:spacing w:line="360" w:lineRule="auto"/>
        <w:ind w:left="820" w:hanging="400"/>
        <w:jc w:val="center"/>
        <w:rPr>
          <w:rFonts w:hint="default"/>
        </w:rPr>
      </w:pPr>
    </w:p>
    <w:p>
      <w:pPr>
        <w:rPr>
          <w:rFonts w:eastAsia="黑体"/>
          <w:b/>
          <w:sz w:val="28"/>
          <w:szCs w:val="22"/>
        </w:rPr>
      </w:pPr>
      <w:r>
        <w:rPr>
          <w:rFonts w:hint="eastAsia" w:ascii="Calibri" w:hAnsi="Calibri" w:eastAsia="黑体" w:cs="黑体"/>
          <w:b/>
          <w:sz w:val="28"/>
          <w:szCs w:val="22"/>
          <w:lang w:bidi="ar"/>
        </w:rPr>
        <w:t>附件</w:t>
      </w:r>
      <w:r>
        <w:rPr>
          <w:rFonts w:ascii="Calibri" w:hAnsi="Calibri" w:eastAsia="黑体" w:cs="Times New Roman"/>
          <w:b/>
          <w:sz w:val="28"/>
          <w:szCs w:val="22"/>
          <w:lang w:bidi="ar"/>
        </w:rPr>
        <w:t>8</w:t>
      </w:r>
    </w:p>
    <w:p>
      <w:pPr>
        <w:jc w:val="center"/>
        <w:rPr>
          <w:rFonts w:eastAsia="黑体"/>
          <w:b/>
          <w:sz w:val="28"/>
          <w:szCs w:val="22"/>
        </w:rPr>
      </w:pPr>
      <w:r>
        <w:rPr>
          <w:rFonts w:hint="eastAsia" w:ascii="Calibri" w:hAnsi="Calibri" w:eastAsia="黑体" w:cs="黑体"/>
          <w:b/>
          <w:sz w:val="28"/>
          <w:szCs w:val="22"/>
          <w:lang w:bidi="ar"/>
        </w:rPr>
        <w:t>服务方案</w:t>
      </w:r>
    </w:p>
    <w:p>
      <w:pPr>
        <w:spacing w:line="360" w:lineRule="auto"/>
        <w:ind w:firstLine="480" w:firstLineChars="200"/>
        <w:rPr>
          <w:rFonts w:ascii="宋体" w:hAnsi="宋体" w:eastAsia="宋体" w:cs="宋体"/>
          <w:sz w:val="24"/>
          <w:szCs w:val="22"/>
        </w:rPr>
      </w:pPr>
    </w:p>
    <w:p>
      <w:pPr>
        <w:spacing w:line="360" w:lineRule="auto"/>
        <w:ind w:firstLine="480" w:firstLineChars="200"/>
        <w:rPr>
          <w:rFonts w:ascii="宋体" w:hAnsi="宋体" w:eastAsia="宋体" w:cs="宋体"/>
          <w:color w:val="000000"/>
          <w:kern w:val="0"/>
          <w:sz w:val="24"/>
          <w:szCs w:val="22"/>
          <w:lang w:val="zh-CN"/>
        </w:rPr>
      </w:pPr>
      <w:r>
        <w:rPr>
          <w:rFonts w:hint="eastAsia" w:ascii="宋体" w:hAnsi="宋体" w:eastAsia="宋体" w:cs="宋体"/>
          <w:color w:val="000000"/>
          <w:kern w:val="0"/>
          <w:sz w:val="24"/>
          <w:szCs w:val="22"/>
          <w:lang w:val="zh-CN" w:bidi="ar"/>
        </w:rPr>
        <w:t>1、招标文件技术规范书要求</w:t>
      </w:r>
      <w:r>
        <w:rPr>
          <w:rFonts w:hint="eastAsia" w:ascii="宋体" w:hAnsi="宋体" w:eastAsia="宋体" w:cs="宋体"/>
          <w:color w:val="000000"/>
          <w:kern w:val="0"/>
          <w:sz w:val="24"/>
          <w:szCs w:val="22"/>
          <w:lang w:bidi="ar"/>
        </w:rPr>
        <w:t>完善服务</w:t>
      </w:r>
      <w:r>
        <w:rPr>
          <w:rFonts w:hint="eastAsia" w:ascii="宋体" w:hAnsi="宋体" w:eastAsia="宋体" w:cs="宋体"/>
          <w:color w:val="000000"/>
          <w:kern w:val="0"/>
          <w:sz w:val="24"/>
          <w:szCs w:val="22"/>
          <w:lang w:val="zh-CN" w:bidi="ar"/>
        </w:rPr>
        <w:t>方案，包括</w:t>
      </w:r>
      <w:r>
        <w:rPr>
          <w:rFonts w:hint="eastAsia" w:ascii="宋体" w:hAnsi="宋体" w:eastAsia="宋体" w:cs="宋体"/>
          <w:color w:val="000000"/>
          <w:kern w:val="0"/>
          <w:sz w:val="24"/>
          <w:szCs w:val="22"/>
          <w:lang w:bidi="ar"/>
        </w:rPr>
        <w:t>整体运维方案</w:t>
      </w:r>
      <w:r>
        <w:rPr>
          <w:rFonts w:hint="eastAsia" w:ascii="宋体" w:hAnsi="宋体" w:eastAsia="宋体" w:cs="宋体"/>
          <w:color w:val="000000"/>
          <w:kern w:val="0"/>
          <w:sz w:val="24"/>
          <w:szCs w:val="22"/>
          <w:lang w:val="zh-CN" w:bidi="ar"/>
        </w:rPr>
        <w:t>等。</w:t>
      </w:r>
    </w:p>
    <w:p>
      <w:pPr>
        <w:spacing w:line="360" w:lineRule="auto"/>
        <w:ind w:firstLine="480" w:firstLineChars="200"/>
        <w:rPr>
          <w:rFonts w:ascii="宋体" w:hAnsi="宋体" w:eastAsia="宋体" w:cs="宋体"/>
          <w:sz w:val="24"/>
          <w:szCs w:val="22"/>
        </w:rPr>
      </w:pPr>
      <w:r>
        <w:rPr>
          <w:rFonts w:hint="eastAsia" w:ascii="宋体" w:hAnsi="宋体" w:eastAsia="宋体" w:cs="宋体"/>
          <w:color w:val="000000"/>
          <w:kern w:val="0"/>
          <w:sz w:val="24"/>
          <w:szCs w:val="22"/>
          <w:lang w:bidi="ar"/>
        </w:rPr>
        <w:t>2、</w:t>
      </w:r>
      <w:r>
        <w:rPr>
          <w:rFonts w:hint="eastAsia" w:ascii="宋体" w:hAnsi="宋体" w:eastAsia="宋体" w:cs="宋体"/>
          <w:color w:val="000000"/>
          <w:kern w:val="0"/>
          <w:sz w:val="24"/>
          <w:szCs w:val="22"/>
          <w:lang w:val="zh-CN" w:bidi="ar"/>
        </w:rPr>
        <w:t>实施方案不提供，按无效投标处理。</w:t>
      </w:r>
    </w:p>
    <w:p>
      <w:pPr>
        <w:ind w:left="570"/>
        <w:rPr>
          <w:rFonts w:ascii="宋体" w:hAnsi="宋体" w:eastAsia="宋体" w:cs="宋体"/>
          <w:sz w:val="24"/>
          <w:szCs w:val="22"/>
        </w:rPr>
      </w:pPr>
    </w:p>
    <w:p>
      <w:pPr>
        <w:ind w:left="570"/>
        <w:rPr>
          <w:rFonts w:ascii="宋体" w:hAnsi="宋体" w:eastAsia="宋体" w:cs="宋体"/>
          <w:sz w:val="24"/>
          <w:szCs w:val="22"/>
        </w:rPr>
      </w:pPr>
    </w:p>
    <w:p>
      <w:pPr>
        <w:ind w:left="570"/>
        <w:rPr>
          <w:rFonts w:ascii="宋体" w:hAnsi="宋体" w:eastAsia="宋体" w:cs="宋体"/>
          <w:sz w:val="24"/>
          <w:szCs w:val="22"/>
        </w:rPr>
      </w:pPr>
    </w:p>
    <w:p>
      <w:pPr>
        <w:ind w:left="570"/>
        <w:rPr>
          <w:rFonts w:ascii="宋体" w:hAnsi="宋体" w:eastAsia="宋体" w:cs="宋体"/>
          <w:sz w:val="24"/>
          <w:szCs w:val="22"/>
        </w:rPr>
      </w:pPr>
    </w:p>
    <w:p>
      <w:pPr>
        <w:ind w:left="570"/>
        <w:rPr>
          <w:rFonts w:ascii="宋体" w:hAnsi="宋体" w:eastAsia="宋体" w:cs="宋体"/>
          <w:sz w:val="24"/>
          <w:szCs w:val="22"/>
        </w:rPr>
      </w:pPr>
    </w:p>
    <w:p>
      <w:pPr>
        <w:ind w:left="570"/>
        <w:rPr>
          <w:rFonts w:ascii="宋体" w:hAnsi="宋体" w:eastAsia="宋体" w:cs="宋体"/>
          <w:sz w:val="24"/>
          <w:szCs w:val="22"/>
        </w:rPr>
      </w:pPr>
      <w:r>
        <w:rPr>
          <w:rFonts w:hint="eastAsia" w:ascii="宋体" w:hAnsi="宋体" w:eastAsia="宋体" w:cs="宋体"/>
          <w:sz w:val="24"/>
          <w:szCs w:val="22"/>
          <w:lang w:bidi="ar"/>
        </w:rPr>
        <w:t>注：投标人应根据上述内容、要求自行编制</w:t>
      </w:r>
    </w:p>
    <w:p>
      <w:pPr>
        <w:ind w:left="900"/>
        <w:rPr>
          <w:rFonts w:ascii="宋体" w:hAnsi="宋体" w:eastAsia="宋体" w:cs="宋体"/>
          <w:sz w:val="24"/>
          <w:szCs w:val="22"/>
        </w:rPr>
      </w:pPr>
    </w:p>
    <w:p>
      <w:pPr>
        <w:ind w:left="900"/>
        <w:rPr>
          <w:rFonts w:ascii="宋体" w:hAnsi="宋体"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spacing w:line="520" w:lineRule="exact"/>
        <w:ind w:right="2"/>
        <w:rPr>
          <w:rFonts w:ascii="宋体" w:hAnsi="Courier New" w:eastAsia="宋体" w:cs="宋体"/>
          <w:sz w:val="24"/>
          <w:szCs w:val="22"/>
        </w:rPr>
      </w:pPr>
    </w:p>
    <w:p>
      <w:pPr>
        <w:rPr>
          <w:rFonts w:ascii="Calibri" w:hAnsi="Calibri" w:eastAsia="黑体" w:cs="黑体"/>
          <w:b/>
          <w:sz w:val="28"/>
          <w:szCs w:val="22"/>
          <w:lang w:bidi="ar"/>
        </w:rPr>
      </w:pPr>
    </w:p>
    <w:p>
      <w:pPr>
        <w:rPr>
          <w:rFonts w:eastAsia="黑体"/>
          <w:b/>
          <w:sz w:val="28"/>
          <w:szCs w:val="22"/>
        </w:rPr>
      </w:pPr>
      <w:r>
        <w:rPr>
          <w:rFonts w:hint="eastAsia" w:ascii="Calibri" w:hAnsi="Calibri" w:eastAsia="黑体" w:cs="黑体"/>
          <w:b/>
          <w:sz w:val="28"/>
          <w:szCs w:val="22"/>
          <w:lang w:bidi="ar"/>
        </w:rPr>
        <w:t>附件</w:t>
      </w:r>
      <w:r>
        <w:rPr>
          <w:rFonts w:ascii="Calibri" w:hAnsi="Calibri" w:eastAsia="黑体" w:cs="Times New Roman"/>
          <w:b/>
          <w:sz w:val="28"/>
          <w:szCs w:val="22"/>
          <w:lang w:bidi="ar"/>
        </w:rPr>
        <w:t>9</w:t>
      </w:r>
    </w:p>
    <w:p>
      <w:pPr>
        <w:jc w:val="center"/>
        <w:rPr>
          <w:rFonts w:eastAsia="黑体"/>
          <w:b/>
          <w:sz w:val="28"/>
          <w:szCs w:val="22"/>
        </w:rPr>
      </w:pPr>
      <w:r>
        <w:rPr>
          <w:rFonts w:ascii="Calibri" w:hAnsi="Calibri" w:eastAsia="黑体" w:cs="Times New Roman"/>
          <w:b/>
          <w:sz w:val="28"/>
          <w:szCs w:val="22"/>
          <w:lang w:bidi="ar"/>
        </w:rPr>
        <w:t xml:space="preserve">  </w:t>
      </w:r>
      <w:r>
        <w:rPr>
          <w:rFonts w:hint="eastAsia" w:ascii="Calibri" w:hAnsi="Calibri" w:eastAsia="黑体" w:cs="黑体"/>
          <w:b/>
          <w:sz w:val="28"/>
          <w:szCs w:val="22"/>
          <w:lang w:bidi="ar"/>
        </w:rPr>
        <w:t>投标报名表</w:t>
      </w:r>
    </w:p>
    <w:p>
      <w:pPr>
        <w:ind w:firstLine="120" w:firstLineChars="50"/>
        <w:rPr>
          <w:sz w:val="24"/>
          <w:szCs w:val="22"/>
        </w:rPr>
      </w:pPr>
      <w:r>
        <w:rPr>
          <w:rFonts w:hint="eastAsia" w:ascii="Calibri" w:hAnsi="Calibri" w:eastAsia="宋体" w:cs="宋体"/>
          <w:sz w:val="24"/>
          <w:szCs w:val="22"/>
          <w:lang w:bidi="ar"/>
        </w:rPr>
        <w:t>公章：</w:t>
      </w:r>
    </w:p>
    <w:tbl>
      <w:tblPr>
        <w:tblStyle w:val="1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项目名称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ascii="宋体" w:hAnsi="Courier New"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投标单位</w:t>
            </w:r>
          </w:p>
          <w:p>
            <w:pPr>
              <w:jc w:val="center"/>
              <w:rPr>
                <w:sz w:val="24"/>
                <w:szCs w:val="22"/>
              </w:rPr>
            </w:pPr>
            <w:r>
              <w:rPr>
                <w:rFonts w:hint="eastAsia" w:ascii="Calibri" w:hAnsi="Calibri" w:eastAsia="宋体" w:cs="宋体"/>
                <w:sz w:val="24"/>
                <w:szCs w:val="22"/>
                <w:lang w:bidi="ar"/>
              </w:rPr>
              <w:t>（全称）</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投标内容</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项目负责人</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联系电话</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公司电话</w:t>
            </w:r>
          </w:p>
        </w:tc>
        <w:tc>
          <w:tcPr>
            <w:tcW w:w="25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p>
            <w:pPr>
              <w:jc w:val="center"/>
              <w:rPr>
                <w:sz w:val="24"/>
                <w:szCs w:val="22"/>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传真</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ascii="Calibri" w:hAnsi="Calibri" w:eastAsia="宋体" w:cs="Times New Roman"/>
                <w:sz w:val="24"/>
                <w:szCs w:val="22"/>
                <w:lang w:bidi="ar"/>
              </w:rPr>
              <w:t>E-mail</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报名时间</w:t>
            </w:r>
          </w:p>
        </w:tc>
        <w:tc>
          <w:tcPr>
            <w:tcW w:w="7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szCs w:val="22"/>
              </w:rPr>
            </w:pPr>
            <w:r>
              <w:rPr>
                <w:rFonts w:hint="eastAsia" w:ascii="Calibri" w:hAnsi="Calibri" w:eastAsia="宋体" w:cs="宋体"/>
                <w:sz w:val="24"/>
                <w:szCs w:val="22"/>
                <w:lang w:bidi="ar"/>
              </w:rPr>
              <w:t>年</w:t>
            </w:r>
            <w:r>
              <w:rPr>
                <w:rFonts w:ascii="Calibri" w:hAnsi="Calibri" w:eastAsia="宋体" w:cs="Times New Roman"/>
                <w:sz w:val="24"/>
                <w:szCs w:val="22"/>
                <w:lang w:bidi="ar"/>
              </w:rPr>
              <w:t xml:space="preserve">    </w:t>
            </w:r>
            <w:r>
              <w:rPr>
                <w:rFonts w:hint="eastAsia" w:ascii="Calibri" w:hAnsi="Calibri" w:eastAsia="宋体" w:cs="宋体"/>
                <w:sz w:val="24"/>
                <w:szCs w:val="22"/>
                <w:lang w:bidi="ar"/>
              </w:rPr>
              <w:t>月</w:t>
            </w:r>
            <w:r>
              <w:rPr>
                <w:rFonts w:ascii="Calibri" w:hAnsi="Calibri" w:eastAsia="宋体" w:cs="Times New Roman"/>
                <w:sz w:val="24"/>
                <w:szCs w:val="22"/>
                <w:lang w:bidi="ar"/>
              </w:rPr>
              <w:t xml:space="preserve">    </w:t>
            </w:r>
            <w:r>
              <w:rPr>
                <w:rFonts w:hint="eastAsia" w:ascii="Calibri" w:hAnsi="Calibri" w:eastAsia="宋体" w:cs="宋体"/>
                <w:sz w:val="24"/>
                <w:szCs w:val="22"/>
                <w:lang w:bidi="ar"/>
              </w:rPr>
              <w:t>日</w:t>
            </w:r>
          </w:p>
        </w:tc>
      </w:tr>
    </w:tbl>
    <w:p>
      <w:pPr>
        <w:ind w:left="470" w:right="69" w:rightChars="33" w:hanging="470" w:hangingChars="196"/>
        <w:rPr>
          <w:rFonts w:ascii="宋体" w:hAnsi="宋体" w:eastAsia="宋体" w:cs="宋体"/>
          <w:sz w:val="24"/>
          <w:szCs w:val="22"/>
        </w:rPr>
      </w:pPr>
      <w:r>
        <w:rPr>
          <w:rFonts w:hint="eastAsia" w:ascii="宋体" w:hAnsi="宋体" w:eastAsia="宋体" w:cs="宋体"/>
          <w:sz w:val="24"/>
          <w:szCs w:val="22"/>
          <w:lang w:bidi="ar"/>
        </w:rPr>
        <w:t>注：请投标单位认真填写并加盖公章，并于规定时间前回传邮箱并打电话确认</w:t>
      </w:r>
    </w:p>
    <w:p>
      <w:pPr>
        <w:ind w:left="470" w:right="69" w:rightChars="33" w:hanging="470" w:hangingChars="196"/>
        <w:rPr>
          <w:rFonts w:ascii="宋体" w:hAnsi="宋体" w:eastAsia="宋体" w:cs="宋体"/>
          <w:sz w:val="24"/>
          <w:szCs w:val="22"/>
        </w:rPr>
      </w:pPr>
      <w:r>
        <w:rPr>
          <w:rFonts w:hint="eastAsia" w:ascii="宋体" w:hAnsi="宋体" w:eastAsia="宋体" w:cs="宋体"/>
          <w:sz w:val="24"/>
          <w:szCs w:val="22"/>
          <w:lang w:bidi="ar"/>
        </w:rPr>
        <w:t>15562567081 林海峰 。</w:t>
      </w:r>
    </w:p>
    <w:p/>
    <w:p/>
    <w:sectPr>
      <w:pgSz w:w="12242" w:h="15842"/>
      <w:pgMar w:top="1418" w:right="1752" w:bottom="1135" w:left="1418" w:header="737" w:footer="431" w:gutter="357"/>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PowerPlusWaterMarkObject99723399" o:spid="_x0000_s4097" o:spt="136" type="#_x0000_t136" style="position:absolute;left:0pt;margin-left:565.85pt;margin-top:177.9pt;height:10pt;width:94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713294" o:spid="_x0000_s4098" o:spt="136" type="#_x0000_t136" style="position:absolute;left:0pt;margin-left:484.55pt;margin-top:259.2pt;height:10pt;width:94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695561" o:spid="_x0000_s4099" o:spt="136" type="#_x0000_t136" style="position:absolute;left:0pt;margin-left:403.25pt;margin-top:340.55pt;height:10pt;width:94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660676" o:spid="_x0000_s4100" o:spt="136" type="#_x0000_t136" style="position:absolute;left:0pt;margin-left:321.9pt;margin-top:421.85pt;height:10pt;width:94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621770" o:spid="_x0000_s4101" o:spt="136" type="#_x0000_t136" style="position:absolute;left:0pt;margin-left:240.6pt;margin-top:503.15pt;height:10pt;width:94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604967" o:spid="_x0000_s4102" o:spt="136" type="#_x0000_t136" style="position:absolute;left:0pt;margin-left:159.3pt;margin-top:584.5pt;height:10pt;width:94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570300" o:spid="_x0000_s4103" o:spt="136" type="#_x0000_t136" style="position:absolute;left:0pt;margin-left:77.95pt;margin-top:665.8pt;height:10pt;width:94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546809" o:spid="_x0000_s4104" o:spt="136" type="#_x0000_t136" style="position:absolute;left:0pt;margin-left:-3.35pt;margin-top:747.1pt;height:10pt;width:94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525938" o:spid="_x0000_s4105" o:spt="136" type="#_x0000_t136" style="position:absolute;left:0pt;margin-left:-84.65pt;margin-top:828.45pt;height:10pt;width:94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513363" o:spid="_x0000_s4106" o:spt="136" type="#_x0000_t136" style="position:absolute;left:0pt;margin-left:565.85pt;margin-top:-290.15pt;height:10pt;width:94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502733" o:spid="_x0000_s4107" o:spt="136" type="#_x0000_t136" style="position:absolute;left:0pt;margin-left:484.55pt;margin-top:-208.85pt;height:10pt;width:94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492559" o:spid="_x0000_s4108" o:spt="136" type="#_x0000_t136" style="position:absolute;left:0pt;margin-left:403.25pt;margin-top:-127.55pt;height:10pt;width:94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482492" o:spid="_x0000_s4109" o:spt="136" type="#_x0000_t136" style="position:absolute;left:0pt;margin-left:321.9pt;margin-top:-46.2pt;height:10pt;width:94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464768" o:spid="_x0000_s4110" o:spt="136" type="#_x0000_t136" style="position:absolute;left:0pt;margin-left:240.6pt;margin-top:35.1pt;height:10pt;width:94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452931" o:spid="_x0000_s4111" o:spt="136" type="#_x0000_t136" style="position:absolute;left:0pt;margin-left:159.3pt;margin-top:116.4pt;height:10pt;width:94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419428" o:spid="_x0000_s4112" o:spt="136" type="#_x0000_t136" style="position:absolute;left:0pt;margin-left:77.95pt;margin-top:197.75pt;height:10pt;width:94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388528" o:spid="_x0000_s4113" o:spt="136" type="#_x0000_t136" style="position:absolute;left:0pt;margin-left:-3.35pt;margin-top:279.05pt;height:10pt;width:94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r>
      <w:rPr>
        <w:sz w:val="18"/>
      </w:rPr>
      <w:pict>
        <v:shape id="PowerPlusWaterMarkObject99365920" o:spid="_x0000_s4114" o:spt="136" type="#_x0000_t136" style="position:absolute;left:0pt;margin-left:-84.65pt;margin-top:360.4pt;height:10pt;width:94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林海峰0723962022-03-11" style="font-family:微软雅黑;font-size:1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1C38"/>
    <w:multiLevelType w:val="multilevel"/>
    <w:tmpl w:val="8CC61C3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A2F88E4"/>
    <w:multiLevelType w:val="singleLevel"/>
    <w:tmpl w:val="AA2F88E4"/>
    <w:lvl w:ilvl="0" w:tentative="0">
      <w:start w:val="1"/>
      <w:numFmt w:val="decimal"/>
      <w:lvlText w:val="%1)"/>
      <w:lvlJc w:val="left"/>
      <w:pPr>
        <w:tabs>
          <w:tab w:val="left" w:pos="312"/>
        </w:tabs>
      </w:pPr>
    </w:lvl>
  </w:abstractNum>
  <w:abstractNum w:abstractNumId="2">
    <w:nsid w:val="B69BB3B5"/>
    <w:multiLevelType w:val="multilevel"/>
    <w:tmpl w:val="B69BB3B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173A9D4"/>
    <w:multiLevelType w:val="multilevel"/>
    <w:tmpl w:val="F173A9D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FFFFF83"/>
    <w:multiLevelType w:val="singleLevel"/>
    <w:tmpl w:val="FFFFFF83"/>
    <w:lvl w:ilvl="0" w:tentative="0">
      <w:start w:val="1"/>
      <w:numFmt w:val="bullet"/>
      <w:pStyle w:val="37"/>
      <w:lvlText w:val=""/>
      <w:lvlJc w:val="left"/>
      <w:pPr>
        <w:tabs>
          <w:tab w:val="left" w:pos="840"/>
        </w:tabs>
        <w:ind w:left="840" w:hanging="420"/>
      </w:pPr>
      <w:rPr>
        <w:rFonts w:hint="default" w:ascii="Wingdings" w:hAnsi="Wingdings"/>
      </w:rPr>
    </w:lvl>
  </w:abstractNum>
  <w:abstractNum w:abstractNumId="5">
    <w:nsid w:val="00000004"/>
    <w:multiLevelType w:val="multilevel"/>
    <w:tmpl w:val="00000004"/>
    <w:lvl w:ilvl="0" w:tentative="0">
      <w:start w:val="1"/>
      <w:numFmt w:val="decimal"/>
      <w:lvlText w:val="%1)"/>
      <w:lvlJc w:val="left"/>
      <w:pPr>
        <w:ind w:left="840" w:hanging="360"/>
      </w:pPr>
      <w:rPr>
        <w:rFonts w:hint="default" w:ascii="Times New Roman"/>
      </w:rPr>
    </w:lvl>
    <w:lvl w:ilvl="1" w:tentative="0">
      <w:start w:val="1"/>
      <w:numFmt w:val="lowerLetter"/>
      <w:lvlText w:val="%2)"/>
      <w:lvlJc w:val="left"/>
      <w:pPr>
        <w:ind w:left="1320" w:hanging="420"/>
      </w:pPr>
      <w:rPr>
        <w:rFonts w:hint="default" w:ascii="Times New Roman"/>
      </w:rPr>
    </w:lvl>
    <w:lvl w:ilvl="2" w:tentative="0">
      <w:start w:val="1"/>
      <w:numFmt w:val="lowerRoman"/>
      <w:lvlText w:val="%3."/>
      <w:lvlJc w:val="right"/>
      <w:pPr>
        <w:ind w:left="1740" w:hanging="420"/>
      </w:pPr>
      <w:rPr>
        <w:rFonts w:hint="default" w:ascii="Times New Roman"/>
      </w:rPr>
    </w:lvl>
    <w:lvl w:ilvl="3" w:tentative="0">
      <w:start w:val="1"/>
      <w:numFmt w:val="decimal"/>
      <w:lvlText w:val="%4."/>
      <w:lvlJc w:val="left"/>
      <w:pPr>
        <w:ind w:left="2160" w:hanging="420"/>
      </w:pPr>
      <w:rPr>
        <w:rFonts w:hint="default" w:ascii="Times New Roman"/>
      </w:rPr>
    </w:lvl>
    <w:lvl w:ilvl="4" w:tentative="0">
      <w:start w:val="1"/>
      <w:numFmt w:val="lowerLetter"/>
      <w:lvlText w:val="%5)"/>
      <w:lvlJc w:val="left"/>
      <w:pPr>
        <w:ind w:left="2580" w:hanging="420"/>
      </w:pPr>
      <w:rPr>
        <w:rFonts w:hint="default" w:ascii="Times New Roman"/>
      </w:rPr>
    </w:lvl>
    <w:lvl w:ilvl="5" w:tentative="0">
      <w:start w:val="1"/>
      <w:numFmt w:val="lowerRoman"/>
      <w:lvlText w:val="%6."/>
      <w:lvlJc w:val="right"/>
      <w:pPr>
        <w:ind w:left="3000" w:hanging="420"/>
      </w:pPr>
      <w:rPr>
        <w:rFonts w:hint="default" w:ascii="Times New Roman"/>
      </w:rPr>
    </w:lvl>
    <w:lvl w:ilvl="6" w:tentative="0">
      <w:start w:val="1"/>
      <w:numFmt w:val="decimal"/>
      <w:lvlText w:val="%7."/>
      <w:lvlJc w:val="left"/>
      <w:pPr>
        <w:ind w:left="3420" w:hanging="420"/>
      </w:pPr>
      <w:rPr>
        <w:rFonts w:hint="default" w:ascii="Times New Roman"/>
      </w:rPr>
    </w:lvl>
    <w:lvl w:ilvl="7" w:tentative="0">
      <w:start w:val="1"/>
      <w:numFmt w:val="lowerLetter"/>
      <w:lvlText w:val="%8)"/>
      <w:lvlJc w:val="left"/>
      <w:pPr>
        <w:ind w:left="3840" w:hanging="420"/>
      </w:pPr>
      <w:rPr>
        <w:rFonts w:hint="default" w:ascii="Times New Roman"/>
      </w:rPr>
    </w:lvl>
    <w:lvl w:ilvl="8" w:tentative="0">
      <w:start w:val="1"/>
      <w:numFmt w:val="lowerRoman"/>
      <w:lvlText w:val="%9."/>
      <w:lvlJc w:val="right"/>
      <w:pPr>
        <w:ind w:left="4260" w:hanging="420"/>
      </w:pPr>
      <w:rPr>
        <w:rFonts w:hint="default" w:ascii="Times New Roman"/>
      </w:rPr>
    </w:lvl>
  </w:abstractNum>
  <w:abstractNum w:abstractNumId="6">
    <w:nsid w:val="00000005"/>
    <w:multiLevelType w:val="multilevel"/>
    <w:tmpl w:val="00000005"/>
    <w:lvl w:ilvl="0" w:tentative="0">
      <w:start w:val="1"/>
      <w:numFmt w:val="decimal"/>
      <w:lvlText w:val="%1)"/>
      <w:lvlJc w:val="left"/>
      <w:pPr>
        <w:ind w:left="840" w:hanging="360"/>
      </w:pPr>
      <w:rPr>
        <w:rFonts w:hint="default" w:ascii="Times New Roman"/>
      </w:rPr>
    </w:lvl>
    <w:lvl w:ilvl="1" w:tentative="0">
      <w:start w:val="1"/>
      <w:numFmt w:val="lowerLetter"/>
      <w:lvlText w:val="%2)"/>
      <w:lvlJc w:val="left"/>
      <w:pPr>
        <w:ind w:left="1320" w:hanging="420"/>
      </w:pPr>
      <w:rPr>
        <w:rFonts w:hint="default" w:ascii="Times New Roman"/>
      </w:rPr>
    </w:lvl>
    <w:lvl w:ilvl="2" w:tentative="0">
      <w:start w:val="1"/>
      <w:numFmt w:val="lowerRoman"/>
      <w:lvlText w:val="%3."/>
      <w:lvlJc w:val="right"/>
      <w:pPr>
        <w:ind w:left="1740" w:hanging="420"/>
      </w:pPr>
      <w:rPr>
        <w:rFonts w:hint="default" w:ascii="Times New Roman"/>
      </w:rPr>
    </w:lvl>
    <w:lvl w:ilvl="3" w:tentative="0">
      <w:start w:val="1"/>
      <w:numFmt w:val="decimal"/>
      <w:lvlText w:val="%4."/>
      <w:lvlJc w:val="left"/>
      <w:pPr>
        <w:ind w:left="2160" w:hanging="420"/>
      </w:pPr>
      <w:rPr>
        <w:rFonts w:hint="default" w:ascii="Times New Roman"/>
      </w:rPr>
    </w:lvl>
    <w:lvl w:ilvl="4" w:tentative="0">
      <w:start w:val="1"/>
      <w:numFmt w:val="lowerLetter"/>
      <w:lvlText w:val="%5)"/>
      <w:lvlJc w:val="left"/>
      <w:pPr>
        <w:ind w:left="2580" w:hanging="420"/>
      </w:pPr>
      <w:rPr>
        <w:rFonts w:hint="default" w:ascii="Times New Roman"/>
      </w:rPr>
    </w:lvl>
    <w:lvl w:ilvl="5" w:tentative="0">
      <w:start w:val="1"/>
      <w:numFmt w:val="lowerRoman"/>
      <w:lvlText w:val="%6."/>
      <w:lvlJc w:val="right"/>
      <w:pPr>
        <w:ind w:left="3000" w:hanging="420"/>
      </w:pPr>
      <w:rPr>
        <w:rFonts w:hint="default" w:ascii="Times New Roman"/>
      </w:rPr>
    </w:lvl>
    <w:lvl w:ilvl="6" w:tentative="0">
      <w:start w:val="1"/>
      <w:numFmt w:val="decimal"/>
      <w:lvlText w:val="%7."/>
      <w:lvlJc w:val="left"/>
      <w:pPr>
        <w:ind w:left="3420" w:hanging="420"/>
      </w:pPr>
      <w:rPr>
        <w:rFonts w:hint="default" w:ascii="Times New Roman"/>
      </w:rPr>
    </w:lvl>
    <w:lvl w:ilvl="7" w:tentative="0">
      <w:start w:val="1"/>
      <w:numFmt w:val="lowerLetter"/>
      <w:lvlText w:val="%8)"/>
      <w:lvlJc w:val="left"/>
      <w:pPr>
        <w:ind w:left="3840" w:hanging="420"/>
      </w:pPr>
      <w:rPr>
        <w:rFonts w:hint="default" w:ascii="Times New Roman"/>
      </w:rPr>
    </w:lvl>
    <w:lvl w:ilvl="8" w:tentative="0">
      <w:start w:val="1"/>
      <w:numFmt w:val="lowerRoman"/>
      <w:lvlText w:val="%9."/>
      <w:lvlJc w:val="right"/>
      <w:pPr>
        <w:ind w:left="4260" w:hanging="420"/>
      </w:pPr>
      <w:rPr>
        <w:rFonts w:hint="default" w:ascii="Times New Roman"/>
      </w:rPr>
    </w:lvl>
  </w:abstractNum>
  <w:abstractNum w:abstractNumId="7">
    <w:nsid w:val="00000008"/>
    <w:multiLevelType w:val="multilevel"/>
    <w:tmpl w:val="00000008"/>
    <w:lvl w:ilvl="0" w:tentative="0">
      <w:start w:val="1"/>
      <w:numFmt w:val="decimal"/>
      <w:lvlText w:val="%1)"/>
      <w:lvlJc w:val="left"/>
      <w:pPr>
        <w:ind w:left="840" w:hanging="360"/>
      </w:pPr>
      <w:rPr>
        <w:rFonts w:hint="default" w:ascii="Times New Roman"/>
      </w:rPr>
    </w:lvl>
    <w:lvl w:ilvl="1" w:tentative="0">
      <w:start w:val="1"/>
      <w:numFmt w:val="lowerLetter"/>
      <w:lvlText w:val="%2)"/>
      <w:lvlJc w:val="left"/>
      <w:pPr>
        <w:ind w:left="1320" w:hanging="420"/>
      </w:pPr>
      <w:rPr>
        <w:rFonts w:hint="default" w:ascii="Times New Roman"/>
      </w:rPr>
    </w:lvl>
    <w:lvl w:ilvl="2" w:tentative="0">
      <w:start w:val="1"/>
      <w:numFmt w:val="lowerRoman"/>
      <w:lvlText w:val="%3."/>
      <w:lvlJc w:val="right"/>
      <w:pPr>
        <w:ind w:left="1740" w:hanging="420"/>
      </w:pPr>
      <w:rPr>
        <w:rFonts w:hint="default" w:ascii="Times New Roman"/>
      </w:rPr>
    </w:lvl>
    <w:lvl w:ilvl="3" w:tentative="0">
      <w:start w:val="1"/>
      <w:numFmt w:val="decimal"/>
      <w:lvlText w:val="%4."/>
      <w:lvlJc w:val="left"/>
      <w:pPr>
        <w:ind w:left="2160" w:hanging="420"/>
      </w:pPr>
      <w:rPr>
        <w:rFonts w:hint="default" w:ascii="Times New Roman"/>
      </w:rPr>
    </w:lvl>
    <w:lvl w:ilvl="4" w:tentative="0">
      <w:start w:val="1"/>
      <w:numFmt w:val="lowerLetter"/>
      <w:lvlText w:val="%5)"/>
      <w:lvlJc w:val="left"/>
      <w:pPr>
        <w:ind w:left="2580" w:hanging="420"/>
      </w:pPr>
      <w:rPr>
        <w:rFonts w:hint="default" w:ascii="Times New Roman"/>
      </w:rPr>
    </w:lvl>
    <w:lvl w:ilvl="5" w:tentative="0">
      <w:start w:val="1"/>
      <w:numFmt w:val="lowerRoman"/>
      <w:lvlText w:val="%6."/>
      <w:lvlJc w:val="right"/>
      <w:pPr>
        <w:ind w:left="3000" w:hanging="420"/>
      </w:pPr>
      <w:rPr>
        <w:rFonts w:hint="default" w:ascii="Times New Roman"/>
      </w:rPr>
    </w:lvl>
    <w:lvl w:ilvl="6" w:tentative="0">
      <w:start w:val="1"/>
      <w:numFmt w:val="decimal"/>
      <w:lvlText w:val="%7."/>
      <w:lvlJc w:val="left"/>
      <w:pPr>
        <w:ind w:left="3420" w:hanging="420"/>
      </w:pPr>
      <w:rPr>
        <w:rFonts w:hint="default" w:ascii="Times New Roman"/>
      </w:rPr>
    </w:lvl>
    <w:lvl w:ilvl="7" w:tentative="0">
      <w:start w:val="1"/>
      <w:numFmt w:val="lowerLetter"/>
      <w:lvlText w:val="%8)"/>
      <w:lvlJc w:val="left"/>
      <w:pPr>
        <w:ind w:left="3840" w:hanging="420"/>
      </w:pPr>
      <w:rPr>
        <w:rFonts w:hint="default" w:ascii="Times New Roman"/>
      </w:rPr>
    </w:lvl>
    <w:lvl w:ilvl="8" w:tentative="0">
      <w:start w:val="1"/>
      <w:numFmt w:val="lowerRoman"/>
      <w:lvlText w:val="%9."/>
      <w:lvlJc w:val="right"/>
      <w:pPr>
        <w:ind w:left="4260" w:hanging="420"/>
      </w:pPr>
      <w:rPr>
        <w:rFonts w:hint="default" w:ascii="Times New Roman"/>
      </w:rPr>
    </w:lvl>
  </w:abstractNum>
  <w:abstractNum w:abstractNumId="8">
    <w:nsid w:val="03557F80"/>
    <w:multiLevelType w:val="multilevel"/>
    <w:tmpl w:val="03557F80"/>
    <w:lvl w:ilvl="0" w:tentative="0">
      <w:start w:val="1"/>
      <w:numFmt w:val="decimal"/>
      <w:lvlText w:val="%1)"/>
      <w:lvlJc w:val="left"/>
      <w:pPr>
        <w:tabs>
          <w:tab w:val="left" w:pos="0"/>
        </w:tabs>
        <w:ind w:left="480" w:firstLine="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B484B8C"/>
    <w:multiLevelType w:val="multilevel"/>
    <w:tmpl w:val="1B484B8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23876ECF"/>
    <w:multiLevelType w:val="multilevel"/>
    <w:tmpl w:val="23876ECF"/>
    <w:lvl w:ilvl="0" w:tentative="0">
      <w:start w:val="1"/>
      <w:numFmt w:val="decimal"/>
      <w:lvlText w:val="（%1）"/>
      <w:lvlJc w:val="left"/>
      <w:pPr>
        <w:tabs>
          <w:tab w:val="left" w:pos="692"/>
        </w:tabs>
        <w:ind w:left="692" w:hanging="720"/>
      </w:p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abstractNum w:abstractNumId="11">
    <w:nsid w:val="484A1381"/>
    <w:multiLevelType w:val="multilevel"/>
    <w:tmpl w:val="484A1381"/>
    <w:lvl w:ilvl="0" w:tentative="0">
      <w:start w:val="1"/>
      <w:numFmt w:val="bullet"/>
      <w:pStyle w:val="39"/>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2">
    <w:nsid w:val="4BC92AD0"/>
    <w:multiLevelType w:val="multilevel"/>
    <w:tmpl w:val="4BC92AD0"/>
    <w:lvl w:ilvl="0" w:tentative="0">
      <w:start w:val="1"/>
      <w:numFmt w:val="decimal"/>
      <w:lvlText w:val="%1)"/>
      <w:lvlJc w:val="left"/>
      <w:pPr>
        <w:tabs>
          <w:tab w:val="left" w:pos="0"/>
        </w:tabs>
        <w:ind w:left="480" w:firstLine="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5A29D1C2"/>
    <w:multiLevelType w:val="multilevel"/>
    <w:tmpl w:val="5A29D1C2"/>
    <w:lvl w:ilvl="0" w:tentative="0">
      <w:start w:val="1"/>
      <w:numFmt w:val="decimal"/>
      <w:pStyle w:val="22"/>
      <w:isLgl/>
      <w:suff w:val="space"/>
      <w:lvlText w:val="%1"/>
      <w:lvlJc w:val="left"/>
      <w:pPr>
        <w:ind w:left="0" w:firstLine="0"/>
      </w:pPr>
    </w:lvl>
    <w:lvl w:ilvl="1" w:tentative="0">
      <w:start w:val="1"/>
      <w:numFmt w:val="decimal"/>
      <w:pStyle w:val="24"/>
      <w:isLgl/>
      <w:suff w:val="space"/>
      <w:lvlText w:val="%1.%2"/>
      <w:lvlJc w:val="left"/>
      <w:pPr>
        <w:ind w:left="0" w:firstLine="0"/>
      </w:pPr>
    </w:lvl>
    <w:lvl w:ilvl="2" w:tentative="0">
      <w:start w:val="1"/>
      <w:numFmt w:val="decimal"/>
      <w:pStyle w:val="29"/>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14">
    <w:nsid w:val="62354D31"/>
    <w:multiLevelType w:val="multilevel"/>
    <w:tmpl w:val="62354D31"/>
    <w:lvl w:ilvl="0" w:tentative="0">
      <w:start w:val="1"/>
      <w:numFmt w:val="decimal"/>
      <w:lvlText w:val="%1)"/>
      <w:lvlJc w:val="left"/>
      <w:pPr>
        <w:tabs>
          <w:tab w:val="left" w:pos="0"/>
        </w:tabs>
        <w:ind w:left="480" w:firstLine="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5">
    <w:nsid w:val="67DA3168"/>
    <w:multiLevelType w:val="singleLevel"/>
    <w:tmpl w:val="67DA3168"/>
    <w:lvl w:ilvl="0" w:tentative="0">
      <w:start w:val="1"/>
      <w:numFmt w:val="decimal"/>
      <w:suff w:val="nothing"/>
      <w:lvlText w:val="（%1）"/>
      <w:lvlJc w:val="left"/>
    </w:lvl>
  </w:abstractNum>
  <w:abstractNum w:abstractNumId="16">
    <w:nsid w:val="7830C845"/>
    <w:multiLevelType w:val="multilevel"/>
    <w:tmpl w:val="7830C845"/>
    <w:lvl w:ilvl="0" w:tentative="0">
      <w:start w:val="1"/>
      <w:numFmt w:val="decimal"/>
      <w:pStyle w:val="25"/>
      <w:lvlText w:val="%1）"/>
      <w:lvlJc w:val="left"/>
      <w:pPr>
        <w:ind w:left="420" w:hanging="420"/>
      </w:pPr>
      <w:rPr>
        <w:rFonts w:hint="eastAsia" w:ascii="Times New Roman" w:hAnsi="Times New Roman" w:eastAsia="宋体" w:cs="Times New Roman"/>
        <w:b w:val="0"/>
        <w:bCs/>
      </w:rPr>
    </w:lvl>
    <w:lvl w:ilvl="1" w:tentative="0">
      <w:start w:val="1"/>
      <w:numFmt w:val="decimal"/>
      <w:lvlText w:val="%2)"/>
      <w:lvlJc w:val="left"/>
      <w:pPr>
        <w:tabs>
          <w:tab w:val="left" w:pos="693"/>
        </w:tabs>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 w:numId="2">
    <w:abstractNumId w:val="13"/>
  </w:num>
  <w:num w:numId="3">
    <w:abstractNumId w:val="16"/>
  </w:num>
  <w:num w:numId="4">
    <w:abstractNumId w:val="4"/>
  </w:num>
  <w:num w:numId="5">
    <w:abstractNumId w:val="11"/>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6"/>
  </w:num>
  <w:num w:numId="23">
    <w:abstractNumId w:val="5"/>
  </w:num>
  <w:num w:numId="24">
    <w:abstractNumId w:val="7"/>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红娜">
    <w15:presenceInfo w15:providerId="None" w15:userId="庞红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5D"/>
    <w:rsid w:val="00002EA9"/>
    <w:rsid w:val="00005B11"/>
    <w:rsid w:val="00093480"/>
    <w:rsid w:val="000B05C4"/>
    <w:rsid w:val="001F0725"/>
    <w:rsid w:val="001F3503"/>
    <w:rsid w:val="00245D36"/>
    <w:rsid w:val="002C01A6"/>
    <w:rsid w:val="002F675D"/>
    <w:rsid w:val="003063BE"/>
    <w:rsid w:val="0033366D"/>
    <w:rsid w:val="00385C01"/>
    <w:rsid w:val="003D16E3"/>
    <w:rsid w:val="003F165C"/>
    <w:rsid w:val="00432C5D"/>
    <w:rsid w:val="004577D4"/>
    <w:rsid w:val="004631F6"/>
    <w:rsid w:val="004B292A"/>
    <w:rsid w:val="005869F2"/>
    <w:rsid w:val="005D231D"/>
    <w:rsid w:val="005E7379"/>
    <w:rsid w:val="00631861"/>
    <w:rsid w:val="0063220A"/>
    <w:rsid w:val="00673DF7"/>
    <w:rsid w:val="006F30A6"/>
    <w:rsid w:val="0076612A"/>
    <w:rsid w:val="007C6AF0"/>
    <w:rsid w:val="007E76B0"/>
    <w:rsid w:val="00835EC8"/>
    <w:rsid w:val="00856FFC"/>
    <w:rsid w:val="00860C19"/>
    <w:rsid w:val="0086686E"/>
    <w:rsid w:val="00951ECF"/>
    <w:rsid w:val="00985636"/>
    <w:rsid w:val="009A18D6"/>
    <w:rsid w:val="009A464C"/>
    <w:rsid w:val="00A455B9"/>
    <w:rsid w:val="00AB69E8"/>
    <w:rsid w:val="00AC3475"/>
    <w:rsid w:val="00AF77B0"/>
    <w:rsid w:val="00BF0080"/>
    <w:rsid w:val="00C42622"/>
    <w:rsid w:val="00C50614"/>
    <w:rsid w:val="00C657DF"/>
    <w:rsid w:val="00C93177"/>
    <w:rsid w:val="00D10127"/>
    <w:rsid w:val="00D4464F"/>
    <w:rsid w:val="00D921CA"/>
    <w:rsid w:val="00DA12F0"/>
    <w:rsid w:val="00E04BF4"/>
    <w:rsid w:val="00E07715"/>
    <w:rsid w:val="00E23E96"/>
    <w:rsid w:val="00F10BD1"/>
    <w:rsid w:val="00F177C3"/>
    <w:rsid w:val="00F37CB8"/>
    <w:rsid w:val="00F47697"/>
    <w:rsid w:val="00F53890"/>
    <w:rsid w:val="019131DF"/>
    <w:rsid w:val="019F7F0D"/>
    <w:rsid w:val="01AA1F3B"/>
    <w:rsid w:val="0206405D"/>
    <w:rsid w:val="02A75254"/>
    <w:rsid w:val="0339336B"/>
    <w:rsid w:val="03582A2F"/>
    <w:rsid w:val="04500273"/>
    <w:rsid w:val="04745FA3"/>
    <w:rsid w:val="04C87E99"/>
    <w:rsid w:val="055F47E9"/>
    <w:rsid w:val="05ED192F"/>
    <w:rsid w:val="05F964B6"/>
    <w:rsid w:val="068D05E2"/>
    <w:rsid w:val="06AF01FC"/>
    <w:rsid w:val="07DD4172"/>
    <w:rsid w:val="07EE7229"/>
    <w:rsid w:val="090B3EEA"/>
    <w:rsid w:val="0AB43D5B"/>
    <w:rsid w:val="0B2C0309"/>
    <w:rsid w:val="0B3740F8"/>
    <w:rsid w:val="0BCE4380"/>
    <w:rsid w:val="0C6B6F8A"/>
    <w:rsid w:val="0C814341"/>
    <w:rsid w:val="0CAF6E85"/>
    <w:rsid w:val="0D605C28"/>
    <w:rsid w:val="0D6B2AA9"/>
    <w:rsid w:val="0D793E0E"/>
    <w:rsid w:val="0D822AB0"/>
    <w:rsid w:val="0DE273B6"/>
    <w:rsid w:val="0E0F532C"/>
    <w:rsid w:val="0E1B5751"/>
    <w:rsid w:val="0E5B6B52"/>
    <w:rsid w:val="0E780E62"/>
    <w:rsid w:val="0F9577A9"/>
    <w:rsid w:val="0FBB6B5E"/>
    <w:rsid w:val="0FBF509E"/>
    <w:rsid w:val="10734415"/>
    <w:rsid w:val="11B02222"/>
    <w:rsid w:val="13106464"/>
    <w:rsid w:val="13422AD2"/>
    <w:rsid w:val="13C20F92"/>
    <w:rsid w:val="16942980"/>
    <w:rsid w:val="16BC1BF3"/>
    <w:rsid w:val="16D74A14"/>
    <w:rsid w:val="181158ED"/>
    <w:rsid w:val="186E7DBB"/>
    <w:rsid w:val="191C1DC1"/>
    <w:rsid w:val="19207597"/>
    <w:rsid w:val="19350880"/>
    <w:rsid w:val="19843882"/>
    <w:rsid w:val="19AE53DB"/>
    <w:rsid w:val="19CC39E8"/>
    <w:rsid w:val="19D93827"/>
    <w:rsid w:val="1ADA596D"/>
    <w:rsid w:val="1BBA1D52"/>
    <w:rsid w:val="1C342A64"/>
    <w:rsid w:val="1C4D5753"/>
    <w:rsid w:val="1C7A7B4F"/>
    <w:rsid w:val="1D1C1C1A"/>
    <w:rsid w:val="1D7E072D"/>
    <w:rsid w:val="1E5B3082"/>
    <w:rsid w:val="1E86080E"/>
    <w:rsid w:val="1EA00AD9"/>
    <w:rsid w:val="1EC235A7"/>
    <w:rsid w:val="1F34066A"/>
    <w:rsid w:val="1FFF3BE3"/>
    <w:rsid w:val="20FE49F6"/>
    <w:rsid w:val="214C0017"/>
    <w:rsid w:val="22164379"/>
    <w:rsid w:val="228504F6"/>
    <w:rsid w:val="244D2189"/>
    <w:rsid w:val="253422A9"/>
    <w:rsid w:val="254779E0"/>
    <w:rsid w:val="25676DBE"/>
    <w:rsid w:val="257E4A14"/>
    <w:rsid w:val="26485BD0"/>
    <w:rsid w:val="26B46CD8"/>
    <w:rsid w:val="27165B00"/>
    <w:rsid w:val="27AD7BA6"/>
    <w:rsid w:val="27C52B45"/>
    <w:rsid w:val="27DF6C86"/>
    <w:rsid w:val="28185C2E"/>
    <w:rsid w:val="28BE3CB3"/>
    <w:rsid w:val="28E1490A"/>
    <w:rsid w:val="28F8481B"/>
    <w:rsid w:val="2AF4322A"/>
    <w:rsid w:val="2B641465"/>
    <w:rsid w:val="2BB14F8D"/>
    <w:rsid w:val="2BEC2EEE"/>
    <w:rsid w:val="2C197B93"/>
    <w:rsid w:val="2C253368"/>
    <w:rsid w:val="2CC13250"/>
    <w:rsid w:val="2D2F2EE8"/>
    <w:rsid w:val="2D5F18A9"/>
    <w:rsid w:val="2D622337"/>
    <w:rsid w:val="2EA618E2"/>
    <w:rsid w:val="2ECE63AB"/>
    <w:rsid w:val="2F7E1844"/>
    <w:rsid w:val="300643AA"/>
    <w:rsid w:val="314B3F09"/>
    <w:rsid w:val="31761D8B"/>
    <w:rsid w:val="324B41D5"/>
    <w:rsid w:val="330E4210"/>
    <w:rsid w:val="339C12B0"/>
    <w:rsid w:val="35081830"/>
    <w:rsid w:val="351251E3"/>
    <w:rsid w:val="35507763"/>
    <w:rsid w:val="364F6A4B"/>
    <w:rsid w:val="366824EF"/>
    <w:rsid w:val="37265680"/>
    <w:rsid w:val="377A588F"/>
    <w:rsid w:val="38005114"/>
    <w:rsid w:val="380324D3"/>
    <w:rsid w:val="39E86309"/>
    <w:rsid w:val="3A284078"/>
    <w:rsid w:val="3A723331"/>
    <w:rsid w:val="3CDC49F1"/>
    <w:rsid w:val="3DFF671E"/>
    <w:rsid w:val="3EE70459"/>
    <w:rsid w:val="3EF04448"/>
    <w:rsid w:val="3F326224"/>
    <w:rsid w:val="3F8C32D8"/>
    <w:rsid w:val="3FE6023D"/>
    <w:rsid w:val="403D3619"/>
    <w:rsid w:val="40D714B4"/>
    <w:rsid w:val="41707AF9"/>
    <w:rsid w:val="41CF6029"/>
    <w:rsid w:val="426757D9"/>
    <w:rsid w:val="42893310"/>
    <w:rsid w:val="42BD4153"/>
    <w:rsid w:val="4303538E"/>
    <w:rsid w:val="445450FA"/>
    <w:rsid w:val="445564DA"/>
    <w:rsid w:val="45282CF3"/>
    <w:rsid w:val="453B11F0"/>
    <w:rsid w:val="45712B47"/>
    <w:rsid w:val="45940C41"/>
    <w:rsid w:val="469126EF"/>
    <w:rsid w:val="47627682"/>
    <w:rsid w:val="476B5E59"/>
    <w:rsid w:val="47C57750"/>
    <w:rsid w:val="485952C3"/>
    <w:rsid w:val="487B14E4"/>
    <w:rsid w:val="4896438E"/>
    <w:rsid w:val="489C4505"/>
    <w:rsid w:val="48A40C82"/>
    <w:rsid w:val="48F164A3"/>
    <w:rsid w:val="498F16C5"/>
    <w:rsid w:val="4A12186A"/>
    <w:rsid w:val="4A387922"/>
    <w:rsid w:val="4A494C33"/>
    <w:rsid w:val="4ABB06E9"/>
    <w:rsid w:val="4B10647C"/>
    <w:rsid w:val="4B617B52"/>
    <w:rsid w:val="4BA47215"/>
    <w:rsid w:val="4BBA7758"/>
    <w:rsid w:val="4C862224"/>
    <w:rsid w:val="4C952A8A"/>
    <w:rsid w:val="4C953970"/>
    <w:rsid w:val="4CD55865"/>
    <w:rsid w:val="4D6D392F"/>
    <w:rsid w:val="4D891BBF"/>
    <w:rsid w:val="4DDC658F"/>
    <w:rsid w:val="51106866"/>
    <w:rsid w:val="52D22A30"/>
    <w:rsid w:val="547A1C20"/>
    <w:rsid w:val="548C2687"/>
    <w:rsid w:val="54B8585F"/>
    <w:rsid w:val="555F6F44"/>
    <w:rsid w:val="55837F80"/>
    <w:rsid w:val="564E4761"/>
    <w:rsid w:val="570861EB"/>
    <w:rsid w:val="572A4D6F"/>
    <w:rsid w:val="584031F5"/>
    <w:rsid w:val="58774EC5"/>
    <w:rsid w:val="59214101"/>
    <w:rsid w:val="593C6178"/>
    <w:rsid w:val="594F7F2E"/>
    <w:rsid w:val="59891B70"/>
    <w:rsid w:val="5A5A0A19"/>
    <w:rsid w:val="5AC05A36"/>
    <w:rsid w:val="5B173AA6"/>
    <w:rsid w:val="5B5D46F9"/>
    <w:rsid w:val="5C6F143B"/>
    <w:rsid w:val="5E3836BA"/>
    <w:rsid w:val="5E5A40EB"/>
    <w:rsid w:val="5E8D7AF8"/>
    <w:rsid w:val="5EE92379"/>
    <w:rsid w:val="5F730854"/>
    <w:rsid w:val="60353EF8"/>
    <w:rsid w:val="607A7559"/>
    <w:rsid w:val="60A57856"/>
    <w:rsid w:val="618B2AAE"/>
    <w:rsid w:val="61F77718"/>
    <w:rsid w:val="631D0537"/>
    <w:rsid w:val="635461AD"/>
    <w:rsid w:val="644C75EB"/>
    <w:rsid w:val="64C05506"/>
    <w:rsid w:val="65233EF3"/>
    <w:rsid w:val="661E3651"/>
    <w:rsid w:val="66A965A5"/>
    <w:rsid w:val="66D72136"/>
    <w:rsid w:val="671515EE"/>
    <w:rsid w:val="67A93C1B"/>
    <w:rsid w:val="67D02065"/>
    <w:rsid w:val="6ACF7251"/>
    <w:rsid w:val="6B0A3441"/>
    <w:rsid w:val="6BD24B3E"/>
    <w:rsid w:val="6BED3B95"/>
    <w:rsid w:val="6C9513E3"/>
    <w:rsid w:val="6DCB6009"/>
    <w:rsid w:val="6FAC2153"/>
    <w:rsid w:val="6FB72F58"/>
    <w:rsid w:val="6FF10391"/>
    <w:rsid w:val="70140BC1"/>
    <w:rsid w:val="71137DB1"/>
    <w:rsid w:val="71156346"/>
    <w:rsid w:val="71CC7AE1"/>
    <w:rsid w:val="728920CD"/>
    <w:rsid w:val="728A12B7"/>
    <w:rsid w:val="72C33128"/>
    <w:rsid w:val="748343DF"/>
    <w:rsid w:val="74E21A17"/>
    <w:rsid w:val="757F1772"/>
    <w:rsid w:val="76BC3DED"/>
    <w:rsid w:val="76E331BD"/>
    <w:rsid w:val="774631C0"/>
    <w:rsid w:val="775E5B42"/>
    <w:rsid w:val="77A74A7F"/>
    <w:rsid w:val="79472150"/>
    <w:rsid w:val="79F3413E"/>
    <w:rsid w:val="7A196EF1"/>
    <w:rsid w:val="7A255E27"/>
    <w:rsid w:val="7B653AC6"/>
    <w:rsid w:val="7C115D98"/>
    <w:rsid w:val="7C37125E"/>
    <w:rsid w:val="7C865796"/>
    <w:rsid w:val="7CD7132B"/>
    <w:rsid w:val="7DC856B3"/>
    <w:rsid w:val="7E183359"/>
    <w:rsid w:val="7E3A0733"/>
    <w:rsid w:val="7E93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5"/>
    <w:semiHidden/>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annotation text"/>
    <w:basedOn w:val="1"/>
    <w:link w:val="33"/>
    <w:semiHidden/>
    <w:unhideWhenUsed/>
    <w:qFormat/>
    <w:uiPriority w:val="99"/>
    <w:pPr>
      <w:jc w:val="left"/>
    </w:pPr>
  </w:style>
  <w:style w:type="paragraph" w:styleId="8">
    <w:name w:val="Body Text"/>
    <w:basedOn w:val="1"/>
    <w:qFormat/>
    <w:uiPriority w:val="0"/>
    <w:pPr>
      <w:widowControl/>
      <w:overflowPunct w:val="0"/>
      <w:autoSpaceDE w:val="0"/>
      <w:autoSpaceDN w:val="0"/>
      <w:adjustRightInd w:val="0"/>
      <w:spacing w:before="120" w:after="120"/>
      <w:ind w:left="2520"/>
      <w:jc w:val="left"/>
    </w:pPr>
    <w:rPr>
      <w:rFonts w:ascii="Book Antiqua" w:hAnsi="Book Antiqua" w:eastAsia="宋体" w:cs="Times New Roman"/>
      <w:kern w:val="0"/>
      <w:sz w:val="20"/>
      <w:szCs w:val="20"/>
    </w:rPr>
  </w:style>
  <w:style w:type="paragraph" w:styleId="9">
    <w:name w:val="toc 3"/>
    <w:basedOn w:val="1"/>
    <w:next w:val="1"/>
    <w:qFormat/>
    <w:uiPriority w:val="39"/>
    <w:pPr>
      <w:ind w:left="420"/>
      <w:jc w:val="left"/>
    </w:pPr>
    <w:rPr>
      <w:rFonts w:ascii="Calibri" w:hAnsi="Calibri" w:eastAsia="宋体" w:cs="Times New Roman"/>
      <w:i/>
      <w:sz w:val="20"/>
      <w:szCs w:val="20"/>
    </w:rPr>
  </w:style>
  <w:style w:type="paragraph" w:styleId="10">
    <w:name w:val="Plain Text"/>
    <w:basedOn w:val="1"/>
    <w:qFormat/>
    <w:uiPriority w:val="0"/>
    <w:rPr>
      <w:rFonts w:hint="eastAsia" w:ascii="宋体" w:hAnsi="Courier New" w:eastAsia="宋体" w:cs="Times New Roman"/>
      <w:szCs w:val="21"/>
    </w:rPr>
  </w:style>
  <w:style w:type="paragraph" w:styleId="11">
    <w:name w:val="footer"/>
    <w:basedOn w:val="1"/>
    <w:link w:val="41"/>
    <w:qFormat/>
    <w:uiPriority w:val="0"/>
    <w:pPr>
      <w:tabs>
        <w:tab w:val="center" w:pos="4153"/>
        <w:tab w:val="right" w:pos="8306"/>
      </w:tabs>
      <w:snapToGrid w:val="0"/>
      <w:jc w:val="left"/>
    </w:pPr>
    <w:rPr>
      <w:sz w:val="18"/>
      <w:szCs w:val="18"/>
    </w:rPr>
  </w:style>
  <w:style w:type="paragraph" w:styleId="12">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eastAsia="宋体" w:cs="Times New Roman"/>
      <w:b/>
      <w:caps/>
      <w:sz w:val="20"/>
      <w:szCs w:val="20"/>
    </w:rPr>
  </w:style>
  <w:style w:type="paragraph" w:styleId="14">
    <w:name w:val="toc 2"/>
    <w:basedOn w:val="1"/>
    <w:next w:val="1"/>
    <w:qFormat/>
    <w:uiPriority w:val="39"/>
    <w:pPr>
      <w:ind w:left="210"/>
      <w:jc w:val="left"/>
    </w:pPr>
    <w:rPr>
      <w:rFonts w:ascii="Calibri" w:hAnsi="Calibri" w:eastAsia="宋体" w:cs="Times New Roman"/>
      <w:smallCaps/>
      <w:sz w:val="20"/>
      <w:szCs w:val="20"/>
    </w:rPr>
  </w:style>
  <w:style w:type="paragraph" w:styleId="15">
    <w:name w:val="Normal (Web)"/>
    <w:basedOn w:val="1"/>
    <w:qFormat/>
    <w:uiPriority w:val="0"/>
    <w:rPr>
      <w:rFonts w:ascii="Calibri" w:hAnsi="Calibri" w:eastAsia="宋体" w:cs="Times New Roman"/>
      <w:sz w:val="24"/>
      <w:szCs w:val="22"/>
    </w:rPr>
  </w:style>
  <w:style w:type="paragraph" w:styleId="16">
    <w:name w:val="annotation subject"/>
    <w:basedOn w:val="7"/>
    <w:next w:val="7"/>
    <w:link w:val="34"/>
    <w:qFormat/>
    <w:uiPriority w:val="0"/>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paragraph" w:customStyle="1" w:styleId="21">
    <w:name w:val="文档正文-1"/>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22">
    <w:name w:val="文档标题1"/>
    <w:basedOn w:val="2"/>
    <w:next w:val="21"/>
    <w:qFormat/>
    <w:uiPriority w:val="0"/>
    <w:pPr>
      <w:pageBreakBefore/>
      <w:numPr>
        <w:numId w:val="2"/>
      </w:numPr>
      <w:pBdr>
        <w:top w:val="single" w:color="auto" w:sz="48" w:space="1"/>
      </w:pBdr>
      <w:spacing w:before="0" w:after="0" w:line="360" w:lineRule="auto"/>
    </w:pPr>
    <w:rPr>
      <w:rFonts w:ascii="Times New Roman" w:hAnsi="Times New Roman" w:eastAsia="宋体" w:cs="Times New Roman"/>
      <w:sz w:val="28"/>
      <w:szCs w:val="44"/>
    </w:rPr>
  </w:style>
  <w:style w:type="character" w:customStyle="1" w:styleId="23">
    <w:name w:val="文档标题2 Char"/>
    <w:basedOn w:val="19"/>
    <w:link w:val="24"/>
    <w:qFormat/>
    <w:uiPriority w:val="0"/>
    <w:rPr>
      <w:rFonts w:ascii="Times New Roman" w:hAnsi="Times New Roman" w:eastAsia="宋体" w:cs="Times New Roman"/>
      <w:sz w:val="28"/>
      <w:szCs w:val="32"/>
    </w:rPr>
  </w:style>
  <w:style w:type="paragraph" w:customStyle="1" w:styleId="24">
    <w:name w:val="文档标题2"/>
    <w:basedOn w:val="3"/>
    <w:next w:val="21"/>
    <w:link w:val="23"/>
    <w:qFormat/>
    <w:uiPriority w:val="0"/>
    <w:pPr>
      <w:numPr>
        <w:numId w:val="2"/>
      </w:numPr>
      <w:spacing w:before="0" w:after="0" w:line="360" w:lineRule="auto"/>
      <w:jc w:val="left"/>
    </w:pPr>
    <w:rPr>
      <w:rFonts w:ascii="Times New Roman" w:hAnsi="Times New Roman" w:eastAsia="宋体" w:cs="Times New Roman"/>
      <w:sz w:val="28"/>
      <w:szCs w:val="32"/>
    </w:rPr>
  </w:style>
  <w:style w:type="paragraph" w:customStyle="1" w:styleId="25">
    <w:name w:val="文档正文一级标题"/>
    <w:basedOn w:val="21"/>
    <w:qFormat/>
    <w:uiPriority w:val="0"/>
    <w:pPr>
      <w:numPr>
        <w:ilvl w:val="0"/>
        <w:numId w:val="3"/>
      </w:numPr>
      <w:ind w:firstLine="0" w:firstLineChars="0"/>
    </w:pPr>
  </w:style>
  <w:style w:type="paragraph" w:customStyle="1" w:styleId="26">
    <w:name w:val="样式 标题 4 + 段前: 5 磅 段后: 5 磅 行距: 单倍行距"/>
    <w:basedOn w:val="6"/>
    <w:qFormat/>
    <w:uiPriority w:val="0"/>
    <w:pPr>
      <w:tabs>
        <w:tab w:val="left" w:pos="780"/>
        <w:tab w:val="left" w:pos="1680"/>
      </w:tabs>
      <w:adjustRightInd w:val="0"/>
      <w:spacing w:before="100" w:after="100"/>
      <w:ind w:left="780" w:leftChars="200" w:hanging="360" w:hangingChars="200"/>
      <w:jc w:val="left"/>
    </w:pPr>
    <w:rPr>
      <w:rFonts w:cs="Times New Roman"/>
      <w:kern w:val="0"/>
      <w:szCs w:val="20"/>
    </w:rPr>
  </w:style>
  <w:style w:type="paragraph" w:customStyle="1" w:styleId="27">
    <w:name w:val="样式 标题 2 + 宋体 五号 非加粗 黑色"/>
    <w:basedOn w:val="3"/>
    <w:qFormat/>
    <w:uiPriority w:val="0"/>
    <w:pPr>
      <w:spacing w:line="416" w:lineRule="atLeast"/>
      <w:jc w:val="left"/>
    </w:pPr>
    <w:rPr>
      <w:rFonts w:cs="Times New Roman"/>
      <w:color w:val="000000"/>
      <w:kern w:val="0"/>
      <w:sz w:val="21"/>
      <w:szCs w:val="32"/>
    </w:rPr>
  </w:style>
  <w:style w:type="paragraph" w:styleId="28">
    <w:name w:val="List Paragraph"/>
    <w:basedOn w:val="1"/>
    <w:qFormat/>
    <w:uiPriority w:val="99"/>
    <w:pPr>
      <w:ind w:firstLine="420" w:firstLineChars="200"/>
    </w:pPr>
  </w:style>
  <w:style w:type="paragraph" w:customStyle="1" w:styleId="29">
    <w:name w:val="文档标题3"/>
    <w:basedOn w:val="4"/>
    <w:next w:val="21"/>
    <w:qFormat/>
    <w:uiPriority w:val="0"/>
    <w:pPr>
      <w:numPr>
        <w:numId w:val="2"/>
      </w:numPr>
      <w:overflowPunct w:val="0"/>
      <w:autoSpaceDE w:val="0"/>
      <w:autoSpaceDN w:val="0"/>
      <w:adjustRightInd w:val="0"/>
      <w:spacing w:before="0" w:after="0" w:line="360" w:lineRule="auto"/>
    </w:pPr>
    <w:rPr>
      <w:rFonts w:ascii="Times New Roman" w:hAnsi="Times New Roman" w:eastAsia="宋体" w:cs="Times New Roman"/>
      <w:sz w:val="28"/>
      <w:szCs w:val="32"/>
    </w:rPr>
  </w:style>
  <w:style w:type="paragraph" w:customStyle="1" w:styleId="30">
    <w:name w:val="正文内容"/>
    <w:basedOn w:val="1"/>
    <w:next w:val="15"/>
    <w:qFormat/>
    <w:uiPriority w:val="0"/>
    <w:pPr>
      <w:spacing w:line="360" w:lineRule="auto"/>
      <w:ind w:firstLine="200" w:firstLineChars="200"/>
    </w:pPr>
    <w:rPr>
      <w:rFonts w:ascii="Times New Roman" w:hAnsi="Times New Roman" w:eastAsia="宋体" w:cs="Times New Roman"/>
      <w:sz w:val="24"/>
    </w:rPr>
  </w:style>
  <w:style w:type="paragraph" w:customStyle="1" w:styleId="31">
    <w:name w:val="1."/>
    <w:basedOn w:val="1"/>
    <w:qFormat/>
    <w:uiPriority w:val="0"/>
    <w:pPr>
      <w:spacing w:line="360" w:lineRule="auto"/>
      <w:ind w:firstLine="200" w:firstLineChars="200"/>
    </w:pPr>
    <w:rPr>
      <w:rFonts w:hint="eastAsia" w:ascii="宋体" w:hAnsi="Times New Roman" w:eastAsia="宋体" w:cs="Times New Roman"/>
      <w:sz w:val="24"/>
    </w:rPr>
  </w:style>
  <w:style w:type="paragraph" w:customStyle="1" w:styleId="32">
    <w:name w:val="Table Paragraph"/>
    <w:basedOn w:val="1"/>
    <w:qFormat/>
    <w:uiPriority w:val="0"/>
    <w:rPr>
      <w:rFonts w:ascii="Calibri" w:hAnsi="Calibri" w:eastAsia="宋体" w:cs="Times New Roman"/>
      <w:szCs w:val="22"/>
    </w:rPr>
  </w:style>
  <w:style w:type="character" w:customStyle="1" w:styleId="33">
    <w:name w:val="批注文字 字符"/>
    <w:basedOn w:val="19"/>
    <w:link w:val="7"/>
    <w:semiHidden/>
    <w:qFormat/>
    <w:uiPriority w:val="99"/>
    <w:rPr>
      <w:kern w:val="2"/>
      <w:sz w:val="21"/>
      <w:szCs w:val="24"/>
    </w:rPr>
  </w:style>
  <w:style w:type="character" w:customStyle="1" w:styleId="34">
    <w:name w:val="批注主题 字符"/>
    <w:basedOn w:val="33"/>
    <w:link w:val="16"/>
    <w:qFormat/>
    <w:uiPriority w:val="0"/>
    <w:rPr>
      <w:b/>
      <w:bCs/>
      <w:kern w:val="2"/>
      <w:sz w:val="21"/>
      <w:szCs w:val="24"/>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潍柴文档正文"/>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37">
    <w:name w:val="彩色列表 - 强调文字颜色 11"/>
    <w:basedOn w:val="1"/>
    <w:qFormat/>
    <w:uiPriority w:val="34"/>
    <w:pPr>
      <w:numPr>
        <w:ilvl w:val="0"/>
        <w:numId w:val="4"/>
      </w:numPr>
      <w:spacing w:line="360" w:lineRule="auto"/>
    </w:pPr>
    <w:rPr>
      <w:rFonts w:ascii="Calibri" w:hAnsi="Calibri" w:eastAsia="宋体" w:cs="Times New Roman"/>
      <w:sz w:val="24"/>
      <w:szCs w:val="22"/>
    </w:rPr>
  </w:style>
  <w:style w:type="paragraph" w:customStyle="1" w:styleId="38">
    <w:name w:val="Info"/>
    <w:basedOn w:val="1"/>
    <w:next w:val="1"/>
    <w:qFormat/>
    <w:uiPriority w:val="0"/>
    <w:pPr>
      <w:widowControl/>
    </w:pPr>
    <w:rPr>
      <w:rFonts w:ascii="Arial" w:hAnsi="Arial" w:eastAsia="宋体" w:cs="Times New Roman"/>
      <w:i/>
      <w:color w:val="0000FF"/>
      <w:kern w:val="0"/>
      <w:sz w:val="20"/>
      <w:szCs w:val="20"/>
      <w:lang w:val="en-GB" w:eastAsia="en-US"/>
    </w:rPr>
  </w:style>
  <w:style w:type="paragraph" w:customStyle="1" w:styleId="39">
    <w:name w:val="潍柴文档正文二级标题"/>
    <w:basedOn w:val="36"/>
    <w:qFormat/>
    <w:uiPriority w:val="0"/>
    <w:pPr>
      <w:numPr>
        <w:ilvl w:val="0"/>
        <w:numId w:val="5"/>
      </w:numPr>
      <w:ind w:left="600" w:leftChars="400" w:hanging="200" w:hangingChars="200"/>
    </w:pPr>
  </w:style>
  <w:style w:type="character" w:customStyle="1" w:styleId="40">
    <w:name w:val="页眉 字符"/>
    <w:basedOn w:val="19"/>
    <w:link w:val="12"/>
    <w:qFormat/>
    <w:uiPriority w:val="0"/>
    <w:rPr>
      <w:rFonts w:asciiTheme="minorHAnsi" w:hAnsiTheme="minorHAnsi" w:eastAsiaTheme="minorEastAsia" w:cstheme="minorBidi"/>
      <w:kern w:val="2"/>
      <w:sz w:val="18"/>
      <w:szCs w:val="18"/>
    </w:rPr>
  </w:style>
  <w:style w:type="character" w:customStyle="1" w:styleId="41">
    <w:name w:val="页脚 字符"/>
    <w:basedOn w:val="19"/>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57</Pages>
  <Words>4465</Words>
  <Characters>25454</Characters>
  <Lines>212</Lines>
  <Paragraphs>59</Paragraphs>
  <TotalTime>5</TotalTime>
  <ScaleCrop>false</ScaleCrop>
  <LinksUpToDate>false</LinksUpToDate>
  <CharactersWithSpaces>29860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2022-03-04T07:23:00Z</dcterms:created>
  <dc:creator>lindanba</dc:creator>
  <cp:lastModifiedBy>lindanba</cp:lastModifiedBy>
  <dcterms:modified xsi:type="dcterms:W3CDTF">2022-03-11T09:27:13Z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EEBD30F8F6DD4067B7D81AE55C3AC20C</vt:lpwstr>
  </property>
</Properties>
</file>