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ind w:right="-48" w:rightChars="-23"/>
        <w:rPr>
          <w:rFonts w:hint="eastAsia" w:ascii="文鼎大标宋简" w:hAnsi="华文中宋" w:eastAsia="文鼎大标宋简"/>
          <w:b/>
          <w:spacing w:val="4"/>
          <w:w w:val="90"/>
          <w:lang w:val="en-US" w:eastAsia="zh-CN"/>
        </w:rPr>
      </w:pPr>
      <w:r>
        <w:rPr>
          <w:rFonts w:hint="eastAsia" w:ascii="文鼎大标宋简" w:hAnsi="华文中宋" w:eastAsia="文鼎大标宋简"/>
          <w:b/>
          <w:spacing w:val="4"/>
          <w:w w:val="90"/>
          <w:lang w:val="en-US" w:eastAsia="zh-CN"/>
        </w:rPr>
        <w:t xml:space="preserve"> </w:t>
      </w:r>
    </w:p>
    <w:p>
      <w:pPr>
        <w:spacing w:line="820" w:lineRule="exact"/>
        <w:ind w:right="-48" w:rightChars="-23"/>
        <w:jc w:val="center"/>
        <w:rPr>
          <w:rFonts w:hint="eastAsia" w:ascii="文鼎大标宋简" w:hAnsi="华文中宋" w:eastAsia="文鼎大标宋简"/>
          <w:b/>
          <w:spacing w:val="4"/>
          <w:w w:val="90"/>
          <w:sz w:val="48"/>
          <w:szCs w:val="48"/>
          <w:lang w:val="en-US" w:eastAsia="zh-CN"/>
        </w:rPr>
      </w:pPr>
      <w:bookmarkStart w:id="0" w:name="_Toc7594"/>
      <w:bookmarkStart w:id="1" w:name="_Toc346372875"/>
      <w:r>
        <w:rPr>
          <w:rFonts w:hint="eastAsia" w:ascii="文鼎大标宋简" w:hAnsi="华文中宋" w:eastAsia="文鼎大标宋简"/>
          <w:b/>
          <w:spacing w:val="4"/>
          <w:w w:val="90"/>
          <w:sz w:val="48"/>
          <w:szCs w:val="48"/>
        </w:rPr>
        <w:t>济南轻卡制造公司皮卡胎压检测标定等生产及检测设备项目</w:t>
      </w:r>
      <w:r>
        <w:rPr>
          <w:rFonts w:hint="eastAsia" w:ascii="文鼎大标宋简" w:hAnsi="华文中宋" w:eastAsia="文鼎大标宋简"/>
          <w:b/>
          <w:spacing w:val="4"/>
          <w:w w:val="90"/>
          <w:sz w:val="48"/>
          <w:szCs w:val="48"/>
          <w:lang w:val="en-US" w:eastAsia="zh-CN"/>
        </w:rPr>
        <w:t>-</w:t>
      </w:r>
    </w:p>
    <w:p>
      <w:pPr>
        <w:spacing w:line="1000" w:lineRule="exact"/>
        <w:ind w:right="-48" w:rightChars="-23"/>
        <w:jc w:val="center"/>
        <w:rPr>
          <w:rFonts w:ascii="文鼎大标宋简" w:hAnsi="华文中宋" w:eastAsia="文鼎大标宋简"/>
          <w:b/>
          <w:spacing w:val="4"/>
          <w:w w:val="90"/>
          <w:sz w:val="48"/>
          <w:szCs w:val="48"/>
        </w:rPr>
      </w:pPr>
      <w:r>
        <w:rPr>
          <w:rFonts w:hint="eastAsia" w:ascii="文鼎大标宋简" w:hAnsi="华文中宋" w:eastAsia="文鼎大标宋简"/>
          <w:b/>
          <w:spacing w:val="4"/>
          <w:w w:val="90"/>
          <w:sz w:val="48"/>
          <w:szCs w:val="48"/>
          <w:lang w:eastAsia="zh-CN"/>
        </w:rPr>
        <w:t>后窗玻璃打胶机</w:t>
      </w:r>
      <w:r>
        <w:rPr>
          <w:rFonts w:hint="eastAsia" w:ascii="文鼎大标宋简" w:hAnsi="华文中宋" w:eastAsia="文鼎大标宋简"/>
          <w:b/>
          <w:spacing w:val="4"/>
          <w:w w:val="90"/>
          <w:sz w:val="48"/>
          <w:szCs w:val="48"/>
        </w:rPr>
        <w:t>项目</w:t>
      </w:r>
    </w:p>
    <w:p>
      <w:pPr>
        <w:spacing w:line="1000" w:lineRule="exact"/>
        <w:ind w:right="-48" w:rightChars="-23"/>
        <w:jc w:val="center"/>
        <w:rPr>
          <w:rFonts w:ascii="文鼎大标宋简" w:hAnsi="华文中宋" w:eastAsia="文鼎大标宋简"/>
          <w:b/>
          <w:spacing w:val="4"/>
          <w:w w:val="90"/>
          <w:sz w:val="52"/>
          <w:szCs w:val="52"/>
        </w:rPr>
      </w:pPr>
    </w:p>
    <w:p>
      <w:pPr>
        <w:jc w:val="center"/>
        <w:rPr>
          <w:rFonts w:ascii="文鼎大标宋简" w:hAnsi="华文中宋" w:eastAsia="文鼎大标宋简"/>
          <w:spacing w:val="4"/>
          <w:w w:val="90"/>
          <w:sz w:val="28"/>
          <w:szCs w:val="28"/>
        </w:rPr>
      </w:pPr>
    </w:p>
    <w:p>
      <w:pPr>
        <w:jc w:val="center"/>
        <w:rPr>
          <w:rFonts w:ascii="宋体"/>
          <w:b/>
          <w:sz w:val="96"/>
          <w:szCs w:val="96"/>
        </w:rPr>
      </w:pPr>
      <w:r>
        <w:rPr>
          <w:rFonts w:hint="eastAsia" w:ascii="宋体" w:hAnsi="宋体"/>
          <w:b/>
          <w:sz w:val="96"/>
          <w:szCs w:val="96"/>
        </w:rPr>
        <w:t>招标文件</w:t>
      </w:r>
    </w:p>
    <w:p>
      <w:pPr>
        <w:spacing w:line="360" w:lineRule="auto"/>
        <w:jc w:val="center"/>
        <w:rPr>
          <w:rFonts w:ascii="黑体" w:eastAsia="黑体"/>
          <w:sz w:val="48"/>
          <w:szCs w:val="48"/>
        </w:rPr>
      </w:pPr>
    </w:p>
    <w:p>
      <w:pPr>
        <w:spacing w:line="360" w:lineRule="auto"/>
        <w:jc w:val="center"/>
        <w:rPr>
          <w:rFonts w:ascii="黑体" w:eastAsia="黑体"/>
          <w:sz w:val="48"/>
          <w:szCs w:val="48"/>
        </w:rPr>
      </w:pPr>
    </w:p>
    <w:p>
      <w:pPr>
        <w:spacing w:line="360" w:lineRule="auto"/>
        <w:jc w:val="center"/>
        <w:rPr>
          <w:rFonts w:ascii="黑体" w:eastAsia="黑体"/>
          <w:sz w:val="48"/>
          <w:szCs w:val="48"/>
        </w:rPr>
      </w:pPr>
    </w:p>
    <w:p>
      <w:pPr>
        <w:spacing w:line="360" w:lineRule="auto"/>
        <w:jc w:val="center"/>
        <w:rPr>
          <w:rFonts w:ascii="黑体" w:eastAsia="黑体"/>
          <w:sz w:val="48"/>
          <w:szCs w:val="48"/>
        </w:rPr>
      </w:pPr>
    </w:p>
    <w:p>
      <w:pPr>
        <w:spacing w:line="360" w:lineRule="auto"/>
        <w:jc w:val="center"/>
        <w:rPr>
          <w:rFonts w:ascii="黑体" w:eastAsia="黑体"/>
          <w:sz w:val="28"/>
        </w:rPr>
      </w:pPr>
      <w:r>
        <w:rPr>
          <w:rFonts w:hint="eastAsia" w:ascii="黑体" w:eastAsia="黑体"/>
          <w:sz w:val="28"/>
        </w:rPr>
        <w:t>招标方：重汽（济南）轻卡有限公司</w:t>
      </w:r>
    </w:p>
    <w:p>
      <w:pPr>
        <w:spacing w:line="360" w:lineRule="auto"/>
        <w:jc w:val="center"/>
        <w:rPr>
          <w:rFonts w:ascii="黑体" w:eastAsia="黑体"/>
          <w:sz w:val="48"/>
          <w:szCs w:val="48"/>
        </w:rPr>
      </w:pPr>
    </w:p>
    <w:p>
      <w:pPr>
        <w:spacing w:line="360" w:lineRule="auto"/>
        <w:jc w:val="center"/>
        <w:rPr>
          <w:rFonts w:ascii="黑体" w:eastAsia="黑体"/>
          <w:sz w:val="28"/>
        </w:rPr>
      </w:pPr>
      <w:r>
        <w:rPr>
          <w:rFonts w:ascii="黑体" w:eastAsia="黑体"/>
          <w:sz w:val="28"/>
        </w:rPr>
        <w:t>20</w:t>
      </w:r>
      <w:r>
        <w:rPr>
          <w:rFonts w:hint="eastAsia" w:ascii="黑体" w:eastAsia="黑体"/>
          <w:sz w:val="28"/>
        </w:rPr>
        <w:t>2</w:t>
      </w:r>
      <w:r>
        <w:rPr>
          <w:rFonts w:hint="eastAsia" w:ascii="黑体" w:eastAsia="黑体"/>
          <w:sz w:val="28"/>
          <w:lang w:val="en-US" w:eastAsia="zh-CN"/>
        </w:rPr>
        <w:t>2</w:t>
      </w:r>
      <w:r>
        <w:rPr>
          <w:rFonts w:hint="eastAsia" w:ascii="黑体" w:eastAsia="黑体"/>
          <w:sz w:val="28"/>
        </w:rPr>
        <w:t>年</w:t>
      </w:r>
      <w:r>
        <w:rPr>
          <w:rFonts w:hint="eastAsia" w:ascii="黑体" w:eastAsia="黑体"/>
          <w:sz w:val="28"/>
          <w:lang w:val="en-US" w:eastAsia="zh-CN"/>
        </w:rPr>
        <w:t>10</w:t>
      </w:r>
      <w:r>
        <w:rPr>
          <w:rFonts w:hint="eastAsia" w:ascii="黑体" w:eastAsia="黑体"/>
          <w:sz w:val="28"/>
        </w:rPr>
        <w:t>月</w:t>
      </w:r>
    </w:p>
    <w:p>
      <w:pPr>
        <w:widowControl/>
        <w:spacing w:line="360" w:lineRule="auto"/>
        <w:jc w:val="center"/>
        <w:rPr>
          <w:rFonts w:ascii="宋体" w:hAnsi="宋体"/>
          <w:b/>
        </w:rPr>
      </w:pPr>
      <w:r>
        <w:rPr>
          <w:rFonts w:ascii="宋体" w:hAnsi="宋体" w:cs="宋体"/>
          <w:b/>
          <w:bCs/>
          <w:sz w:val="36"/>
          <w:szCs w:val="36"/>
        </w:rPr>
        <w:br w:type="page"/>
      </w:r>
      <w:r>
        <w:rPr>
          <w:rFonts w:hint="eastAsia" w:ascii="宋体" w:hAnsi="宋体" w:cs="宋体"/>
          <w:b/>
          <w:bCs/>
          <w:sz w:val="36"/>
          <w:szCs w:val="36"/>
        </w:rPr>
        <w:t>目录</w:t>
      </w:r>
    </w:p>
    <w:p>
      <w:pPr>
        <w:pStyle w:val="52"/>
        <w:tabs>
          <w:tab w:val="right" w:leader="dot" w:pos="9214"/>
        </w:tabs>
      </w:pPr>
      <w:r>
        <w:rPr>
          <w:rFonts w:ascii="宋体" w:hAnsi="宋体" w:cs="宋体"/>
          <w:i/>
          <w:caps w:val="0"/>
          <w:sz w:val="21"/>
          <w:szCs w:val="21"/>
        </w:rPr>
        <w:fldChar w:fldCharType="begin"/>
      </w:r>
      <w:r>
        <w:rPr>
          <w:rFonts w:ascii="宋体" w:hAnsi="宋体" w:cs="宋体"/>
          <w:i/>
          <w:caps w:val="0"/>
          <w:sz w:val="21"/>
          <w:szCs w:val="21"/>
        </w:rPr>
        <w:instrText xml:space="preserve"> TOC \o "1-3" \h \z \u </w:instrText>
      </w:r>
      <w:r>
        <w:rPr>
          <w:rFonts w:ascii="宋体" w:hAnsi="宋体" w:cs="宋体"/>
          <w:i/>
          <w:caps w:val="0"/>
          <w:sz w:val="21"/>
          <w:szCs w:val="21"/>
        </w:rPr>
        <w:fldChar w:fldCharType="separate"/>
      </w:r>
      <w:r>
        <w:rPr>
          <w:rFonts w:ascii="宋体" w:hAnsi="宋体" w:cs="宋体"/>
          <w:i/>
          <w:caps w:val="0"/>
          <w:szCs w:val="21"/>
        </w:rPr>
        <w:fldChar w:fldCharType="begin"/>
      </w:r>
      <w:r>
        <w:rPr>
          <w:rFonts w:ascii="宋体" w:hAnsi="宋体" w:cs="宋体"/>
          <w:i/>
          <w:caps w:val="0"/>
          <w:szCs w:val="21"/>
        </w:rPr>
        <w:instrText xml:space="preserve"> HYPERLINK \l _Toc28456 </w:instrText>
      </w:r>
      <w:r>
        <w:rPr>
          <w:rFonts w:ascii="宋体" w:hAnsi="宋体" w:cs="宋体"/>
          <w:i/>
          <w:caps w:val="0"/>
          <w:szCs w:val="21"/>
        </w:rPr>
        <w:fldChar w:fldCharType="separate"/>
      </w:r>
      <w:r>
        <w:rPr>
          <w:rFonts w:hint="eastAsia" w:ascii="宋体" w:hAnsi="宋体"/>
        </w:rPr>
        <w:t>第一章招标公告</w:t>
      </w:r>
      <w:r>
        <w:tab/>
      </w:r>
      <w:r>
        <w:fldChar w:fldCharType="begin"/>
      </w:r>
      <w:r>
        <w:instrText xml:space="preserve"> PAGEREF _Toc28456 \h </w:instrText>
      </w:r>
      <w:r>
        <w:fldChar w:fldCharType="separate"/>
      </w:r>
      <w:r>
        <w:t>4</w:t>
      </w:r>
      <w:r>
        <w:fldChar w:fldCharType="end"/>
      </w:r>
      <w:r>
        <w:rPr>
          <w:rFonts w:ascii="宋体" w:hAnsi="宋体" w:cs="宋体"/>
          <w:i/>
          <w:caps w:val="0"/>
          <w:szCs w:val="21"/>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_Toc28073 </w:instrText>
      </w:r>
      <w:r>
        <w:rPr>
          <w:rFonts w:ascii="宋体" w:hAnsi="宋体" w:cs="宋体"/>
          <w:i/>
          <w:caps/>
        </w:rPr>
        <w:fldChar w:fldCharType="separate"/>
      </w:r>
      <w:r>
        <w:rPr>
          <w:rFonts w:hint="eastAsia" w:ascii="宋体" w:hAnsi="宋体"/>
        </w:rPr>
        <w:t>第二章投标方须知</w:t>
      </w:r>
      <w:r>
        <w:tab/>
      </w:r>
      <w:r>
        <w:fldChar w:fldCharType="begin"/>
      </w:r>
      <w:r>
        <w:instrText xml:space="preserve"> PAGEREF _Toc28073 \h </w:instrText>
      </w:r>
      <w:r>
        <w:fldChar w:fldCharType="separate"/>
      </w:r>
      <w:r>
        <w:t>6</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_Toc9951 </w:instrText>
      </w:r>
      <w:r>
        <w:rPr>
          <w:rFonts w:ascii="宋体" w:hAnsi="宋体" w:cs="宋体"/>
          <w:i/>
          <w:caps/>
        </w:rPr>
        <w:fldChar w:fldCharType="separate"/>
      </w:r>
      <w:r>
        <w:rPr>
          <w:rFonts w:hint="eastAsia" w:ascii="宋体" w:hAnsi="宋体"/>
        </w:rPr>
        <w:t>投标方须知前附表</w:t>
      </w:r>
      <w:r>
        <w:tab/>
      </w:r>
      <w:r>
        <w:fldChar w:fldCharType="begin"/>
      </w:r>
      <w:r>
        <w:instrText xml:space="preserve"> PAGEREF _Toc9951 \h </w:instrText>
      </w:r>
      <w:r>
        <w:fldChar w:fldCharType="separate"/>
      </w:r>
      <w:r>
        <w:t>6</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_Toc32385 </w:instrText>
      </w:r>
      <w:r>
        <w:rPr>
          <w:rFonts w:ascii="宋体" w:hAnsi="宋体" w:cs="宋体"/>
          <w:i/>
          <w:caps/>
        </w:rPr>
        <w:fldChar w:fldCharType="separate"/>
      </w:r>
      <w:r>
        <w:rPr>
          <w:rFonts w:hint="eastAsia" w:ascii="宋体" w:hAnsi="宋体" w:cs="宋体"/>
          <w:bCs/>
          <w:szCs w:val="30"/>
        </w:rPr>
        <w:t>总则</w:t>
      </w:r>
      <w:r>
        <w:tab/>
      </w:r>
      <w:r>
        <w:fldChar w:fldCharType="begin"/>
      </w:r>
      <w:r>
        <w:instrText xml:space="preserve"> PAGEREF _Toc32385 \h </w:instrText>
      </w:r>
      <w:r>
        <w:fldChar w:fldCharType="separate"/>
      </w:r>
      <w:r>
        <w:t>9</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_Toc18817 </w:instrText>
      </w:r>
      <w:r>
        <w:rPr>
          <w:rFonts w:ascii="宋体" w:hAnsi="宋体" w:cs="宋体"/>
          <w:i/>
          <w:caps/>
        </w:rPr>
        <w:fldChar w:fldCharType="separate"/>
      </w:r>
      <w:r>
        <w:rPr>
          <w:rFonts w:hint="eastAsia" w:ascii="宋体" w:hAnsi="宋体" w:eastAsia="宋体" w:cs="宋体"/>
          <w:szCs w:val="28"/>
        </w:rPr>
        <w:t>一、说明</w:t>
      </w:r>
      <w:r>
        <w:tab/>
      </w:r>
      <w:r>
        <w:fldChar w:fldCharType="begin"/>
      </w:r>
      <w:r>
        <w:instrText xml:space="preserve"> PAGEREF _Toc18817 \h </w:instrText>
      </w:r>
      <w:r>
        <w:fldChar w:fldCharType="separate"/>
      </w:r>
      <w:r>
        <w:t>9</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_Toc8124 </w:instrText>
      </w:r>
      <w:r>
        <w:rPr>
          <w:rFonts w:ascii="宋体" w:hAnsi="宋体" w:cs="宋体"/>
          <w:i/>
          <w:caps/>
        </w:rPr>
        <w:fldChar w:fldCharType="separate"/>
      </w:r>
      <w:r>
        <w:rPr>
          <w:rFonts w:hint="eastAsia" w:ascii="宋体" w:hAnsi="宋体" w:eastAsia="宋体" w:cs="宋体"/>
          <w:szCs w:val="28"/>
        </w:rPr>
        <w:t>二、招标文件</w:t>
      </w:r>
      <w:r>
        <w:tab/>
      </w:r>
      <w:r>
        <w:fldChar w:fldCharType="begin"/>
      </w:r>
      <w:r>
        <w:instrText xml:space="preserve"> PAGEREF _Toc8124 \h </w:instrText>
      </w:r>
      <w:r>
        <w:fldChar w:fldCharType="separate"/>
      </w:r>
      <w:r>
        <w:t>9</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_Toc12423 </w:instrText>
      </w:r>
      <w:r>
        <w:rPr>
          <w:rFonts w:ascii="宋体" w:hAnsi="宋体" w:cs="宋体"/>
          <w:i/>
          <w:caps/>
        </w:rPr>
        <w:fldChar w:fldCharType="separate"/>
      </w:r>
      <w:r>
        <w:rPr>
          <w:rFonts w:hint="eastAsia" w:ascii="宋体" w:hAnsi="宋体" w:eastAsia="宋体" w:cs="宋体"/>
          <w:szCs w:val="28"/>
        </w:rPr>
        <w:t>三、投标文件编写</w:t>
      </w:r>
      <w:r>
        <w:tab/>
      </w:r>
      <w:r>
        <w:fldChar w:fldCharType="begin"/>
      </w:r>
      <w:r>
        <w:instrText xml:space="preserve"> PAGEREF _Toc12423 \h </w:instrText>
      </w:r>
      <w:r>
        <w:fldChar w:fldCharType="separate"/>
      </w:r>
      <w:r>
        <w:t>10</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_Toc22567 </w:instrText>
      </w:r>
      <w:r>
        <w:rPr>
          <w:rFonts w:ascii="宋体" w:hAnsi="宋体" w:cs="宋体"/>
          <w:i/>
          <w:caps/>
        </w:rPr>
        <w:fldChar w:fldCharType="separate"/>
      </w:r>
      <w:r>
        <w:rPr>
          <w:rFonts w:hint="eastAsia" w:ascii="宋体" w:hAnsi="宋体" w:eastAsia="宋体" w:cs="宋体"/>
          <w:szCs w:val="28"/>
        </w:rPr>
        <w:t>四、投标文件递交</w:t>
      </w:r>
      <w:r>
        <w:tab/>
      </w:r>
      <w:r>
        <w:fldChar w:fldCharType="begin"/>
      </w:r>
      <w:r>
        <w:instrText xml:space="preserve"> PAGEREF _Toc22567 \h </w:instrText>
      </w:r>
      <w:r>
        <w:fldChar w:fldCharType="separate"/>
      </w:r>
      <w:r>
        <w:t>15</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_Toc22003 </w:instrText>
      </w:r>
      <w:r>
        <w:rPr>
          <w:rFonts w:ascii="宋体" w:hAnsi="宋体" w:cs="宋体"/>
          <w:i/>
          <w:caps/>
        </w:rPr>
        <w:fldChar w:fldCharType="separate"/>
      </w:r>
      <w:r>
        <w:rPr>
          <w:rFonts w:hint="eastAsia" w:ascii="宋体" w:hAnsi="宋体" w:eastAsia="宋体" w:cs="宋体"/>
          <w:szCs w:val="28"/>
        </w:rPr>
        <w:t>五、开标与评标</w:t>
      </w:r>
      <w:r>
        <w:tab/>
      </w:r>
      <w:r>
        <w:fldChar w:fldCharType="begin"/>
      </w:r>
      <w:r>
        <w:instrText xml:space="preserve"> PAGEREF _Toc22003 \h </w:instrText>
      </w:r>
      <w:r>
        <w:fldChar w:fldCharType="separate"/>
      </w:r>
      <w:r>
        <w:t>15</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_Toc13943 </w:instrText>
      </w:r>
      <w:r>
        <w:rPr>
          <w:rFonts w:ascii="宋体" w:hAnsi="宋体" w:cs="宋体"/>
          <w:i/>
          <w:caps/>
        </w:rPr>
        <w:fldChar w:fldCharType="separate"/>
      </w:r>
      <w:r>
        <w:rPr>
          <w:rFonts w:hint="eastAsia" w:ascii="宋体" w:hAnsi="宋体" w:eastAsia="宋体" w:cs="宋体"/>
          <w:szCs w:val="28"/>
        </w:rPr>
        <w:t>六、授予合同</w:t>
      </w:r>
      <w:r>
        <w:tab/>
      </w:r>
      <w:r>
        <w:fldChar w:fldCharType="begin"/>
      </w:r>
      <w:r>
        <w:instrText xml:space="preserve"> PAGEREF _Toc13943 \h </w:instrText>
      </w:r>
      <w:r>
        <w:fldChar w:fldCharType="separate"/>
      </w:r>
      <w:r>
        <w:t>17</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_Toc8033 </w:instrText>
      </w:r>
      <w:r>
        <w:rPr>
          <w:rFonts w:ascii="宋体" w:hAnsi="宋体" w:cs="宋体"/>
          <w:i/>
          <w:caps/>
        </w:rPr>
        <w:fldChar w:fldCharType="separate"/>
      </w:r>
      <w:r>
        <w:rPr>
          <w:rFonts w:hint="eastAsia" w:ascii="宋体" w:hAnsi="宋体" w:eastAsia="宋体" w:cs="宋体"/>
          <w:szCs w:val="28"/>
        </w:rPr>
        <w:t>七、相关费用</w:t>
      </w:r>
      <w:r>
        <w:tab/>
      </w:r>
      <w:r>
        <w:fldChar w:fldCharType="begin"/>
      </w:r>
      <w:r>
        <w:instrText xml:space="preserve"> PAGEREF _Toc8033 \h </w:instrText>
      </w:r>
      <w:r>
        <w:fldChar w:fldCharType="separate"/>
      </w:r>
      <w:r>
        <w:t>18</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_Toc15536 </w:instrText>
      </w:r>
      <w:r>
        <w:rPr>
          <w:rFonts w:ascii="宋体" w:hAnsi="宋体" w:cs="宋体"/>
          <w:i/>
          <w:caps/>
        </w:rPr>
        <w:fldChar w:fldCharType="separate"/>
      </w:r>
      <w:r>
        <w:rPr>
          <w:rFonts w:hint="eastAsia" w:ascii="宋体" w:hAnsi="宋体" w:eastAsia="宋体" w:cs="宋体"/>
          <w:szCs w:val="28"/>
        </w:rPr>
        <w:t>八、解释权</w:t>
      </w:r>
      <w:r>
        <w:tab/>
      </w:r>
      <w:r>
        <w:fldChar w:fldCharType="begin"/>
      </w:r>
      <w:r>
        <w:instrText xml:space="preserve"> PAGEREF _Toc15536 \h </w:instrText>
      </w:r>
      <w:r>
        <w:fldChar w:fldCharType="separate"/>
      </w:r>
      <w:r>
        <w:t>18</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_Toc13907 </w:instrText>
      </w:r>
      <w:r>
        <w:rPr>
          <w:rFonts w:ascii="宋体" w:hAnsi="宋体" w:cs="宋体"/>
          <w:i/>
          <w:caps/>
        </w:rPr>
        <w:fldChar w:fldCharType="separate"/>
      </w:r>
      <w:r>
        <w:rPr>
          <w:rFonts w:hint="eastAsia" w:ascii="宋体" w:hAnsi="宋体" w:eastAsia="宋体" w:cs="宋体"/>
          <w:szCs w:val="28"/>
        </w:rPr>
        <w:t>九、其他</w:t>
      </w:r>
      <w:r>
        <w:tab/>
      </w:r>
      <w:r>
        <w:fldChar w:fldCharType="begin"/>
      </w:r>
      <w:r>
        <w:instrText xml:space="preserve"> PAGEREF _Toc13907 \h </w:instrText>
      </w:r>
      <w:r>
        <w:fldChar w:fldCharType="separate"/>
      </w:r>
      <w:r>
        <w:t>19</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_Toc1960 </w:instrText>
      </w:r>
      <w:r>
        <w:rPr>
          <w:rFonts w:ascii="宋体" w:hAnsi="宋体" w:cs="宋体"/>
          <w:i/>
          <w:caps/>
        </w:rPr>
        <w:fldChar w:fldCharType="separate"/>
      </w:r>
      <w:r>
        <w:rPr>
          <w:rFonts w:ascii="宋体" w:hAnsi="宋体"/>
        </w:rPr>
        <w:t>第三章</w:t>
      </w:r>
      <w:r>
        <w:rPr>
          <w:rFonts w:hint="eastAsia" w:ascii="宋体" w:hAnsi="宋体"/>
        </w:rPr>
        <w:t xml:space="preserve">  评标方法</w:t>
      </w:r>
      <w:r>
        <w:tab/>
      </w:r>
      <w:r>
        <w:fldChar w:fldCharType="begin"/>
      </w:r>
      <w:r>
        <w:instrText xml:space="preserve"> PAGEREF _Toc1960 \h </w:instrText>
      </w:r>
      <w:r>
        <w:fldChar w:fldCharType="separate"/>
      </w:r>
      <w:r>
        <w:t>20</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_Toc24 </w:instrText>
      </w:r>
      <w:r>
        <w:rPr>
          <w:rFonts w:ascii="宋体" w:hAnsi="宋体" w:cs="宋体"/>
          <w:i/>
          <w:caps/>
        </w:rPr>
        <w:fldChar w:fldCharType="separate"/>
      </w:r>
      <w:r>
        <w:rPr>
          <w:rFonts w:hint="eastAsia" w:ascii="宋体" w:hAnsi="宋体"/>
        </w:rPr>
        <w:t>第四章  技术规格及技术要求</w:t>
      </w:r>
      <w:r>
        <w:tab/>
      </w:r>
      <w:r>
        <w:fldChar w:fldCharType="begin"/>
      </w:r>
      <w:r>
        <w:instrText xml:space="preserve"> PAGEREF _Toc24 \h </w:instrText>
      </w:r>
      <w:r>
        <w:fldChar w:fldCharType="separate"/>
      </w:r>
      <w:r>
        <w:t>22</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_Toc7145 </w:instrText>
      </w:r>
      <w:r>
        <w:rPr>
          <w:rFonts w:ascii="宋体" w:hAnsi="宋体" w:cs="宋体"/>
          <w:i/>
          <w:caps/>
        </w:rPr>
        <w:fldChar w:fldCharType="separate"/>
      </w:r>
      <w:r>
        <w:rPr>
          <w:rFonts w:hint="eastAsia"/>
        </w:rPr>
        <w:t>一、标的物用途</w:t>
      </w:r>
      <w:r>
        <w:tab/>
      </w:r>
      <w:r>
        <w:fldChar w:fldCharType="begin"/>
      </w:r>
      <w:r>
        <w:instrText xml:space="preserve"> PAGEREF _Toc7145 \h </w:instrText>
      </w:r>
      <w:r>
        <w:fldChar w:fldCharType="separate"/>
      </w:r>
      <w:r>
        <w:t>22</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_Toc18992 </w:instrText>
      </w:r>
      <w:r>
        <w:rPr>
          <w:rFonts w:ascii="宋体" w:hAnsi="宋体" w:cs="宋体"/>
          <w:i/>
          <w:caps/>
        </w:rPr>
        <w:fldChar w:fldCharType="separate"/>
      </w:r>
      <w:r>
        <w:rPr>
          <w:rFonts w:hint="eastAsia"/>
        </w:rPr>
        <w:t>二、标的物使用环境</w:t>
      </w:r>
      <w:r>
        <w:tab/>
      </w:r>
      <w:r>
        <w:fldChar w:fldCharType="begin"/>
      </w:r>
      <w:r>
        <w:instrText xml:space="preserve"> PAGEREF _Toc18992 \h </w:instrText>
      </w:r>
      <w:r>
        <w:fldChar w:fldCharType="separate"/>
      </w:r>
      <w:r>
        <w:t>22</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_Toc8473 </w:instrText>
      </w:r>
      <w:r>
        <w:rPr>
          <w:rFonts w:ascii="宋体" w:hAnsi="宋体" w:cs="宋体"/>
          <w:i/>
          <w:caps/>
        </w:rPr>
        <w:fldChar w:fldCharType="separate"/>
      </w:r>
      <w:r>
        <w:rPr>
          <w:rFonts w:hint="eastAsia"/>
        </w:rPr>
        <w:t>三、供货范围</w:t>
      </w:r>
      <w:r>
        <w:tab/>
      </w:r>
      <w:r>
        <w:fldChar w:fldCharType="begin"/>
      </w:r>
      <w:r>
        <w:instrText xml:space="preserve"> PAGEREF _Toc8473 \h </w:instrText>
      </w:r>
      <w:r>
        <w:fldChar w:fldCharType="separate"/>
      </w:r>
      <w:r>
        <w:t>22</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_Toc29024 </w:instrText>
      </w:r>
      <w:r>
        <w:rPr>
          <w:rFonts w:ascii="宋体" w:hAnsi="宋体" w:cs="宋体"/>
          <w:i/>
          <w:caps/>
        </w:rPr>
        <w:fldChar w:fldCharType="separate"/>
      </w:r>
      <w:r>
        <w:rPr>
          <w:rFonts w:hint="eastAsia"/>
        </w:rPr>
        <w:t>四、工程界面</w:t>
      </w:r>
      <w:r>
        <w:tab/>
      </w:r>
      <w:r>
        <w:fldChar w:fldCharType="begin"/>
      </w:r>
      <w:r>
        <w:instrText xml:space="preserve"> PAGEREF _Toc29024 \h </w:instrText>
      </w:r>
      <w:r>
        <w:fldChar w:fldCharType="separate"/>
      </w:r>
      <w:r>
        <w:t>23</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_Toc6453 </w:instrText>
      </w:r>
      <w:r>
        <w:rPr>
          <w:rFonts w:ascii="宋体" w:hAnsi="宋体" w:cs="宋体"/>
          <w:i/>
          <w:caps/>
        </w:rPr>
        <w:fldChar w:fldCharType="separate"/>
      </w:r>
      <w:r>
        <w:rPr>
          <w:rFonts w:hint="eastAsia"/>
        </w:rPr>
        <w:t>五、标的物技术要求</w:t>
      </w:r>
      <w:r>
        <w:tab/>
      </w:r>
      <w:r>
        <w:fldChar w:fldCharType="begin"/>
      </w:r>
      <w:r>
        <w:instrText xml:space="preserve"> PAGEREF _Toc6453 \h </w:instrText>
      </w:r>
      <w:r>
        <w:fldChar w:fldCharType="separate"/>
      </w:r>
      <w:r>
        <w:t>24</w:t>
      </w:r>
      <w:r>
        <w:fldChar w:fldCharType="end"/>
      </w:r>
      <w:r>
        <w:rPr>
          <w:rFonts w:ascii="宋体" w:hAnsi="宋体" w:cs="宋体"/>
          <w:i/>
          <w:caps/>
        </w:rPr>
        <w:fldChar w:fldCharType="end"/>
      </w:r>
    </w:p>
    <w:p>
      <w:pPr>
        <w:pStyle w:val="39"/>
        <w:tabs>
          <w:tab w:val="right" w:leader="dot" w:pos="9214"/>
        </w:tabs>
      </w:pPr>
      <w:r>
        <w:rPr>
          <w:rFonts w:ascii="宋体" w:hAnsi="宋体" w:cs="宋体"/>
          <w:i/>
          <w:caps/>
        </w:rPr>
        <w:fldChar w:fldCharType="begin"/>
      </w:r>
      <w:r>
        <w:rPr>
          <w:rFonts w:ascii="宋体" w:hAnsi="宋体" w:cs="宋体"/>
          <w:i/>
          <w:caps/>
        </w:rPr>
        <w:instrText xml:space="preserve"> HYPERLINK \l _Toc20649 </w:instrText>
      </w:r>
      <w:r>
        <w:rPr>
          <w:rFonts w:ascii="宋体" w:hAnsi="宋体" w:cs="宋体"/>
          <w:i/>
          <w:caps/>
        </w:rPr>
        <w:fldChar w:fldCharType="separate"/>
      </w:r>
      <w:r>
        <w:rPr>
          <w:rFonts w:hint="eastAsia"/>
        </w:rPr>
        <w:t>2.通用技术要求</w:t>
      </w:r>
      <w:r>
        <w:tab/>
      </w:r>
      <w:r>
        <w:fldChar w:fldCharType="begin"/>
      </w:r>
      <w:r>
        <w:instrText xml:space="preserve"> PAGEREF _Toc20649 \h </w:instrText>
      </w:r>
      <w:r>
        <w:fldChar w:fldCharType="separate"/>
      </w:r>
      <w:r>
        <w:t>24</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_Toc29346 </w:instrText>
      </w:r>
      <w:r>
        <w:rPr>
          <w:rFonts w:ascii="宋体" w:hAnsi="宋体" w:cs="宋体"/>
          <w:i/>
          <w:caps/>
        </w:rPr>
        <w:fldChar w:fldCharType="separate"/>
      </w:r>
      <w:r>
        <w:rPr>
          <w:rFonts w:hint="eastAsia"/>
        </w:rPr>
        <w:t>六、备品、备件</w:t>
      </w:r>
      <w:r>
        <w:tab/>
      </w:r>
      <w:r>
        <w:fldChar w:fldCharType="begin"/>
      </w:r>
      <w:r>
        <w:instrText xml:space="preserve"> PAGEREF _Toc29346 \h </w:instrText>
      </w:r>
      <w:r>
        <w:fldChar w:fldCharType="separate"/>
      </w:r>
      <w:r>
        <w:t>29</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_Toc29734 </w:instrText>
      </w:r>
      <w:r>
        <w:rPr>
          <w:rFonts w:ascii="宋体" w:hAnsi="宋体" w:cs="宋体"/>
          <w:i/>
          <w:caps/>
        </w:rPr>
        <w:fldChar w:fldCharType="separate"/>
      </w:r>
      <w:r>
        <w:rPr>
          <w:rFonts w:hint="eastAsia"/>
        </w:rPr>
        <w:t>七、验收</w:t>
      </w:r>
      <w:r>
        <w:tab/>
      </w:r>
      <w:r>
        <w:fldChar w:fldCharType="begin"/>
      </w:r>
      <w:r>
        <w:instrText xml:space="preserve"> PAGEREF _Toc29734 \h </w:instrText>
      </w:r>
      <w:r>
        <w:fldChar w:fldCharType="separate"/>
      </w:r>
      <w:r>
        <w:t>29</w:t>
      </w:r>
      <w:r>
        <w:fldChar w:fldCharType="end"/>
      </w:r>
      <w:r>
        <w:rPr>
          <w:rFonts w:ascii="宋体" w:hAnsi="宋体" w:cs="宋体"/>
          <w:i/>
          <w:caps/>
        </w:rPr>
        <w:fldChar w:fldCharType="end"/>
      </w:r>
    </w:p>
    <w:p>
      <w:pPr>
        <w:pStyle w:val="39"/>
        <w:tabs>
          <w:tab w:val="right" w:leader="dot" w:pos="9214"/>
        </w:tabs>
      </w:pPr>
      <w:r>
        <w:rPr>
          <w:rFonts w:ascii="宋体" w:hAnsi="宋体" w:cs="宋体"/>
          <w:i/>
          <w:caps/>
        </w:rPr>
        <w:fldChar w:fldCharType="begin"/>
      </w:r>
      <w:r>
        <w:rPr>
          <w:rFonts w:ascii="宋体" w:hAnsi="宋体" w:cs="宋体"/>
          <w:i/>
          <w:caps/>
        </w:rPr>
        <w:instrText xml:space="preserve"> HYPERLINK \l _Toc14331 </w:instrText>
      </w:r>
      <w:r>
        <w:rPr>
          <w:rFonts w:ascii="宋体" w:hAnsi="宋体" w:cs="宋体"/>
          <w:i/>
          <w:caps/>
        </w:rPr>
        <w:fldChar w:fldCharType="separate"/>
      </w:r>
      <w:r>
        <w:rPr>
          <w:rFonts w:hint="eastAsia"/>
        </w:rPr>
        <w:t>1、预验收</w:t>
      </w:r>
      <w:r>
        <w:tab/>
      </w:r>
      <w:r>
        <w:fldChar w:fldCharType="begin"/>
      </w:r>
      <w:r>
        <w:instrText xml:space="preserve"> PAGEREF _Toc14331 \h </w:instrText>
      </w:r>
      <w:r>
        <w:fldChar w:fldCharType="separate"/>
      </w:r>
      <w:r>
        <w:t>29</w:t>
      </w:r>
      <w:r>
        <w:fldChar w:fldCharType="end"/>
      </w:r>
      <w:r>
        <w:rPr>
          <w:rFonts w:ascii="宋体" w:hAnsi="宋体" w:cs="宋体"/>
          <w:i/>
          <w:caps/>
        </w:rPr>
        <w:fldChar w:fldCharType="end"/>
      </w:r>
    </w:p>
    <w:p>
      <w:pPr>
        <w:pStyle w:val="39"/>
        <w:tabs>
          <w:tab w:val="right" w:leader="dot" w:pos="9214"/>
        </w:tabs>
      </w:pPr>
      <w:r>
        <w:rPr>
          <w:rFonts w:ascii="宋体" w:hAnsi="宋体" w:cs="宋体"/>
          <w:i/>
          <w:caps/>
        </w:rPr>
        <w:fldChar w:fldCharType="begin"/>
      </w:r>
      <w:r>
        <w:rPr>
          <w:rFonts w:ascii="宋体" w:hAnsi="宋体" w:cs="宋体"/>
          <w:i/>
          <w:caps/>
        </w:rPr>
        <w:instrText xml:space="preserve"> HYPERLINK \l _Toc22348 </w:instrText>
      </w:r>
      <w:r>
        <w:rPr>
          <w:rFonts w:ascii="宋体" w:hAnsi="宋体" w:cs="宋体"/>
          <w:i/>
          <w:caps/>
        </w:rPr>
        <w:fldChar w:fldCharType="separate"/>
      </w:r>
      <w:r>
        <w:rPr>
          <w:rFonts w:hint="eastAsia"/>
        </w:rPr>
        <w:t>2、终验收</w:t>
      </w:r>
      <w:r>
        <w:tab/>
      </w:r>
      <w:r>
        <w:fldChar w:fldCharType="begin"/>
      </w:r>
      <w:r>
        <w:instrText xml:space="preserve"> PAGEREF _Toc22348 \h </w:instrText>
      </w:r>
      <w:r>
        <w:fldChar w:fldCharType="separate"/>
      </w:r>
      <w:r>
        <w:t>29</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_Toc11548 </w:instrText>
      </w:r>
      <w:r>
        <w:rPr>
          <w:rFonts w:ascii="宋体" w:hAnsi="宋体" w:cs="宋体"/>
          <w:i/>
          <w:caps/>
        </w:rPr>
        <w:fldChar w:fldCharType="separate"/>
      </w:r>
      <w:r>
        <w:rPr>
          <w:rFonts w:hint="eastAsia"/>
        </w:rPr>
        <w:t>八、服务</w:t>
      </w:r>
      <w:r>
        <w:tab/>
      </w:r>
      <w:r>
        <w:fldChar w:fldCharType="begin"/>
      </w:r>
      <w:r>
        <w:instrText xml:space="preserve"> PAGEREF _Toc11548 \h </w:instrText>
      </w:r>
      <w:r>
        <w:fldChar w:fldCharType="separate"/>
      </w:r>
      <w:r>
        <w:t>31</w:t>
      </w:r>
      <w:r>
        <w:fldChar w:fldCharType="end"/>
      </w:r>
      <w:r>
        <w:rPr>
          <w:rFonts w:ascii="宋体" w:hAnsi="宋体" w:cs="宋体"/>
          <w:i/>
          <w:caps/>
        </w:rPr>
        <w:fldChar w:fldCharType="end"/>
      </w:r>
    </w:p>
    <w:p>
      <w:pPr>
        <w:pStyle w:val="39"/>
        <w:tabs>
          <w:tab w:val="right" w:pos="2400"/>
          <w:tab w:val="right" w:leader="dot" w:pos="9214"/>
        </w:tabs>
      </w:pPr>
      <w:r>
        <w:rPr>
          <w:rFonts w:ascii="宋体" w:hAnsi="宋体" w:cs="宋体"/>
          <w:i/>
          <w:caps/>
        </w:rPr>
        <w:fldChar w:fldCharType="begin"/>
      </w:r>
      <w:r>
        <w:rPr>
          <w:rFonts w:ascii="宋体" w:hAnsi="宋体" w:cs="宋体"/>
          <w:i/>
          <w:caps/>
        </w:rPr>
        <w:instrText xml:space="preserve"> HYPERLINK \l _Toc29652 </w:instrText>
      </w:r>
      <w:r>
        <w:rPr>
          <w:rFonts w:ascii="宋体" w:hAnsi="宋体" w:cs="宋体"/>
          <w:i/>
          <w:caps/>
        </w:rPr>
        <w:fldChar w:fldCharType="separate"/>
      </w:r>
      <w:r>
        <w:rPr>
          <w:rFonts w:hint="eastAsia"/>
        </w:rPr>
        <w:t>1.</w:t>
      </w:r>
      <w:r>
        <w:rPr>
          <w:rFonts w:hint="eastAsia"/>
        </w:rPr>
        <w:tab/>
      </w:r>
      <w:r>
        <w:rPr>
          <w:rFonts w:hint="eastAsia"/>
        </w:rPr>
        <w:t>技术培训</w:t>
      </w:r>
      <w:r>
        <w:tab/>
      </w:r>
      <w:r>
        <w:fldChar w:fldCharType="begin"/>
      </w:r>
      <w:r>
        <w:instrText xml:space="preserve"> PAGEREF _Toc29652 \h </w:instrText>
      </w:r>
      <w:r>
        <w:fldChar w:fldCharType="separate"/>
      </w:r>
      <w:r>
        <w:t>31</w:t>
      </w:r>
      <w:r>
        <w:fldChar w:fldCharType="end"/>
      </w:r>
      <w:r>
        <w:rPr>
          <w:rFonts w:ascii="宋体" w:hAnsi="宋体" w:cs="宋体"/>
          <w:i/>
          <w:caps/>
        </w:rPr>
        <w:fldChar w:fldCharType="end"/>
      </w:r>
    </w:p>
    <w:p>
      <w:pPr>
        <w:pStyle w:val="39"/>
        <w:tabs>
          <w:tab w:val="right" w:pos="2400"/>
          <w:tab w:val="right" w:leader="dot" w:pos="9214"/>
        </w:tabs>
      </w:pPr>
      <w:r>
        <w:rPr>
          <w:rFonts w:ascii="宋体" w:hAnsi="宋体" w:cs="宋体"/>
          <w:i/>
          <w:caps/>
        </w:rPr>
        <w:fldChar w:fldCharType="begin"/>
      </w:r>
      <w:r>
        <w:rPr>
          <w:rFonts w:ascii="宋体" w:hAnsi="宋体" w:cs="宋体"/>
          <w:i/>
          <w:caps/>
        </w:rPr>
        <w:instrText xml:space="preserve"> HYPERLINK \l _Toc23777 </w:instrText>
      </w:r>
      <w:r>
        <w:rPr>
          <w:rFonts w:ascii="宋体" w:hAnsi="宋体" w:cs="宋体"/>
          <w:i/>
          <w:caps/>
        </w:rPr>
        <w:fldChar w:fldCharType="separate"/>
      </w:r>
      <w:r>
        <w:rPr>
          <w:rFonts w:hint="eastAsia"/>
        </w:rPr>
        <w:t>2.</w:t>
      </w:r>
      <w:r>
        <w:rPr>
          <w:rFonts w:hint="eastAsia"/>
        </w:rPr>
        <w:tab/>
      </w:r>
      <w:r>
        <w:rPr>
          <w:rFonts w:hint="eastAsia"/>
        </w:rPr>
        <w:t>质量保证期及售后服务</w:t>
      </w:r>
      <w:r>
        <w:tab/>
      </w:r>
      <w:r>
        <w:fldChar w:fldCharType="begin"/>
      </w:r>
      <w:r>
        <w:instrText xml:space="preserve"> PAGEREF _Toc23777 \h </w:instrText>
      </w:r>
      <w:r>
        <w:fldChar w:fldCharType="separate"/>
      </w:r>
      <w:r>
        <w:t>31</w:t>
      </w:r>
      <w:r>
        <w:fldChar w:fldCharType="end"/>
      </w:r>
      <w:r>
        <w:rPr>
          <w:rFonts w:ascii="宋体" w:hAnsi="宋体" w:cs="宋体"/>
          <w:i/>
          <w:caps/>
        </w:rPr>
        <w:fldChar w:fldCharType="end"/>
      </w:r>
    </w:p>
    <w:p>
      <w:pPr>
        <w:pStyle w:val="62"/>
        <w:tabs>
          <w:tab w:val="right" w:leader="dot" w:pos="9214"/>
        </w:tabs>
      </w:pPr>
      <w:r>
        <w:rPr>
          <w:rFonts w:ascii="宋体" w:hAnsi="宋体" w:cs="宋体"/>
          <w:i/>
          <w:caps/>
        </w:rPr>
        <w:fldChar w:fldCharType="begin"/>
      </w:r>
      <w:r>
        <w:rPr>
          <w:rFonts w:ascii="宋体" w:hAnsi="宋体" w:cs="宋体"/>
          <w:i/>
          <w:caps/>
        </w:rPr>
        <w:instrText xml:space="preserve"> HYPERLINK \l _Toc26897 </w:instrText>
      </w:r>
      <w:r>
        <w:rPr>
          <w:rFonts w:ascii="宋体" w:hAnsi="宋体" w:cs="宋体"/>
          <w:i/>
          <w:caps/>
        </w:rPr>
        <w:fldChar w:fldCharType="separate"/>
      </w:r>
      <w:r>
        <w:rPr>
          <w:rFonts w:hint="eastAsia"/>
        </w:rPr>
        <w:t>九、交货期</w:t>
      </w:r>
      <w:r>
        <w:tab/>
      </w:r>
      <w:r>
        <w:fldChar w:fldCharType="begin"/>
      </w:r>
      <w:r>
        <w:instrText xml:space="preserve"> PAGEREF _Toc26897 \h </w:instrText>
      </w:r>
      <w:r>
        <w:fldChar w:fldCharType="separate"/>
      </w:r>
      <w:r>
        <w:t>31</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_Toc12715 </w:instrText>
      </w:r>
      <w:r>
        <w:rPr>
          <w:rFonts w:ascii="宋体" w:hAnsi="宋体" w:cs="宋体"/>
          <w:i/>
          <w:caps/>
        </w:rPr>
        <w:fldChar w:fldCharType="separate"/>
      </w:r>
      <w:r>
        <w:rPr>
          <w:rFonts w:hint="eastAsia" w:ascii="宋体" w:hAnsi="宋体"/>
        </w:rPr>
        <w:t>第五章   设备采购合同</w:t>
      </w:r>
      <w:r>
        <w:tab/>
      </w:r>
      <w:r>
        <w:fldChar w:fldCharType="begin"/>
      </w:r>
      <w:r>
        <w:instrText xml:space="preserve"> PAGEREF _Toc12715 \h </w:instrText>
      </w:r>
      <w:r>
        <w:fldChar w:fldCharType="separate"/>
      </w:r>
      <w:r>
        <w:t>32</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_Toc1740 </w:instrText>
      </w:r>
      <w:r>
        <w:rPr>
          <w:rFonts w:ascii="宋体" w:hAnsi="宋体" w:cs="宋体"/>
          <w:i/>
          <w:caps/>
        </w:rPr>
        <w:fldChar w:fldCharType="separate"/>
      </w:r>
      <w:r>
        <w:rPr>
          <w:rFonts w:hint="eastAsia" w:ascii="宋体" w:hAnsi="宋体" w:cs="宋体"/>
        </w:rPr>
        <w:t>1 合同设备</w:t>
      </w:r>
      <w:r>
        <w:tab/>
      </w:r>
      <w:r>
        <w:fldChar w:fldCharType="begin"/>
      </w:r>
      <w:r>
        <w:instrText xml:space="preserve"> PAGEREF _Toc1740 \h </w:instrText>
      </w:r>
      <w:r>
        <w:fldChar w:fldCharType="separate"/>
      </w:r>
      <w:r>
        <w:t>36</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_Toc22347 </w:instrText>
      </w:r>
      <w:r>
        <w:rPr>
          <w:rFonts w:ascii="宋体" w:hAnsi="宋体" w:cs="宋体"/>
          <w:i/>
          <w:caps/>
        </w:rPr>
        <w:fldChar w:fldCharType="separate"/>
      </w:r>
      <w:r>
        <w:rPr>
          <w:rFonts w:hint="eastAsia" w:ascii="宋体" w:hAnsi="宋体" w:cs="宋体"/>
        </w:rPr>
        <w:t>2 包装</w:t>
      </w:r>
      <w:r>
        <w:tab/>
      </w:r>
      <w:r>
        <w:fldChar w:fldCharType="begin"/>
      </w:r>
      <w:r>
        <w:instrText xml:space="preserve"> PAGEREF _Toc22347 \h </w:instrText>
      </w:r>
      <w:r>
        <w:fldChar w:fldCharType="separate"/>
      </w:r>
      <w:r>
        <w:t>36</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_Toc8215 </w:instrText>
      </w:r>
      <w:r>
        <w:rPr>
          <w:rFonts w:ascii="宋体" w:hAnsi="宋体" w:cs="宋体"/>
          <w:i/>
          <w:caps/>
        </w:rPr>
        <w:fldChar w:fldCharType="separate"/>
      </w:r>
      <w:r>
        <w:rPr>
          <w:rFonts w:hint="eastAsia" w:ascii="宋体" w:hAnsi="宋体" w:cs="宋体"/>
        </w:rPr>
        <w:t>3 运输标记</w:t>
      </w:r>
      <w:r>
        <w:tab/>
      </w:r>
      <w:r>
        <w:fldChar w:fldCharType="begin"/>
      </w:r>
      <w:r>
        <w:instrText xml:space="preserve"> PAGEREF _Toc8215 \h </w:instrText>
      </w:r>
      <w:r>
        <w:fldChar w:fldCharType="separate"/>
      </w:r>
      <w:r>
        <w:t>36</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_Toc22787 </w:instrText>
      </w:r>
      <w:r>
        <w:rPr>
          <w:rFonts w:ascii="宋体" w:hAnsi="宋体" w:cs="宋体"/>
          <w:i/>
          <w:caps/>
        </w:rPr>
        <w:fldChar w:fldCharType="separate"/>
      </w:r>
      <w:r>
        <w:rPr>
          <w:rFonts w:hint="eastAsia" w:ascii="宋体" w:hAnsi="宋体" w:cs="宋体"/>
        </w:rPr>
        <w:t>4 检验</w:t>
      </w:r>
      <w:r>
        <w:tab/>
      </w:r>
      <w:r>
        <w:fldChar w:fldCharType="begin"/>
      </w:r>
      <w:r>
        <w:instrText xml:space="preserve"> PAGEREF _Toc22787 \h </w:instrText>
      </w:r>
      <w:r>
        <w:fldChar w:fldCharType="separate"/>
      </w:r>
      <w:r>
        <w:t>37</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_Toc28097 </w:instrText>
      </w:r>
      <w:r>
        <w:rPr>
          <w:rFonts w:ascii="宋体" w:hAnsi="宋体" w:cs="宋体"/>
          <w:i/>
          <w:caps/>
        </w:rPr>
        <w:fldChar w:fldCharType="separate"/>
      </w:r>
      <w:r>
        <w:rPr>
          <w:rFonts w:hint="eastAsia" w:ascii="宋体" w:hAnsi="宋体" w:cs="宋体"/>
        </w:rPr>
        <w:t>5 权利担保</w:t>
      </w:r>
      <w:r>
        <w:tab/>
      </w:r>
      <w:r>
        <w:fldChar w:fldCharType="begin"/>
      </w:r>
      <w:r>
        <w:instrText xml:space="preserve"> PAGEREF _Toc28097 \h </w:instrText>
      </w:r>
      <w:r>
        <w:fldChar w:fldCharType="separate"/>
      </w:r>
      <w:r>
        <w:t>37</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_Toc17588 </w:instrText>
      </w:r>
      <w:r>
        <w:rPr>
          <w:rFonts w:ascii="宋体" w:hAnsi="宋体" w:cs="宋体"/>
          <w:i/>
          <w:caps/>
        </w:rPr>
        <w:fldChar w:fldCharType="separate"/>
      </w:r>
      <w:r>
        <w:rPr>
          <w:rFonts w:hint="eastAsia" w:ascii="宋体" w:hAnsi="宋体" w:cs="宋体"/>
        </w:rPr>
        <w:t>6 交货</w:t>
      </w:r>
      <w:r>
        <w:tab/>
      </w:r>
      <w:r>
        <w:fldChar w:fldCharType="begin"/>
      </w:r>
      <w:r>
        <w:instrText xml:space="preserve"> PAGEREF _Toc17588 \h </w:instrText>
      </w:r>
      <w:r>
        <w:fldChar w:fldCharType="separate"/>
      </w:r>
      <w:r>
        <w:t>37</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_Toc17735 </w:instrText>
      </w:r>
      <w:r>
        <w:rPr>
          <w:rFonts w:ascii="宋体" w:hAnsi="宋体" w:cs="宋体"/>
          <w:i/>
          <w:caps/>
        </w:rPr>
        <w:fldChar w:fldCharType="separate"/>
      </w:r>
      <w:r>
        <w:rPr>
          <w:rFonts w:hint="eastAsia" w:ascii="宋体" w:hAnsi="宋体" w:cs="宋体"/>
        </w:rPr>
        <w:t>7 安装、调试</w:t>
      </w:r>
      <w:r>
        <w:tab/>
      </w:r>
      <w:r>
        <w:fldChar w:fldCharType="begin"/>
      </w:r>
      <w:r>
        <w:instrText xml:space="preserve"> PAGEREF _Toc17735 \h </w:instrText>
      </w:r>
      <w:r>
        <w:fldChar w:fldCharType="separate"/>
      </w:r>
      <w:r>
        <w:t>38</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_Toc9341 </w:instrText>
      </w:r>
      <w:r>
        <w:rPr>
          <w:rFonts w:ascii="宋体" w:hAnsi="宋体" w:cs="宋体"/>
          <w:i/>
          <w:caps/>
        </w:rPr>
        <w:fldChar w:fldCharType="separate"/>
      </w:r>
      <w:r>
        <w:rPr>
          <w:rFonts w:hint="eastAsia" w:ascii="宋体" w:hAnsi="宋体" w:cs="宋体"/>
        </w:rPr>
        <w:t>8 价款与支付</w:t>
      </w:r>
      <w:r>
        <w:tab/>
      </w:r>
      <w:r>
        <w:fldChar w:fldCharType="begin"/>
      </w:r>
      <w:r>
        <w:instrText xml:space="preserve"> PAGEREF _Toc9341 \h </w:instrText>
      </w:r>
      <w:r>
        <w:fldChar w:fldCharType="separate"/>
      </w:r>
      <w:r>
        <w:t>38</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_Toc20602 </w:instrText>
      </w:r>
      <w:r>
        <w:rPr>
          <w:rFonts w:ascii="宋体" w:hAnsi="宋体" w:cs="宋体"/>
          <w:i/>
          <w:caps/>
        </w:rPr>
        <w:fldChar w:fldCharType="separate"/>
      </w:r>
      <w:r>
        <w:rPr>
          <w:rFonts w:hint="eastAsia" w:ascii="宋体" w:hAnsi="宋体" w:cs="宋体"/>
        </w:rPr>
        <w:t>9 质量保证及售后服务</w:t>
      </w:r>
      <w:r>
        <w:tab/>
      </w:r>
      <w:r>
        <w:fldChar w:fldCharType="begin"/>
      </w:r>
      <w:r>
        <w:instrText xml:space="preserve"> PAGEREF _Toc20602 \h </w:instrText>
      </w:r>
      <w:r>
        <w:fldChar w:fldCharType="separate"/>
      </w:r>
      <w:r>
        <w:t>39</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_Toc27223 </w:instrText>
      </w:r>
      <w:r>
        <w:rPr>
          <w:rFonts w:ascii="宋体" w:hAnsi="宋体" w:cs="宋体"/>
          <w:i/>
          <w:caps/>
        </w:rPr>
        <w:fldChar w:fldCharType="separate"/>
      </w:r>
      <w:r>
        <w:rPr>
          <w:rFonts w:hint="eastAsia" w:ascii="宋体" w:hAnsi="宋体" w:cs="宋体"/>
        </w:rPr>
        <w:t>10法定责任</w:t>
      </w:r>
      <w:r>
        <w:tab/>
      </w:r>
      <w:r>
        <w:fldChar w:fldCharType="begin"/>
      </w:r>
      <w:r>
        <w:instrText xml:space="preserve"> PAGEREF _Toc27223 \h </w:instrText>
      </w:r>
      <w:r>
        <w:fldChar w:fldCharType="separate"/>
      </w:r>
      <w:r>
        <w:t>39</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_Toc4917 </w:instrText>
      </w:r>
      <w:r>
        <w:rPr>
          <w:rFonts w:ascii="宋体" w:hAnsi="宋体" w:cs="宋体"/>
          <w:i/>
          <w:caps/>
        </w:rPr>
        <w:fldChar w:fldCharType="separate"/>
      </w:r>
      <w:r>
        <w:rPr>
          <w:rFonts w:hint="eastAsia" w:ascii="宋体" w:hAnsi="宋体" w:cs="宋体"/>
        </w:rPr>
        <w:t>11 违约责任</w:t>
      </w:r>
      <w:r>
        <w:tab/>
      </w:r>
      <w:r>
        <w:fldChar w:fldCharType="begin"/>
      </w:r>
      <w:r>
        <w:instrText xml:space="preserve"> PAGEREF _Toc4917 \h </w:instrText>
      </w:r>
      <w:r>
        <w:fldChar w:fldCharType="separate"/>
      </w:r>
      <w:r>
        <w:t>39</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_Toc1386 </w:instrText>
      </w:r>
      <w:r>
        <w:rPr>
          <w:rFonts w:ascii="宋体" w:hAnsi="宋体" w:cs="宋体"/>
          <w:i/>
          <w:caps/>
        </w:rPr>
        <w:fldChar w:fldCharType="separate"/>
      </w:r>
      <w:r>
        <w:rPr>
          <w:rFonts w:hint="eastAsia" w:ascii="宋体" w:hAnsi="宋体" w:cs="宋体"/>
        </w:rPr>
        <w:t>12 合同的终止与解除</w:t>
      </w:r>
      <w:r>
        <w:tab/>
      </w:r>
      <w:r>
        <w:fldChar w:fldCharType="begin"/>
      </w:r>
      <w:r>
        <w:instrText xml:space="preserve"> PAGEREF _Toc1386 \h </w:instrText>
      </w:r>
      <w:r>
        <w:fldChar w:fldCharType="separate"/>
      </w:r>
      <w:r>
        <w:t>40</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_Toc14290 </w:instrText>
      </w:r>
      <w:r>
        <w:rPr>
          <w:rFonts w:ascii="宋体" w:hAnsi="宋体" w:cs="宋体"/>
          <w:i/>
          <w:caps/>
        </w:rPr>
        <w:fldChar w:fldCharType="separate"/>
      </w:r>
      <w:r>
        <w:rPr>
          <w:rFonts w:hint="eastAsia" w:ascii="宋体" w:hAnsi="宋体" w:cs="宋体"/>
        </w:rPr>
        <w:t>13 不可抗力</w:t>
      </w:r>
      <w:r>
        <w:tab/>
      </w:r>
      <w:r>
        <w:fldChar w:fldCharType="begin"/>
      </w:r>
      <w:r>
        <w:instrText xml:space="preserve"> PAGEREF _Toc14290 \h </w:instrText>
      </w:r>
      <w:r>
        <w:fldChar w:fldCharType="separate"/>
      </w:r>
      <w:r>
        <w:t>41</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_Toc22319 </w:instrText>
      </w:r>
      <w:r>
        <w:rPr>
          <w:rFonts w:ascii="宋体" w:hAnsi="宋体" w:cs="宋体"/>
          <w:i/>
          <w:caps/>
        </w:rPr>
        <w:fldChar w:fldCharType="separate"/>
      </w:r>
      <w:r>
        <w:rPr>
          <w:rFonts w:hint="eastAsia" w:ascii="宋体" w:hAnsi="宋体" w:cs="宋体"/>
        </w:rPr>
        <w:t>14 通讯</w:t>
      </w:r>
      <w:r>
        <w:tab/>
      </w:r>
      <w:r>
        <w:fldChar w:fldCharType="begin"/>
      </w:r>
      <w:r>
        <w:instrText xml:space="preserve"> PAGEREF _Toc22319 \h </w:instrText>
      </w:r>
      <w:r>
        <w:fldChar w:fldCharType="separate"/>
      </w:r>
      <w:r>
        <w:t>41</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_Toc8262 </w:instrText>
      </w:r>
      <w:r>
        <w:rPr>
          <w:rFonts w:ascii="宋体" w:hAnsi="宋体" w:cs="宋体"/>
          <w:i/>
          <w:caps/>
        </w:rPr>
        <w:fldChar w:fldCharType="separate"/>
      </w:r>
      <w:r>
        <w:rPr>
          <w:rFonts w:hint="eastAsia" w:ascii="宋体" w:hAnsi="宋体" w:cs="宋体"/>
        </w:rPr>
        <w:t>15 适用法律及争议解决</w:t>
      </w:r>
      <w:r>
        <w:tab/>
      </w:r>
      <w:r>
        <w:fldChar w:fldCharType="begin"/>
      </w:r>
      <w:r>
        <w:instrText xml:space="preserve"> PAGEREF _Toc8262 \h </w:instrText>
      </w:r>
      <w:r>
        <w:fldChar w:fldCharType="separate"/>
      </w:r>
      <w:r>
        <w:t>42</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_Toc11943 </w:instrText>
      </w:r>
      <w:r>
        <w:rPr>
          <w:rFonts w:ascii="宋体" w:hAnsi="宋体" w:cs="宋体"/>
          <w:i/>
          <w:caps/>
        </w:rPr>
        <w:fldChar w:fldCharType="separate"/>
      </w:r>
      <w:r>
        <w:rPr>
          <w:rFonts w:hint="eastAsia" w:ascii="宋体" w:hAnsi="宋体" w:cs="宋体"/>
        </w:rPr>
        <w:t>16 附件</w:t>
      </w:r>
      <w:r>
        <w:tab/>
      </w:r>
      <w:r>
        <w:fldChar w:fldCharType="begin"/>
      </w:r>
      <w:r>
        <w:instrText xml:space="preserve"> PAGEREF _Toc11943 \h </w:instrText>
      </w:r>
      <w:r>
        <w:fldChar w:fldCharType="separate"/>
      </w:r>
      <w:r>
        <w:t>42</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_Toc26884 </w:instrText>
      </w:r>
      <w:r>
        <w:rPr>
          <w:rFonts w:ascii="宋体" w:hAnsi="宋体" w:cs="宋体"/>
          <w:i/>
          <w:caps/>
        </w:rPr>
        <w:fldChar w:fldCharType="separate"/>
      </w:r>
      <w:r>
        <w:rPr>
          <w:rFonts w:hint="eastAsia" w:ascii="宋体" w:hAnsi="宋体" w:cs="宋体"/>
        </w:rPr>
        <w:t>17 其他规定</w:t>
      </w:r>
      <w:r>
        <w:tab/>
      </w:r>
      <w:r>
        <w:fldChar w:fldCharType="begin"/>
      </w:r>
      <w:r>
        <w:instrText xml:space="preserve"> PAGEREF _Toc26884 \h </w:instrText>
      </w:r>
      <w:r>
        <w:fldChar w:fldCharType="separate"/>
      </w:r>
      <w:r>
        <w:t>42</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_Toc25122 </w:instrText>
      </w:r>
      <w:r>
        <w:rPr>
          <w:rFonts w:ascii="宋体" w:hAnsi="宋体" w:cs="宋体"/>
          <w:i/>
          <w:caps/>
        </w:rPr>
        <w:fldChar w:fldCharType="separate"/>
      </w:r>
      <w:r>
        <w:rPr>
          <w:rFonts w:hint="eastAsia" w:ascii="宋体" w:hAnsi="宋体" w:cs="宋体"/>
        </w:rPr>
        <w:t>18 签署事项</w:t>
      </w:r>
      <w:r>
        <w:tab/>
      </w:r>
      <w:r>
        <w:fldChar w:fldCharType="begin"/>
      </w:r>
      <w:r>
        <w:instrText xml:space="preserve"> PAGEREF _Toc25122 \h </w:instrText>
      </w:r>
      <w:r>
        <w:fldChar w:fldCharType="separate"/>
      </w:r>
      <w:r>
        <w:t>42</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_Toc13336 </w:instrText>
      </w:r>
      <w:r>
        <w:rPr>
          <w:rFonts w:ascii="宋体" w:hAnsi="宋体" w:cs="宋体"/>
          <w:i/>
          <w:caps/>
        </w:rPr>
        <w:fldChar w:fldCharType="separate"/>
      </w:r>
      <w:r>
        <w:rPr>
          <w:rFonts w:hint="eastAsia" w:ascii="宋体" w:hAnsi="宋体" w:cs="宋体"/>
        </w:rPr>
        <w:t>附件一：设备清单明细表</w:t>
      </w:r>
      <w:r>
        <w:tab/>
      </w:r>
      <w:r>
        <w:fldChar w:fldCharType="begin"/>
      </w:r>
      <w:r>
        <w:instrText xml:space="preserve"> PAGEREF _Toc13336 \h </w:instrText>
      </w:r>
      <w:r>
        <w:fldChar w:fldCharType="separate"/>
      </w:r>
      <w:r>
        <w:t>44</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_Toc9330 </w:instrText>
      </w:r>
      <w:r>
        <w:rPr>
          <w:rFonts w:ascii="宋体" w:hAnsi="宋体" w:cs="宋体"/>
          <w:i/>
          <w:caps/>
        </w:rPr>
        <w:fldChar w:fldCharType="separate"/>
      </w:r>
      <w:r>
        <w:rPr>
          <w:rFonts w:hint="eastAsia" w:ascii="宋体" w:hAnsi="宋体" w:cs="宋体"/>
        </w:rPr>
        <w:t>附件二 技术协议书</w:t>
      </w:r>
      <w:r>
        <w:tab/>
      </w:r>
      <w:r>
        <w:fldChar w:fldCharType="begin"/>
      </w:r>
      <w:r>
        <w:instrText xml:space="preserve"> PAGEREF _Toc9330 \h </w:instrText>
      </w:r>
      <w:r>
        <w:fldChar w:fldCharType="separate"/>
      </w:r>
      <w:r>
        <w:t>44</w:t>
      </w:r>
      <w:r>
        <w:fldChar w:fldCharType="end"/>
      </w:r>
      <w:r>
        <w:rPr>
          <w:rFonts w:ascii="宋体" w:hAnsi="宋体" w:cs="宋体"/>
          <w:i/>
          <w:caps/>
        </w:rPr>
        <w:fldChar w:fldCharType="end"/>
      </w:r>
    </w:p>
    <w:p>
      <w:pPr>
        <w:pStyle w:val="52"/>
        <w:tabs>
          <w:tab w:val="right" w:leader="dot" w:pos="9214"/>
        </w:tabs>
      </w:pPr>
      <w:r>
        <w:rPr>
          <w:rFonts w:ascii="宋体" w:hAnsi="宋体" w:cs="宋体"/>
          <w:i/>
          <w:caps/>
        </w:rPr>
        <w:fldChar w:fldCharType="begin"/>
      </w:r>
      <w:r>
        <w:rPr>
          <w:rFonts w:ascii="宋体" w:hAnsi="宋体" w:cs="宋体"/>
          <w:i/>
          <w:caps/>
        </w:rPr>
        <w:instrText xml:space="preserve"> HYPERLINK \l _Toc1573 </w:instrText>
      </w:r>
      <w:r>
        <w:rPr>
          <w:rFonts w:ascii="宋体" w:hAnsi="宋体" w:cs="宋体"/>
          <w:i/>
          <w:caps/>
        </w:rPr>
        <w:fldChar w:fldCharType="separate"/>
      </w:r>
      <w:r>
        <w:rPr>
          <w:rFonts w:hint="eastAsia"/>
        </w:rPr>
        <w:t>第六章附件</w:t>
      </w:r>
      <w:r>
        <w:tab/>
      </w:r>
      <w:r>
        <w:fldChar w:fldCharType="begin"/>
      </w:r>
      <w:r>
        <w:instrText xml:space="preserve"> PAGEREF _Toc1573 \h </w:instrText>
      </w:r>
      <w:r>
        <w:fldChar w:fldCharType="separate"/>
      </w:r>
      <w:r>
        <w:t>45</w:t>
      </w:r>
      <w:r>
        <w:fldChar w:fldCharType="end"/>
      </w:r>
      <w:r>
        <w:rPr>
          <w:rFonts w:ascii="宋体" w:hAnsi="宋体" w:cs="宋体"/>
          <w:i/>
          <w:caps/>
        </w:rPr>
        <w:fldChar w:fldCharType="end"/>
      </w:r>
    </w:p>
    <w:p>
      <w:pPr>
        <w:pStyle w:val="39"/>
        <w:tabs>
          <w:tab w:val="right" w:leader="dot" w:pos="9214"/>
        </w:tabs>
      </w:pPr>
      <w:r>
        <w:rPr>
          <w:rFonts w:ascii="宋体" w:hAnsi="宋体" w:cs="宋体"/>
          <w:i/>
          <w:caps/>
        </w:rPr>
        <w:fldChar w:fldCharType="begin"/>
      </w:r>
      <w:r>
        <w:rPr>
          <w:rFonts w:ascii="宋体" w:hAnsi="宋体" w:cs="宋体"/>
          <w:i/>
          <w:caps/>
        </w:rPr>
        <w:instrText xml:space="preserve"> HYPERLINK \l _Toc22650 </w:instrText>
      </w:r>
      <w:r>
        <w:rPr>
          <w:rFonts w:ascii="宋体" w:hAnsi="宋体" w:cs="宋体"/>
          <w:i/>
          <w:caps/>
        </w:rPr>
        <w:fldChar w:fldCharType="separate"/>
      </w:r>
      <w:r>
        <w:rPr>
          <w:rFonts w:hint="eastAsia" w:ascii="宋体" w:hAnsi="宋体" w:cs="宋体"/>
          <w:bCs w:val="0"/>
          <w:szCs w:val="24"/>
        </w:rPr>
        <w:t>附件一：投标函</w:t>
      </w:r>
      <w:r>
        <w:tab/>
      </w:r>
      <w:r>
        <w:fldChar w:fldCharType="begin"/>
      </w:r>
      <w:r>
        <w:instrText xml:space="preserve"> PAGEREF _Toc22650 \h </w:instrText>
      </w:r>
      <w:r>
        <w:fldChar w:fldCharType="separate"/>
      </w:r>
      <w:r>
        <w:t>46</w:t>
      </w:r>
      <w:r>
        <w:fldChar w:fldCharType="end"/>
      </w:r>
      <w:r>
        <w:rPr>
          <w:rFonts w:ascii="宋体" w:hAnsi="宋体" w:cs="宋体"/>
          <w:i/>
          <w:caps/>
        </w:rPr>
        <w:fldChar w:fldCharType="end"/>
      </w:r>
    </w:p>
    <w:p>
      <w:pPr>
        <w:pStyle w:val="39"/>
        <w:tabs>
          <w:tab w:val="right" w:leader="dot" w:pos="9214"/>
        </w:tabs>
      </w:pPr>
      <w:r>
        <w:rPr>
          <w:rFonts w:ascii="宋体" w:hAnsi="宋体" w:cs="宋体"/>
          <w:i/>
          <w:caps/>
        </w:rPr>
        <w:fldChar w:fldCharType="begin"/>
      </w:r>
      <w:r>
        <w:rPr>
          <w:rFonts w:ascii="宋体" w:hAnsi="宋体" w:cs="宋体"/>
          <w:i/>
          <w:caps/>
        </w:rPr>
        <w:instrText xml:space="preserve"> HYPERLINK \l _Toc3102 </w:instrText>
      </w:r>
      <w:r>
        <w:rPr>
          <w:rFonts w:ascii="宋体" w:hAnsi="宋体" w:cs="宋体"/>
          <w:i/>
          <w:caps/>
        </w:rPr>
        <w:fldChar w:fldCharType="separate"/>
      </w:r>
      <w:r>
        <w:rPr>
          <w:rFonts w:hint="eastAsia" w:ascii="宋体" w:hAnsi="宋体" w:cs="宋体"/>
          <w:bCs w:val="0"/>
          <w:szCs w:val="24"/>
        </w:rPr>
        <w:t>附件二：授权委托书</w:t>
      </w:r>
      <w:r>
        <w:tab/>
      </w:r>
      <w:r>
        <w:fldChar w:fldCharType="begin"/>
      </w:r>
      <w:r>
        <w:instrText xml:space="preserve"> PAGEREF _Toc3102 \h </w:instrText>
      </w:r>
      <w:r>
        <w:fldChar w:fldCharType="separate"/>
      </w:r>
      <w:r>
        <w:t>47</w:t>
      </w:r>
      <w:r>
        <w:fldChar w:fldCharType="end"/>
      </w:r>
      <w:r>
        <w:rPr>
          <w:rFonts w:ascii="宋体" w:hAnsi="宋体" w:cs="宋体"/>
          <w:i/>
          <w:caps/>
        </w:rPr>
        <w:fldChar w:fldCharType="end"/>
      </w:r>
    </w:p>
    <w:p>
      <w:pPr>
        <w:pStyle w:val="39"/>
        <w:tabs>
          <w:tab w:val="right" w:leader="dot" w:pos="9214"/>
        </w:tabs>
      </w:pPr>
      <w:r>
        <w:rPr>
          <w:rFonts w:ascii="宋体" w:hAnsi="宋体" w:cs="宋体"/>
          <w:i/>
          <w:caps/>
        </w:rPr>
        <w:fldChar w:fldCharType="begin"/>
      </w:r>
      <w:r>
        <w:rPr>
          <w:rFonts w:ascii="宋体" w:hAnsi="宋体" w:cs="宋体"/>
          <w:i/>
          <w:caps/>
        </w:rPr>
        <w:instrText xml:space="preserve"> HYPERLINK \l _Toc32379 </w:instrText>
      </w:r>
      <w:r>
        <w:rPr>
          <w:rFonts w:ascii="宋体" w:hAnsi="宋体" w:cs="宋体"/>
          <w:i/>
          <w:caps/>
        </w:rPr>
        <w:fldChar w:fldCharType="separate"/>
      </w:r>
      <w:r>
        <w:rPr>
          <w:rFonts w:hint="eastAsia" w:ascii="宋体" w:hAnsi="宋体" w:cs="宋体"/>
          <w:bCs w:val="0"/>
          <w:szCs w:val="24"/>
        </w:rPr>
        <w:t>附件三、投标方基本情况表</w:t>
      </w:r>
      <w:r>
        <w:tab/>
      </w:r>
      <w:r>
        <w:fldChar w:fldCharType="begin"/>
      </w:r>
      <w:r>
        <w:instrText xml:space="preserve"> PAGEREF _Toc32379 \h </w:instrText>
      </w:r>
      <w:r>
        <w:fldChar w:fldCharType="separate"/>
      </w:r>
      <w:r>
        <w:t>48</w:t>
      </w:r>
      <w:r>
        <w:fldChar w:fldCharType="end"/>
      </w:r>
      <w:r>
        <w:rPr>
          <w:rFonts w:ascii="宋体" w:hAnsi="宋体" w:cs="宋体"/>
          <w:i/>
          <w:caps/>
        </w:rPr>
        <w:fldChar w:fldCharType="end"/>
      </w:r>
    </w:p>
    <w:p>
      <w:pPr>
        <w:pStyle w:val="39"/>
        <w:tabs>
          <w:tab w:val="right" w:leader="dot" w:pos="9214"/>
        </w:tabs>
      </w:pPr>
      <w:r>
        <w:rPr>
          <w:rFonts w:ascii="宋体" w:hAnsi="宋体" w:cs="宋体"/>
          <w:i/>
          <w:caps/>
        </w:rPr>
        <w:fldChar w:fldCharType="begin"/>
      </w:r>
      <w:r>
        <w:rPr>
          <w:rFonts w:ascii="宋体" w:hAnsi="宋体" w:cs="宋体"/>
          <w:i/>
          <w:caps/>
        </w:rPr>
        <w:instrText xml:space="preserve"> HYPERLINK \l _Toc6130 </w:instrText>
      </w:r>
      <w:r>
        <w:rPr>
          <w:rFonts w:ascii="宋体" w:hAnsi="宋体" w:cs="宋体"/>
          <w:i/>
          <w:caps/>
        </w:rPr>
        <w:fldChar w:fldCharType="separate"/>
      </w:r>
      <w:r>
        <w:rPr>
          <w:rFonts w:hint="eastAsia" w:ascii="宋体" w:hAnsi="宋体" w:cs="宋体"/>
          <w:bCs w:val="0"/>
          <w:szCs w:val="24"/>
        </w:rPr>
        <w:t>附件四：开标一览表</w:t>
      </w:r>
      <w:r>
        <w:tab/>
      </w:r>
      <w:r>
        <w:fldChar w:fldCharType="begin"/>
      </w:r>
      <w:r>
        <w:instrText xml:space="preserve"> PAGEREF _Toc6130 \h </w:instrText>
      </w:r>
      <w:r>
        <w:fldChar w:fldCharType="separate"/>
      </w:r>
      <w:r>
        <w:t>49</w:t>
      </w:r>
      <w:r>
        <w:fldChar w:fldCharType="end"/>
      </w:r>
      <w:r>
        <w:rPr>
          <w:rFonts w:ascii="宋体" w:hAnsi="宋体" w:cs="宋体"/>
          <w:i/>
          <w:caps/>
        </w:rPr>
        <w:fldChar w:fldCharType="end"/>
      </w:r>
    </w:p>
    <w:p>
      <w:pPr>
        <w:pStyle w:val="39"/>
        <w:tabs>
          <w:tab w:val="right" w:leader="dot" w:pos="9214"/>
        </w:tabs>
      </w:pPr>
      <w:r>
        <w:rPr>
          <w:rFonts w:ascii="宋体" w:hAnsi="宋体" w:cs="宋体"/>
          <w:i/>
          <w:caps/>
        </w:rPr>
        <w:fldChar w:fldCharType="begin"/>
      </w:r>
      <w:r>
        <w:rPr>
          <w:rFonts w:ascii="宋体" w:hAnsi="宋体" w:cs="宋体"/>
          <w:i/>
          <w:caps/>
        </w:rPr>
        <w:instrText xml:space="preserve"> HYPERLINK \l _Toc28820 </w:instrText>
      </w:r>
      <w:r>
        <w:rPr>
          <w:rFonts w:ascii="宋体" w:hAnsi="宋体" w:cs="宋体"/>
          <w:i/>
          <w:caps/>
        </w:rPr>
        <w:fldChar w:fldCharType="separate"/>
      </w:r>
      <w:r>
        <w:rPr>
          <w:rFonts w:hint="eastAsia" w:ascii="宋体" w:hAnsi="宋体" w:cs="宋体"/>
          <w:bCs w:val="0"/>
          <w:szCs w:val="24"/>
        </w:rPr>
        <w:t>附件五、投标分项报价表</w:t>
      </w:r>
      <w:r>
        <w:tab/>
      </w:r>
      <w:r>
        <w:fldChar w:fldCharType="begin"/>
      </w:r>
      <w:r>
        <w:instrText xml:space="preserve"> PAGEREF _Toc28820 \h </w:instrText>
      </w:r>
      <w:r>
        <w:fldChar w:fldCharType="separate"/>
      </w:r>
      <w:r>
        <w:t>50</w:t>
      </w:r>
      <w:r>
        <w:fldChar w:fldCharType="end"/>
      </w:r>
      <w:r>
        <w:rPr>
          <w:rFonts w:ascii="宋体" w:hAnsi="宋体" w:cs="宋体"/>
          <w:i/>
          <w:caps/>
        </w:rPr>
        <w:fldChar w:fldCharType="end"/>
      </w:r>
    </w:p>
    <w:p>
      <w:pPr>
        <w:pStyle w:val="39"/>
        <w:tabs>
          <w:tab w:val="right" w:leader="dot" w:pos="9214"/>
        </w:tabs>
      </w:pPr>
      <w:r>
        <w:rPr>
          <w:rFonts w:ascii="宋体" w:hAnsi="宋体" w:cs="宋体"/>
          <w:i/>
          <w:caps/>
        </w:rPr>
        <w:fldChar w:fldCharType="begin"/>
      </w:r>
      <w:r>
        <w:rPr>
          <w:rFonts w:ascii="宋体" w:hAnsi="宋体" w:cs="宋体"/>
          <w:i/>
          <w:caps/>
        </w:rPr>
        <w:instrText xml:space="preserve"> HYPERLINK \l _Toc21387 </w:instrText>
      </w:r>
      <w:r>
        <w:rPr>
          <w:rFonts w:ascii="宋体" w:hAnsi="宋体" w:cs="宋体"/>
          <w:i/>
          <w:caps/>
        </w:rPr>
        <w:fldChar w:fldCharType="separate"/>
      </w:r>
      <w:r>
        <w:rPr>
          <w:rFonts w:hint="eastAsia" w:ascii="宋体" w:hAnsi="宋体" w:cs="宋体"/>
          <w:bCs w:val="0"/>
          <w:szCs w:val="24"/>
        </w:rPr>
        <w:t>附件六、设备投标报价分解表</w:t>
      </w:r>
      <w:r>
        <w:tab/>
      </w:r>
      <w:r>
        <w:fldChar w:fldCharType="begin"/>
      </w:r>
      <w:r>
        <w:instrText xml:space="preserve"> PAGEREF _Toc21387 \h </w:instrText>
      </w:r>
      <w:r>
        <w:fldChar w:fldCharType="separate"/>
      </w:r>
      <w:r>
        <w:t>51</w:t>
      </w:r>
      <w:r>
        <w:fldChar w:fldCharType="end"/>
      </w:r>
      <w:r>
        <w:rPr>
          <w:rFonts w:ascii="宋体" w:hAnsi="宋体" w:cs="宋体"/>
          <w:i/>
          <w:caps/>
        </w:rPr>
        <w:fldChar w:fldCharType="end"/>
      </w:r>
    </w:p>
    <w:p>
      <w:pPr>
        <w:pStyle w:val="39"/>
        <w:tabs>
          <w:tab w:val="right" w:leader="dot" w:pos="9214"/>
        </w:tabs>
      </w:pPr>
      <w:r>
        <w:rPr>
          <w:rFonts w:ascii="宋体" w:hAnsi="宋体" w:cs="宋体"/>
          <w:i/>
          <w:caps/>
        </w:rPr>
        <w:fldChar w:fldCharType="begin"/>
      </w:r>
      <w:r>
        <w:rPr>
          <w:rFonts w:ascii="宋体" w:hAnsi="宋体" w:cs="宋体"/>
          <w:i/>
          <w:caps/>
        </w:rPr>
        <w:instrText xml:space="preserve"> HYPERLINK \l _Toc4158 </w:instrText>
      </w:r>
      <w:r>
        <w:rPr>
          <w:rFonts w:ascii="宋体" w:hAnsi="宋体" w:cs="宋体"/>
          <w:i/>
          <w:caps/>
        </w:rPr>
        <w:fldChar w:fldCharType="separate"/>
      </w:r>
      <w:r>
        <w:rPr>
          <w:rFonts w:hint="eastAsia" w:ascii="宋体" w:hAnsi="宋体" w:cs="宋体"/>
          <w:bCs w:val="0"/>
          <w:szCs w:val="24"/>
        </w:rPr>
        <w:t>附件七、技术规格偏离表</w:t>
      </w:r>
      <w:r>
        <w:tab/>
      </w:r>
      <w:r>
        <w:fldChar w:fldCharType="begin"/>
      </w:r>
      <w:r>
        <w:instrText xml:space="preserve"> PAGEREF _Toc4158 \h </w:instrText>
      </w:r>
      <w:r>
        <w:fldChar w:fldCharType="separate"/>
      </w:r>
      <w:r>
        <w:t>52</w:t>
      </w:r>
      <w:r>
        <w:fldChar w:fldCharType="end"/>
      </w:r>
      <w:r>
        <w:rPr>
          <w:rFonts w:ascii="宋体" w:hAnsi="宋体" w:cs="宋体"/>
          <w:i/>
          <w:caps/>
        </w:rPr>
        <w:fldChar w:fldCharType="end"/>
      </w:r>
    </w:p>
    <w:p>
      <w:pPr>
        <w:pStyle w:val="39"/>
        <w:tabs>
          <w:tab w:val="right" w:leader="dot" w:pos="9214"/>
        </w:tabs>
      </w:pPr>
      <w:r>
        <w:rPr>
          <w:rFonts w:ascii="宋体" w:hAnsi="宋体" w:cs="宋体"/>
          <w:i/>
          <w:caps/>
        </w:rPr>
        <w:fldChar w:fldCharType="begin"/>
      </w:r>
      <w:r>
        <w:rPr>
          <w:rFonts w:ascii="宋体" w:hAnsi="宋体" w:cs="宋体"/>
          <w:i/>
          <w:caps/>
        </w:rPr>
        <w:instrText xml:space="preserve"> HYPERLINK \l _Toc25804 </w:instrText>
      </w:r>
      <w:r>
        <w:rPr>
          <w:rFonts w:ascii="宋体" w:hAnsi="宋体" w:cs="宋体"/>
          <w:i/>
          <w:caps/>
        </w:rPr>
        <w:fldChar w:fldCharType="separate"/>
      </w:r>
      <w:r>
        <w:rPr>
          <w:rFonts w:hint="eastAsia" w:ascii="宋体" w:hAnsi="宋体" w:cs="宋体"/>
          <w:bCs w:val="0"/>
          <w:szCs w:val="24"/>
        </w:rPr>
        <w:t>附件八、商务条款偏离表</w:t>
      </w:r>
      <w:r>
        <w:tab/>
      </w:r>
      <w:r>
        <w:fldChar w:fldCharType="begin"/>
      </w:r>
      <w:r>
        <w:instrText xml:space="preserve"> PAGEREF _Toc25804 \h </w:instrText>
      </w:r>
      <w:r>
        <w:fldChar w:fldCharType="separate"/>
      </w:r>
      <w:r>
        <w:t>53</w:t>
      </w:r>
      <w:r>
        <w:fldChar w:fldCharType="end"/>
      </w:r>
      <w:r>
        <w:rPr>
          <w:rFonts w:ascii="宋体" w:hAnsi="宋体" w:cs="宋体"/>
          <w:i/>
          <w:caps/>
        </w:rPr>
        <w:fldChar w:fldCharType="end"/>
      </w:r>
    </w:p>
    <w:p>
      <w:pPr>
        <w:pStyle w:val="39"/>
        <w:tabs>
          <w:tab w:val="right" w:leader="dot" w:pos="9214"/>
        </w:tabs>
      </w:pPr>
      <w:r>
        <w:rPr>
          <w:rFonts w:ascii="宋体" w:hAnsi="宋体" w:cs="宋体"/>
          <w:i/>
          <w:caps/>
        </w:rPr>
        <w:fldChar w:fldCharType="begin"/>
      </w:r>
      <w:r>
        <w:rPr>
          <w:rFonts w:ascii="宋体" w:hAnsi="宋体" w:cs="宋体"/>
          <w:i/>
          <w:caps/>
        </w:rPr>
        <w:instrText xml:space="preserve"> HYPERLINK \l _Toc21724 </w:instrText>
      </w:r>
      <w:r>
        <w:rPr>
          <w:rFonts w:ascii="宋体" w:hAnsi="宋体" w:cs="宋体"/>
          <w:i/>
          <w:caps/>
        </w:rPr>
        <w:fldChar w:fldCharType="separate"/>
      </w:r>
      <w:r>
        <w:rPr>
          <w:rFonts w:hint="eastAsia" w:ascii="宋体" w:hAnsi="宋体" w:cs="宋体"/>
          <w:bCs w:val="0"/>
          <w:szCs w:val="24"/>
        </w:rPr>
        <w:t>附件九、经营业绩一览表</w:t>
      </w:r>
      <w:r>
        <w:tab/>
      </w:r>
      <w:r>
        <w:fldChar w:fldCharType="begin"/>
      </w:r>
      <w:r>
        <w:instrText xml:space="preserve"> PAGEREF _Toc21724 \h </w:instrText>
      </w:r>
      <w:r>
        <w:fldChar w:fldCharType="separate"/>
      </w:r>
      <w:r>
        <w:t>54</w:t>
      </w:r>
      <w:r>
        <w:fldChar w:fldCharType="end"/>
      </w:r>
      <w:r>
        <w:rPr>
          <w:rFonts w:ascii="宋体" w:hAnsi="宋体" w:cs="宋体"/>
          <w:i/>
          <w:caps/>
        </w:rPr>
        <w:fldChar w:fldCharType="end"/>
      </w:r>
    </w:p>
    <w:p>
      <w:pPr>
        <w:pStyle w:val="39"/>
        <w:tabs>
          <w:tab w:val="right" w:leader="dot" w:pos="9214"/>
        </w:tabs>
      </w:pPr>
      <w:r>
        <w:rPr>
          <w:rFonts w:ascii="宋体" w:hAnsi="宋体" w:cs="宋体"/>
          <w:i/>
          <w:caps/>
        </w:rPr>
        <w:fldChar w:fldCharType="begin"/>
      </w:r>
      <w:r>
        <w:rPr>
          <w:rFonts w:ascii="宋体" w:hAnsi="宋体" w:cs="宋体"/>
          <w:i/>
          <w:caps/>
        </w:rPr>
        <w:instrText xml:space="preserve"> HYPERLINK \l _Toc21106 </w:instrText>
      </w:r>
      <w:r>
        <w:rPr>
          <w:rFonts w:ascii="宋体" w:hAnsi="宋体" w:cs="宋体"/>
          <w:i/>
          <w:caps/>
        </w:rPr>
        <w:fldChar w:fldCharType="separate"/>
      </w:r>
      <w:r>
        <w:rPr>
          <w:rFonts w:hint="eastAsia" w:ascii="宋体" w:hAnsi="宋体" w:cs="宋体"/>
          <w:bCs w:val="0"/>
          <w:szCs w:val="24"/>
        </w:rPr>
        <w:t>附件十、服务承诺函</w:t>
      </w:r>
      <w:r>
        <w:tab/>
      </w:r>
      <w:r>
        <w:fldChar w:fldCharType="begin"/>
      </w:r>
      <w:r>
        <w:instrText xml:space="preserve"> PAGEREF _Toc21106 \h </w:instrText>
      </w:r>
      <w:r>
        <w:fldChar w:fldCharType="separate"/>
      </w:r>
      <w:r>
        <w:t>55</w:t>
      </w:r>
      <w:r>
        <w:fldChar w:fldCharType="end"/>
      </w:r>
      <w:r>
        <w:rPr>
          <w:rFonts w:ascii="宋体" w:hAnsi="宋体" w:cs="宋体"/>
          <w:i/>
          <w:caps/>
        </w:rPr>
        <w:fldChar w:fldCharType="end"/>
      </w:r>
    </w:p>
    <w:p>
      <w:pPr>
        <w:pStyle w:val="39"/>
        <w:tabs>
          <w:tab w:val="right" w:leader="dot" w:pos="9214"/>
        </w:tabs>
      </w:pPr>
      <w:r>
        <w:rPr>
          <w:rFonts w:ascii="宋体" w:hAnsi="宋体" w:cs="宋体"/>
          <w:i/>
          <w:caps/>
        </w:rPr>
        <w:fldChar w:fldCharType="begin"/>
      </w:r>
      <w:r>
        <w:rPr>
          <w:rFonts w:ascii="宋体" w:hAnsi="宋体" w:cs="宋体"/>
          <w:i/>
          <w:caps/>
        </w:rPr>
        <w:instrText xml:space="preserve"> HYPERLINK \l _Toc27537 </w:instrText>
      </w:r>
      <w:r>
        <w:rPr>
          <w:rFonts w:ascii="宋体" w:hAnsi="宋体" w:cs="宋体"/>
          <w:i/>
          <w:caps/>
        </w:rPr>
        <w:fldChar w:fldCharType="separate"/>
      </w:r>
      <w:r>
        <w:rPr>
          <w:rFonts w:hint="eastAsia" w:ascii="宋体" w:hAnsi="宋体" w:cs="宋体"/>
          <w:bCs w:val="0"/>
          <w:szCs w:val="24"/>
        </w:rPr>
        <w:t>附件十一、设备质量承诺函</w:t>
      </w:r>
      <w:r>
        <w:tab/>
      </w:r>
      <w:r>
        <w:fldChar w:fldCharType="begin"/>
      </w:r>
      <w:r>
        <w:instrText xml:space="preserve"> PAGEREF _Toc27537 \h </w:instrText>
      </w:r>
      <w:r>
        <w:fldChar w:fldCharType="separate"/>
      </w:r>
      <w:r>
        <w:t>56</w:t>
      </w:r>
      <w:r>
        <w:fldChar w:fldCharType="end"/>
      </w:r>
      <w:r>
        <w:rPr>
          <w:rFonts w:ascii="宋体" w:hAnsi="宋体" w:cs="宋体"/>
          <w:i/>
          <w:caps/>
        </w:rPr>
        <w:fldChar w:fldCharType="end"/>
      </w:r>
    </w:p>
    <w:p>
      <w:pPr>
        <w:pStyle w:val="39"/>
        <w:tabs>
          <w:tab w:val="right" w:leader="dot" w:pos="9214"/>
        </w:tabs>
      </w:pPr>
      <w:r>
        <w:rPr>
          <w:rFonts w:ascii="宋体" w:hAnsi="宋体" w:cs="宋体"/>
          <w:i/>
          <w:caps/>
        </w:rPr>
        <w:fldChar w:fldCharType="begin"/>
      </w:r>
      <w:r>
        <w:rPr>
          <w:rFonts w:ascii="宋体" w:hAnsi="宋体" w:cs="宋体"/>
          <w:i/>
          <w:caps/>
        </w:rPr>
        <w:instrText xml:space="preserve"> HYPERLINK \l _Toc14593 </w:instrText>
      </w:r>
      <w:r>
        <w:rPr>
          <w:rFonts w:ascii="宋体" w:hAnsi="宋体" w:cs="宋体"/>
          <w:i/>
          <w:caps/>
        </w:rPr>
        <w:fldChar w:fldCharType="separate"/>
      </w:r>
      <w:r>
        <w:rPr>
          <w:rFonts w:hint="eastAsia" w:ascii="宋体" w:hAnsi="宋体" w:cs="宋体"/>
          <w:bCs w:val="0"/>
          <w:szCs w:val="24"/>
        </w:rPr>
        <w:t>附件十二</w:t>
      </w:r>
      <w:r>
        <w:rPr>
          <w:rFonts w:ascii="宋体" w:hAnsi="宋体" w:cs="宋体"/>
          <w:bCs w:val="0"/>
          <w:szCs w:val="24"/>
        </w:rPr>
        <w:t xml:space="preserve">: </w:t>
      </w:r>
      <w:r>
        <w:rPr>
          <w:rFonts w:hint="eastAsia" w:ascii="宋体" w:hAnsi="宋体" w:cs="宋体"/>
          <w:bCs w:val="0"/>
          <w:szCs w:val="24"/>
        </w:rPr>
        <w:t>封面格式（参考）</w:t>
      </w:r>
      <w:r>
        <w:tab/>
      </w:r>
      <w:r>
        <w:fldChar w:fldCharType="begin"/>
      </w:r>
      <w:r>
        <w:instrText xml:space="preserve"> PAGEREF _Toc14593 \h </w:instrText>
      </w:r>
      <w:r>
        <w:fldChar w:fldCharType="separate"/>
      </w:r>
      <w:r>
        <w:t>57</w:t>
      </w:r>
      <w:r>
        <w:fldChar w:fldCharType="end"/>
      </w:r>
      <w:r>
        <w:rPr>
          <w:rFonts w:ascii="宋体" w:hAnsi="宋体" w:cs="宋体"/>
          <w:i/>
          <w:caps/>
        </w:rPr>
        <w:fldChar w:fldCharType="end"/>
      </w:r>
    </w:p>
    <w:p>
      <w:pPr>
        <w:pStyle w:val="2"/>
        <w:spacing w:afterLines="50" w:line="360" w:lineRule="exact"/>
        <w:rPr>
          <w:rFonts w:ascii="宋体" w:hAnsi="宋体" w:cs="宋体"/>
          <w:i/>
          <w:caps/>
        </w:rPr>
      </w:pPr>
      <w:r>
        <w:rPr>
          <w:rFonts w:ascii="宋体" w:hAnsi="宋体" w:cs="宋体"/>
          <w:i/>
          <w:caps/>
        </w:rPr>
        <w:fldChar w:fldCharType="end"/>
      </w:r>
    </w:p>
    <w:p>
      <w:pPr>
        <w:rPr>
          <w:rFonts w:ascii="宋体" w:hAnsi="宋体" w:cs="宋体"/>
          <w:i/>
          <w:caps/>
        </w:rPr>
      </w:pPr>
    </w:p>
    <w:p>
      <w:pPr>
        <w:pStyle w:val="2"/>
        <w:spacing w:afterLines="50" w:line="360" w:lineRule="exact"/>
        <w:rPr>
          <w:rFonts w:ascii="宋体" w:hAnsi="宋体"/>
        </w:rPr>
      </w:pPr>
      <w:bookmarkStart w:id="2" w:name="_Toc27611"/>
      <w:bookmarkStart w:id="3" w:name="_Toc28456"/>
      <w:r>
        <w:rPr>
          <w:rFonts w:hint="eastAsia" w:ascii="宋体" w:hAnsi="宋体"/>
        </w:rPr>
        <w:t>第一章招标公告</w:t>
      </w:r>
      <w:bookmarkEnd w:id="2"/>
      <w:bookmarkEnd w:id="3"/>
    </w:p>
    <w:p>
      <w:pPr>
        <w:spacing w:line="360" w:lineRule="auto"/>
        <w:ind w:firstLine="480" w:firstLineChars="200"/>
        <w:rPr>
          <w:rFonts w:ascii="宋体" w:hAnsi="宋体"/>
          <w:sz w:val="24"/>
        </w:rPr>
      </w:pPr>
      <w:r>
        <w:rPr>
          <w:rFonts w:hint="eastAsia" w:ascii="宋体" w:hAnsi="宋体"/>
          <w:sz w:val="24"/>
        </w:rPr>
        <w:t>根据重汽（济南）轻卡有限公司</w:t>
      </w:r>
      <w:r>
        <w:rPr>
          <w:rFonts w:hint="eastAsia" w:ascii="宋体" w:hAnsi="宋体"/>
          <w:bCs/>
          <w:sz w:val="24"/>
        </w:rPr>
        <w:t>的使用需求，对</w:t>
      </w:r>
      <w:r>
        <w:rPr>
          <w:rFonts w:hint="eastAsia" w:ascii="宋体" w:hAnsi="宋体"/>
          <w:bCs/>
          <w:sz w:val="24"/>
          <w:u w:val="single"/>
        </w:rPr>
        <w:t>济南轻卡制造公司皮卡胎压检测标定等生产及检测设备项目-</w:t>
      </w:r>
      <w:r>
        <w:rPr>
          <w:rFonts w:hint="eastAsia" w:ascii="宋体" w:hAnsi="宋体"/>
          <w:bCs/>
          <w:sz w:val="24"/>
          <w:u w:val="single"/>
          <w:lang w:eastAsia="zh-CN"/>
        </w:rPr>
        <w:t>后窗玻璃打胶机</w:t>
      </w:r>
      <w:r>
        <w:rPr>
          <w:rFonts w:hint="eastAsia" w:ascii="宋体" w:hAnsi="宋体"/>
          <w:bCs/>
          <w:sz w:val="24"/>
          <w:u w:val="single"/>
        </w:rPr>
        <w:t>项目</w:t>
      </w:r>
      <w:r>
        <w:rPr>
          <w:rFonts w:hint="eastAsia" w:ascii="宋体" w:hAnsi="宋体"/>
          <w:sz w:val="24"/>
        </w:rPr>
        <w:t>进行公开招标，资金已落实，具备招标条件，欢迎合格潜在投标方</w:t>
      </w:r>
      <w:r>
        <w:rPr>
          <w:rFonts w:hint="eastAsia" w:ascii="宋体" w:hAnsi="宋体" w:cs="仿宋_GB2312"/>
          <w:kern w:val="0"/>
          <w:sz w:val="24"/>
        </w:rPr>
        <w:t>前来参加投标</w:t>
      </w:r>
      <w:r>
        <w:rPr>
          <w:rFonts w:hint="eastAsia" w:ascii="宋体" w:hAnsi="宋体"/>
          <w:sz w:val="24"/>
        </w:rPr>
        <w:t>。</w:t>
      </w:r>
    </w:p>
    <w:p>
      <w:pPr>
        <w:spacing w:line="360" w:lineRule="auto"/>
        <w:rPr>
          <w:rFonts w:ascii="宋体" w:hAnsi="宋体"/>
          <w:b/>
          <w:sz w:val="24"/>
        </w:rPr>
      </w:pPr>
      <w:r>
        <w:rPr>
          <w:rFonts w:hint="eastAsia" w:ascii="宋体" w:hAnsi="宋体"/>
          <w:b/>
          <w:sz w:val="24"/>
        </w:rPr>
        <w:t>1、项目名称</w:t>
      </w:r>
    </w:p>
    <w:p>
      <w:pPr>
        <w:spacing w:line="360" w:lineRule="auto"/>
        <w:ind w:firstLine="480" w:firstLineChars="200"/>
        <w:rPr>
          <w:rFonts w:ascii="宋体" w:hAnsi="宋体"/>
          <w:sz w:val="24"/>
        </w:rPr>
      </w:pPr>
      <w:r>
        <w:rPr>
          <w:rFonts w:hint="eastAsia" w:ascii="宋体" w:hAnsi="宋体"/>
          <w:sz w:val="24"/>
        </w:rPr>
        <w:t>项目名称：</w:t>
      </w:r>
      <w:r>
        <w:rPr>
          <w:rFonts w:hint="eastAsia" w:ascii="宋体" w:hAnsi="宋体"/>
          <w:bCs/>
          <w:sz w:val="24"/>
          <w:u w:val="single"/>
        </w:rPr>
        <w:t>济南轻卡制造公司皮卡胎压检测标定等生产及检测设备项目-</w:t>
      </w:r>
      <w:r>
        <w:rPr>
          <w:rFonts w:hint="eastAsia" w:ascii="宋体" w:hAnsi="宋体"/>
          <w:bCs/>
          <w:sz w:val="24"/>
          <w:u w:val="single"/>
          <w:lang w:eastAsia="zh-CN"/>
        </w:rPr>
        <w:t>后窗玻璃打胶机</w:t>
      </w:r>
      <w:r>
        <w:rPr>
          <w:rFonts w:hint="eastAsia" w:ascii="宋体" w:hAnsi="宋体"/>
          <w:bCs/>
          <w:sz w:val="24"/>
          <w:u w:val="single"/>
        </w:rPr>
        <w:t>项目</w:t>
      </w:r>
    </w:p>
    <w:p>
      <w:pPr>
        <w:spacing w:line="360" w:lineRule="auto"/>
        <w:rPr>
          <w:rFonts w:ascii="宋体" w:hAnsi="宋体"/>
          <w:b/>
          <w:sz w:val="24"/>
        </w:rPr>
      </w:pPr>
      <w:r>
        <w:rPr>
          <w:rFonts w:hint="eastAsia" w:ascii="宋体" w:hAnsi="宋体"/>
          <w:b/>
          <w:sz w:val="24"/>
        </w:rPr>
        <w:t>2、招标内容</w:t>
      </w:r>
    </w:p>
    <w:p>
      <w:pPr>
        <w:spacing w:line="360" w:lineRule="auto"/>
        <w:ind w:firstLine="480" w:firstLineChars="200"/>
        <w:rPr>
          <w:rFonts w:ascii="宋体" w:hAnsi="宋体"/>
          <w:bCs/>
          <w:sz w:val="24"/>
        </w:rPr>
      </w:pPr>
      <w:r>
        <w:rPr>
          <w:rFonts w:hint="eastAsia" w:ascii="宋体" w:hAnsi="宋体"/>
          <w:bCs/>
          <w:sz w:val="24"/>
        </w:rPr>
        <w:t>本次招标为</w:t>
      </w:r>
      <w:r>
        <w:rPr>
          <w:rFonts w:hint="eastAsia" w:ascii="宋体" w:hAnsi="宋体"/>
          <w:bCs/>
          <w:sz w:val="24"/>
          <w:u w:val="single"/>
        </w:rPr>
        <w:t>济南轻卡制造公司皮卡胎压检测标定等生产及检测设备项目-</w:t>
      </w:r>
      <w:r>
        <w:rPr>
          <w:rFonts w:hint="eastAsia" w:ascii="宋体" w:hAnsi="宋体"/>
          <w:bCs/>
          <w:sz w:val="24"/>
          <w:u w:val="single"/>
          <w:lang w:eastAsia="zh-CN"/>
        </w:rPr>
        <w:t>后窗玻璃打胶机</w:t>
      </w:r>
      <w:r>
        <w:rPr>
          <w:rFonts w:hint="eastAsia" w:ascii="宋体" w:hAnsi="宋体"/>
          <w:bCs/>
          <w:sz w:val="24"/>
          <w:u w:val="single"/>
        </w:rPr>
        <w:t>项目</w:t>
      </w:r>
      <w:r>
        <w:rPr>
          <w:rFonts w:hint="eastAsia" w:ascii="宋体" w:hAnsi="宋体"/>
          <w:sz w:val="24"/>
        </w:rPr>
        <w:t>采购</w:t>
      </w:r>
      <w:r>
        <w:rPr>
          <w:rFonts w:hint="eastAsia" w:ascii="宋体" w:hAnsi="宋体"/>
          <w:bCs/>
          <w:sz w:val="24"/>
        </w:rPr>
        <w:t>，交钥匙工程。</w:t>
      </w:r>
    </w:p>
    <w:p>
      <w:pPr>
        <w:spacing w:line="360" w:lineRule="auto"/>
        <w:ind w:firstLine="480" w:firstLineChars="200"/>
        <w:jc w:val="left"/>
        <w:rPr>
          <w:rFonts w:ascii="宋体" w:hAnsi="宋体"/>
          <w:sz w:val="24"/>
        </w:rPr>
      </w:pPr>
      <w:r>
        <w:rPr>
          <w:rFonts w:hint="eastAsia" w:ascii="宋体" w:hAnsi="宋体"/>
          <w:bCs/>
          <w:sz w:val="24"/>
        </w:rPr>
        <w:t>投标报价</w:t>
      </w:r>
      <w:r>
        <w:rPr>
          <w:rFonts w:hint="eastAsia" w:ascii="宋体" w:hAnsi="宋体"/>
          <w:sz w:val="24"/>
        </w:rPr>
        <w:t>包括：</w:t>
      </w:r>
      <w:r>
        <w:rPr>
          <w:rFonts w:hint="eastAsia" w:ascii="宋体" w:hAnsi="宋体"/>
          <w:sz w:val="24"/>
          <w:u w:val="single"/>
        </w:rPr>
        <w:t>全部（全新）产品价、专用工具价、运杂费（包括现场卸车费）、</w:t>
      </w:r>
      <w:r>
        <w:rPr>
          <w:rFonts w:hint="eastAsia" w:ascii="宋体" w:hAnsi="宋体"/>
          <w:bCs/>
          <w:sz w:val="24"/>
          <w:u w:val="single"/>
        </w:rPr>
        <w:t>设计、制</w:t>
      </w:r>
      <w:r>
        <w:rPr>
          <w:rFonts w:hint="eastAsia" w:ascii="宋体" w:hAnsi="宋体"/>
          <w:sz w:val="24"/>
          <w:u w:val="single"/>
        </w:rPr>
        <w:t>造、安装、调试</w:t>
      </w:r>
      <w:r>
        <w:rPr>
          <w:rFonts w:hint="eastAsia" w:ascii="宋体" w:hAnsi="宋体"/>
          <w:bCs/>
          <w:sz w:val="24"/>
          <w:u w:val="single"/>
        </w:rPr>
        <w:t>、验收、</w:t>
      </w:r>
      <w:r>
        <w:rPr>
          <w:rFonts w:hint="eastAsia" w:ascii="宋体" w:hAnsi="宋体"/>
          <w:sz w:val="24"/>
          <w:u w:val="single"/>
        </w:rPr>
        <w:t>技术及售后服务费、技术资料费等所有费用的总和。所有投标均以人民币报价</w:t>
      </w:r>
      <w:r>
        <w:rPr>
          <w:rFonts w:hint="eastAsia" w:ascii="宋体" w:hAnsi="宋体"/>
          <w:sz w:val="24"/>
        </w:rPr>
        <w:t>。</w:t>
      </w:r>
    </w:p>
    <w:p>
      <w:pPr>
        <w:spacing w:line="360" w:lineRule="auto"/>
        <w:rPr>
          <w:rFonts w:ascii="宋体" w:hAnsi="宋体"/>
          <w:sz w:val="24"/>
          <w:szCs w:val="22"/>
        </w:rPr>
      </w:pPr>
      <w:r>
        <w:rPr>
          <w:rFonts w:hint="eastAsia" w:ascii="宋体" w:hAnsi="宋体"/>
          <w:b/>
          <w:sz w:val="24"/>
        </w:rPr>
        <w:t>3、投标方资格要求</w:t>
      </w:r>
    </w:p>
    <w:p>
      <w:pPr>
        <w:spacing w:line="360" w:lineRule="auto"/>
        <w:ind w:firstLine="360" w:firstLineChars="150"/>
        <w:rPr>
          <w:rFonts w:ascii="宋体" w:hAnsi="宋体"/>
          <w:kern w:val="0"/>
          <w:sz w:val="24"/>
        </w:rPr>
      </w:pPr>
      <w:r>
        <w:rPr>
          <w:rFonts w:hint="eastAsia" w:ascii="宋体" w:hAnsi="宋体"/>
          <w:kern w:val="0"/>
          <w:sz w:val="24"/>
        </w:rPr>
        <w:t>3.1投标方必须是在中华人民共和国境内注册的独立法人机构，具有独立承担民事责任能力，</w:t>
      </w:r>
      <w:r>
        <w:rPr>
          <w:rFonts w:hint="eastAsia" w:ascii="宋体" w:hAnsi="宋体"/>
          <w:kern w:val="0"/>
          <w:sz w:val="24"/>
          <w:u w:val="single"/>
        </w:rPr>
        <w:t>成立满三年</w:t>
      </w:r>
      <w:r>
        <w:rPr>
          <w:rFonts w:hint="eastAsia" w:ascii="宋体" w:hAnsi="宋体"/>
          <w:kern w:val="0"/>
          <w:sz w:val="24"/>
        </w:rPr>
        <w:t>（以营业执照成立日期到开标当日满三年为准）。</w:t>
      </w:r>
    </w:p>
    <w:p>
      <w:pPr>
        <w:spacing w:line="360" w:lineRule="auto"/>
        <w:ind w:firstLine="360" w:firstLineChars="150"/>
        <w:rPr>
          <w:rFonts w:ascii="宋体" w:hAnsi="宋体"/>
          <w:kern w:val="0"/>
          <w:sz w:val="24"/>
        </w:rPr>
      </w:pPr>
      <w:r>
        <w:rPr>
          <w:rFonts w:hint="eastAsia" w:ascii="宋体" w:hAnsi="宋体"/>
          <w:kern w:val="0"/>
          <w:sz w:val="24"/>
        </w:rPr>
        <w:t>3.2投标方的注册资本不少于</w:t>
      </w:r>
      <w:r>
        <w:rPr>
          <w:rFonts w:hint="eastAsia" w:ascii="宋体" w:hAnsi="宋体"/>
          <w:kern w:val="0"/>
          <w:sz w:val="24"/>
          <w:u w:val="single"/>
        </w:rPr>
        <w:t>500</w:t>
      </w:r>
      <w:r>
        <w:rPr>
          <w:rFonts w:hint="eastAsia" w:ascii="宋体" w:hAnsi="宋体"/>
          <w:kern w:val="0"/>
          <w:sz w:val="24"/>
        </w:rPr>
        <w:t>万元。</w:t>
      </w:r>
      <w:r>
        <w:rPr>
          <w:rFonts w:hint="eastAsia" w:ascii="宋体" w:hAnsi="宋体"/>
          <w:kern w:val="0"/>
          <w:sz w:val="24"/>
          <w:u w:val="single"/>
        </w:rPr>
        <w:t>具有</w:t>
      </w:r>
      <w:r>
        <w:rPr>
          <w:rFonts w:hint="eastAsia" w:ascii="宋体" w:hAnsi="宋体"/>
          <w:bCs/>
          <w:sz w:val="24"/>
          <w:u w:val="single"/>
          <w:lang w:val="en-US" w:eastAsia="zh-CN"/>
        </w:rPr>
        <w:t>后窗玻璃打胶机</w:t>
      </w:r>
      <w:r>
        <w:rPr>
          <w:rFonts w:hint="eastAsia" w:ascii="宋体" w:hAnsi="宋体"/>
          <w:kern w:val="0"/>
          <w:sz w:val="24"/>
          <w:u w:val="single"/>
        </w:rPr>
        <w:t>的设计、加工、生产及安装调试能力</w:t>
      </w:r>
      <w:r>
        <w:rPr>
          <w:rFonts w:hint="eastAsia" w:ascii="宋体" w:hAnsi="宋体"/>
          <w:kern w:val="0"/>
          <w:sz w:val="24"/>
          <w:u w:val="single"/>
          <w:lang w:eastAsia="zh-CN"/>
        </w:rPr>
        <w:t>，投标方的经营范围满足本项目需求</w:t>
      </w:r>
      <w:r>
        <w:rPr>
          <w:rFonts w:hint="eastAsia" w:ascii="宋体" w:hAnsi="宋体"/>
          <w:kern w:val="0"/>
          <w:sz w:val="24"/>
        </w:rPr>
        <w:t>。</w:t>
      </w:r>
    </w:p>
    <w:p>
      <w:pPr>
        <w:spacing w:line="360" w:lineRule="auto"/>
        <w:ind w:firstLine="360" w:firstLineChars="150"/>
        <w:rPr>
          <w:rFonts w:ascii="宋体" w:hAnsi="宋体"/>
          <w:kern w:val="0"/>
          <w:sz w:val="24"/>
        </w:rPr>
      </w:pPr>
      <w:r>
        <w:rPr>
          <w:rFonts w:hint="eastAsia" w:ascii="宋体" w:hAnsi="宋体"/>
          <w:kern w:val="0"/>
          <w:sz w:val="24"/>
        </w:rPr>
        <w:t>3.3投标方满足技术、质量、资金等要求，财务状况良好、经营稳定，具有全面履约的能力，</w:t>
      </w:r>
      <w:r>
        <w:rPr>
          <w:rFonts w:hint="eastAsia" w:ascii="宋体" w:hAnsi="宋体"/>
          <w:kern w:val="0"/>
          <w:sz w:val="24"/>
          <w:u w:val="single"/>
        </w:rPr>
        <w:t>能提供相关信用等级和完税证明</w:t>
      </w:r>
      <w:r>
        <w:rPr>
          <w:rFonts w:hint="eastAsia" w:ascii="宋体" w:hAnsi="宋体"/>
          <w:kern w:val="0"/>
          <w:sz w:val="24"/>
        </w:rPr>
        <w:t>。</w:t>
      </w:r>
    </w:p>
    <w:p>
      <w:pPr>
        <w:spacing w:line="360" w:lineRule="auto"/>
        <w:ind w:firstLine="360" w:firstLineChars="150"/>
        <w:rPr>
          <w:rFonts w:hint="eastAsia" w:ascii="宋体" w:hAnsi="宋体"/>
          <w:kern w:val="0"/>
          <w:sz w:val="24"/>
        </w:rPr>
      </w:pPr>
      <w:r>
        <w:rPr>
          <w:rFonts w:hint="eastAsia" w:ascii="宋体" w:hAnsi="宋体"/>
          <w:kern w:val="0"/>
          <w:sz w:val="24"/>
        </w:rPr>
        <w:t>3.4公司信誉良好，无违法违规等不良行为，无行政处罚及失信记录等信息</w:t>
      </w:r>
      <w:r>
        <w:rPr>
          <w:rFonts w:hint="eastAsia" w:ascii="宋体" w:hAnsi="宋体"/>
          <w:kern w:val="0"/>
          <w:sz w:val="24"/>
          <w:lang w:eastAsia="zh-CN"/>
        </w:rPr>
        <w:t>，</w:t>
      </w:r>
      <w:r>
        <w:rPr>
          <w:rFonts w:hint="eastAsia" w:ascii="宋体" w:hAnsi="宋体"/>
          <w:kern w:val="0"/>
          <w:sz w:val="24"/>
          <w:u w:val="single"/>
        </w:rPr>
        <w:t>在“信用中国”中未列入联合惩戒失信人名单</w:t>
      </w:r>
      <w:r>
        <w:rPr>
          <w:rFonts w:hint="eastAsia" w:ascii="宋体" w:hAnsi="宋体"/>
          <w:kern w:val="0"/>
          <w:sz w:val="24"/>
        </w:rPr>
        <w:t>。</w:t>
      </w:r>
    </w:p>
    <w:p>
      <w:pPr>
        <w:spacing w:line="360" w:lineRule="auto"/>
        <w:ind w:firstLine="360" w:firstLineChars="150"/>
        <w:rPr>
          <w:rFonts w:hint="eastAsia" w:ascii="宋体" w:hAnsi="宋体"/>
          <w:kern w:val="0"/>
          <w:sz w:val="24"/>
        </w:rPr>
      </w:pPr>
      <w:r>
        <w:rPr>
          <w:rFonts w:hint="eastAsia" w:ascii="宋体" w:hAnsi="宋体"/>
          <w:kern w:val="0"/>
          <w:sz w:val="24"/>
        </w:rPr>
        <w:t>3.5提供近三年（2019年1月1日至今）经审计事务所审计并盖章的企业财务报表。</w:t>
      </w:r>
    </w:p>
    <w:p>
      <w:pPr>
        <w:spacing w:line="360" w:lineRule="auto"/>
        <w:ind w:firstLine="360" w:firstLineChars="150"/>
        <w:rPr>
          <w:rFonts w:ascii="宋体" w:hAnsi="宋体"/>
          <w:kern w:val="0"/>
          <w:sz w:val="24"/>
        </w:rPr>
      </w:pPr>
      <w:r>
        <w:rPr>
          <w:rFonts w:hint="eastAsia" w:ascii="宋体" w:hAnsi="宋体"/>
          <w:kern w:val="0"/>
          <w:sz w:val="24"/>
        </w:rPr>
        <w:t>3.</w:t>
      </w:r>
      <w:r>
        <w:rPr>
          <w:rFonts w:hint="eastAsia" w:ascii="宋体" w:hAnsi="宋体"/>
          <w:kern w:val="0"/>
          <w:sz w:val="24"/>
          <w:lang w:val="en-US" w:eastAsia="zh-CN"/>
        </w:rPr>
        <w:t>6</w:t>
      </w:r>
      <w:r>
        <w:rPr>
          <w:rFonts w:hint="eastAsia" w:ascii="宋体" w:hAnsi="宋体"/>
          <w:kern w:val="0"/>
          <w:sz w:val="24"/>
        </w:rPr>
        <w:t>无招标违规、谎报年度报告信息、提供虚假资质资料等行为或其他行政处罚记录。</w:t>
      </w:r>
    </w:p>
    <w:p>
      <w:pPr>
        <w:spacing w:line="360" w:lineRule="auto"/>
        <w:ind w:firstLine="360" w:firstLineChars="150"/>
        <w:rPr>
          <w:rFonts w:ascii="宋体" w:hAnsi="宋体"/>
          <w:kern w:val="0"/>
          <w:sz w:val="24"/>
        </w:rPr>
      </w:pPr>
      <w:r>
        <w:rPr>
          <w:rFonts w:hint="eastAsia" w:ascii="宋体" w:hAnsi="宋体"/>
          <w:kern w:val="0"/>
          <w:sz w:val="24"/>
        </w:rPr>
        <w:t>3.</w:t>
      </w:r>
      <w:r>
        <w:rPr>
          <w:rFonts w:hint="eastAsia" w:ascii="宋体" w:hAnsi="宋体"/>
          <w:kern w:val="0"/>
          <w:sz w:val="24"/>
          <w:lang w:val="en-US" w:eastAsia="zh-CN"/>
        </w:rPr>
        <w:t>7</w:t>
      </w:r>
      <w:r>
        <w:rPr>
          <w:rFonts w:hint="eastAsia" w:ascii="宋体" w:hAnsi="宋体"/>
          <w:kern w:val="0"/>
          <w:sz w:val="24"/>
        </w:rPr>
        <w:t>投标方的直接或间接股东、法定代表人、董事、监事、高管非重汽员工及其亲属。</w:t>
      </w:r>
    </w:p>
    <w:p>
      <w:pPr>
        <w:spacing w:line="360" w:lineRule="auto"/>
        <w:ind w:firstLine="360" w:firstLineChars="150"/>
        <w:rPr>
          <w:rFonts w:ascii="宋体" w:hAnsi="宋体"/>
          <w:kern w:val="0"/>
          <w:sz w:val="24"/>
        </w:rPr>
      </w:pPr>
      <w:r>
        <w:rPr>
          <w:rFonts w:hint="eastAsia" w:ascii="宋体" w:hAnsi="宋体"/>
          <w:kern w:val="0"/>
          <w:sz w:val="24"/>
        </w:rPr>
        <w:t>3.</w:t>
      </w:r>
      <w:r>
        <w:rPr>
          <w:rFonts w:hint="eastAsia" w:ascii="宋体" w:hAnsi="宋体"/>
          <w:kern w:val="0"/>
          <w:sz w:val="24"/>
          <w:lang w:val="en-US" w:eastAsia="zh-CN"/>
        </w:rPr>
        <w:t>8</w:t>
      </w:r>
      <w:r>
        <w:rPr>
          <w:rFonts w:hint="eastAsia" w:ascii="宋体" w:hAnsi="宋体"/>
          <w:kern w:val="0"/>
          <w:sz w:val="24"/>
        </w:rPr>
        <w:t>没有被中国重汽集团列入黑名单。</w:t>
      </w:r>
    </w:p>
    <w:p>
      <w:pPr>
        <w:spacing w:line="360" w:lineRule="auto"/>
        <w:ind w:firstLine="360" w:firstLineChars="150"/>
        <w:rPr>
          <w:rFonts w:ascii="宋体" w:hAnsi="宋体"/>
          <w:kern w:val="0"/>
          <w:sz w:val="24"/>
        </w:rPr>
      </w:pPr>
      <w:r>
        <w:rPr>
          <w:rFonts w:hint="eastAsia" w:ascii="宋体" w:hAnsi="宋体"/>
          <w:kern w:val="0"/>
          <w:sz w:val="24"/>
        </w:rPr>
        <w:t>3.</w:t>
      </w:r>
      <w:r>
        <w:rPr>
          <w:rFonts w:hint="eastAsia" w:ascii="宋体" w:hAnsi="宋体"/>
          <w:kern w:val="0"/>
          <w:sz w:val="24"/>
          <w:lang w:val="en-US" w:eastAsia="zh-CN"/>
        </w:rPr>
        <w:t>9</w:t>
      </w:r>
      <w:r>
        <w:rPr>
          <w:rFonts w:hint="eastAsia" w:ascii="宋体" w:hAnsi="宋体"/>
          <w:kern w:val="0"/>
          <w:sz w:val="24"/>
        </w:rPr>
        <w:t>法律法规对合格投标方的其他要求、规定。</w:t>
      </w:r>
    </w:p>
    <w:p>
      <w:pPr>
        <w:spacing w:line="360" w:lineRule="auto"/>
        <w:ind w:firstLine="360" w:firstLineChars="150"/>
        <w:rPr>
          <w:rFonts w:ascii="宋体" w:hAnsi="宋体"/>
          <w:kern w:val="0"/>
          <w:sz w:val="24"/>
        </w:rPr>
      </w:pPr>
      <w:r>
        <w:rPr>
          <w:rFonts w:hint="eastAsia" w:ascii="宋体" w:hAnsi="宋体"/>
          <w:kern w:val="0"/>
          <w:sz w:val="24"/>
        </w:rPr>
        <w:t>3.</w:t>
      </w:r>
      <w:r>
        <w:rPr>
          <w:rFonts w:hint="eastAsia" w:ascii="宋体" w:hAnsi="宋体"/>
          <w:kern w:val="0"/>
          <w:sz w:val="24"/>
          <w:lang w:val="en-US" w:eastAsia="zh-CN"/>
        </w:rPr>
        <w:t>10</w:t>
      </w:r>
      <w:r>
        <w:rPr>
          <w:rFonts w:hint="eastAsia" w:ascii="宋体" w:hAnsi="宋体"/>
          <w:kern w:val="0"/>
          <w:sz w:val="24"/>
          <w:u w:val="single"/>
        </w:rPr>
        <w:t>不接受联合体投标</w:t>
      </w:r>
      <w:r>
        <w:rPr>
          <w:rFonts w:hint="eastAsia" w:ascii="宋体" w:hAnsi="宋体"/>
          <w:kern w:val="0"/>
          <w:sz w:val="24"/>
        </w:rPr>
        <w:t>。</w:t>
      </w:r>
    </w:p>
    <w:p>
      <w:pPr>
        <w:spacing w:line="360" w:lineRule="auto"/>
        <w:rPr>
          <w:rFonts w:ascii="宋体" w:hAnsi="宋体"/>
          <w:b/>
          <w:sz w:val="24"/>
        </w:rPr>
      </w:pPr>
      <w:r>
        <w:rPr>
          <w:rFonts w:hint="eastAsia" w:ascii="宋体" w:hAnsi="宋体"/>
          <w:b/>
          <w:sz w:val="24"/>
        </w:rPr>
        <w:t>4、</w:t>
      </w:r>
      <w:r>
        <w:rPr>
          <w:rFonts w:hint="eastAsia" w:ascii="宋体" w:hAnsi="宋体"/>
          <w:b/>
          <w:bCs/>
          <w:sz w:val="24"/>
        </w:rPr>
        <w:t>招标文件的获取</w:t>
      </w:r>
    </w:p>
    <w:p>
      <w:pPr>
        <w:spacing w:line="360" w:lineRule="auto"/>
        <w:ind w:firstLine="480" w:firstLineChars="200"/>
        <w:rPr>
          <w:rFonts w:ascii="宋体" w:hAnsi="宋体"/>
          <w:bCs/>
          <w:sz w:val="24"/>
        </w:rPr>
      </w:pPr>
      <w:r>
        <w:rPr>
          <w:rFonts w:hint="eastAsia" w:ascii="宋体" w:hAnsi="宋体"/>
          <w:bCs/>
          <w:sz w:val="24"/>
        </w:rPr>
        <w:t>4</w:t>
      </w:r>
      <w:r>
        <w:rPr>
          <w:rFonts w:ascii="宋体" w:hAnsi="宋体"/>
          <w:bCs/>
          <w:sz w:val="24"/>
        </w:rPr>
        <w:t>.1报名</w:t>
      </w:r>
      <w:r>
        <w:rPr>
          <w:rFonts w:hint="eastAsia" w:ascii="宋体" w:hAnsi="宋体"/>
          <w:bCs/>
          <w:sz w:val="24"/>
        </w:rPr>
        <w:t>时间：</w:t>
      </w:r>
      <w:r>
        <w:rPr>
          <w:rFonts w:hint="eastAsia" w:ascii="宋体" w:hAnsi="宋体"/>
          <w:bCs/>
          <w:sz w:val="24"/>
          <w:u w:val="single"/>
        </w:rPr>
        <w:t>202</w:t>
      </w:r>
      <w:r>
        <w:rPr>
          <w:rFonts w:hint="eastAsia" w:ascii="宋体" w:hAnsi="宋体"/>
          <w:bCs/>
          <w:sz w:val="24"/>
          <w:u w:val="single"/>
          <w:lang w:val="en-US" w:eastAsia="zh-CN"/>
        </w:rPr>
        <w:t>2</w:t>
      </w:r>
      <w:r>
        <w:rPr>
          <w:rFonts w:ascii="宋体" w:hAnsi="宋体"/>
          <w:bCs/>
          <w:sz w:val="24"/>
          <w:u w:val="single"/>
        </w:rPr>
        <w:t>年</w:t>
      </w:r>
      <w:r>
        <w:rPr>
          <w:rFonts w:hint="eastAsia" w:ascii="宋体" w:hAnsi="宋体"/>
          <w:bCs/>
          <w:sz w:val="24"/>
          <w:u w:val="single"/>
          <w:lang w:val="en-US" w:eastAsia="zh-CN"/>
        </w:rPr>
        <w:t>10</w:t>
      </w:r>
      <w:r>
        <w:rPr>
          <w:rFonts w:ascii="宋体" w:hAnsi="宋体"/>
          <w:bCs/>
          <w:sz w:val="24"/>
          <w:u w:val="single"/>
        </w:rPr>
        <w:t>月</w:t>
      </w:r>
      <w:r>
        <w:rPr>
          <w:rFonts w:hint="eastAsia" w:ascii="宋体" w:hAnsi="宋体"/>
          <w:bCs/>
          <w:sz w:val="24"/>
          <w:u w:val="single"/>
          <w:lang w:val="en-US" w:eastAsia="zh-CN"/>
        </w:rPr>
        <w:t>1</w:t>
      </w:r>
      <w:r>
        <w:rPr>
          <w:rFonts w:ascii="宋体" w:hAnsi="宋体"/>
          <w:bCs/>
          <w:sz w:val="24"/>
          <w:u w:val="single"/>
        </w:rPr>
        <w:t>日</w:t>
      </w:r>
      <w:r>
        <w:rPr>
          <w:rFonts w:hint="eastAsia" w:ascii="宋体" w:hAnsi="宋体"/>
          <w:bCs/>
          <w:sz w:val="24"/>
        </w:rPr>
        <w:t>—</w:t>
      </w:r>
      <w:r>
        <w:rPr>
          <w:rFonts w:hint="eastAsia" w:ascii="宋体" w:hAnsi="宋体"/>
          <w:bCs/>
          <w:sz w:val="24"/>
          <w:u w:val="single"/>
        </w:rPr>
        <w:t>202</w:t>
      </w:r>
      <w:r>
        <w:rPr>
          <w:rFonts w:hint="eastAsia" w:ascii="宋体" w:hAnsi="宋体"/>
          <w:bCs/>
          <w:sz w:val="24"/>
          <w:u w:val="single"/>
          <w:lang w:val="en-US" w:eastAsia="zh-CN"/>
        </w:rPr>
        <w:t>2</w:t>
      </w:r>
      <w:r>
        <w:rPr>
          <w:rFonts w:ascii="宋体" w:hAnsi="宋体"/>
          <w:bCs/>
          <w:sz w:val="24"/>
          <w:u w:val="single"/>
        </w:rPr>
        <w:t>年</w:t>
      </w:r>
      <w:r>
        <w:rPr>
          <w:rFonts w:hint="eastAsia" w:ascii="宋体" w:hAnsi="宋体"/>
          <w:bCs/>
          <w:sz w:val="24"/>
          <w:u w:val="single"/>
          <w:lang w:val="en-US" w:eastAsia="zh-CN"/>
        </w:rPr>
        <w:t>10</w:t>
      </w:r>
      <w:r>
        <w:rPr>
          <w:rFonts w:ascii="宋体" w:hAnsi="宋体"/>
          <w:bCs/>
          <w:sz w:val="24"/>
          <w:u w:val="single"/>
        </w:rPr>
        <w:t>月</w:t>
      </w:r>
      <w:r>
        <w:rPr>
          <w:rFonts w:hint="eastAsia" w:ascii="宋体" w:hAnsi="宋体"/>
          <w:bCs/>
          <w:sz w:val="24"/>
          <w:u w:val="single"/>
          <w:lang w:val="en-US" w:eastAsia="zh-CN"/>
        </w:rPr>
        <w:t>10</w:t>
      </w:r>
      <w:r>
        <w:rPr>
          <w:rFonts w:hint="eastAsia" w:ascii="宋体" w:hAnsi="宋体"/>
          <w:bCs/>
          <w:sz w:val="24"/>
          <w:u w:val="single"/>
        </w:rPr>
        <w:t>日</w:t>
      </w:r>
      <w:r>
        <w:rPr>
          <w:rFonts w:hint="eastAsia" w:ascii="宋体" w:hAnsi="宋体"/>
          <w:bCs/>
          <w:sz w:val="24"/>
        </w:rPr>
        <w:t>上午8：30到17:00（节假日除外）</w:t>
      </w:r>
      <w:r>
        <w:rPr>
          <w:rFonts w:hint="eastAsia" w:ascii="宋体" w:hAnsi="宋体" w:cs="宋体"/>
          <w:kern w:val="0"/>
          <w:sz w:val="24"/>
        </w:rPr>
        <w:t xml:space="preserve">。                                                                                                                                                                                                                                                                                                                   </w:t>
      </w:r>
    </w:p>
    <w:p>
      <w:pPr>
        <w:spacing w:line="360" w:lineRule="auto"/>
        <w:ind w:firstLine="480" w:firstLineChars="200"/>
        <w:rPr>
          <w:rFonts w:ascii="宋体" w:hAnsi="宋体"/>
          <w:bCs/>
          <w:sz w:val="24"/>
        </w:rPr>
      </w:pPr>
      <w:r>
        <w:rPr>
          <w:rFonts w:hint="eastAsia" w:ascii="宋体" w:hAnsi="宋体"/>
          <w:bCs/>
          <w:sz w:val="24"/>
        </w:rPr>
        <w:t>4.2报名方式：</w:t>
      </w:r>
    </w:p>
    <w:p>
      <w:pPr>
        <w:spacing w:line="360" w:lineRule="auto"/>
        <w:ind w:firstLine="480" w:firstLineChars="200"/>
        <w:rPr>
          <w:rFonts w:ascii="宋体" w:hAnsi="宋体"/>
          <w:bCs/>
          <w:sz w:val="24"/>
        </w:rPr>
      </w:pPr>
      <w:r>
        <w:rPr>
          <w:rFonts w:hint="eastAsia" w:ascii="宋体" w:hAnsi="宋体" w:cs="宋体"/>
          <w:kern w:val="0"/>
          <w:sz w:val="24"/>
        </w:rPr>
        <w:t>报名需提交以下信息发送至招标方联系人邮箱（</w:t>
      </w:r>
      <w:r>
        <w:rPr>
          <w:rFonts w:hint="eastAsia" w:ascii="宋体" w:hAnsi="宋体" w:cs="宋体"/>
          <w:b/>
          <w:bCs/>
          <w:kern w:val="0"/>
          <w:sz w:val="24"/>
          <w:u w:val="single"/>
          <w:lang w:val="en-US" w:eastAsia="zh-CN"/>
        </w:rPr>
        <w:t>zhangxiaohu@sinotruk</w:t>
      </w:r>
      <w:r>
        <w:rPr>
          <w:rFonts w:hint="eastAsia" w:ascii="宋体" w:hAnsi="宋体" w:cs="宋体"/>
          <w:b/>
          <w:bCs/>
          <w:kern w:val="0"/>
          <w:sz w:val="24"/>
          <w:u w:val="single"/>
        </w:rPr>
        <w:t>.com</w:t>
      </w:r>
      <w:r>
        <w:rPr>
          <w:rFonts w:hint="eastAsia" w:ascii="宋体" w:hAnsi="宋体" w:cs="宋体"/>
          <w:kern w:val="0"/>
          <w:sz w:val="24"/>
        </w:rPr>
        <w:t>）：</w:t>
      </w:r>
    </w:p>
    <w:p>
      <w:pPr>
        <w:spacing w:line="360" w:lineRule="auto"/>
        <w:ind w:firstLine="480" w:firstLineChars="200"/>
        <w:rPr>
          <w:rFonts w:ascii="宋体" w:hAnsi="宋体"/>
          <w:bCs/>
          <w:sz w:val="24"/>
        </w:rPr>
      </w:pPr>
      <w:r>
        <w:rPr>
          <w:rFonts w:hint="eastAsia" w:ascii="宋体" w:hAnsi="宋体"/>
          <w:bCs/>
          <w:sz w:val="24"/>
        </w:rPr>
        <w:t>①投标方公司全称；②投标方被授权人姓名、联系电话；③投标方接受招标文件及招标通知的邮箱；</w:t>
      </w:r>
      <w:r>
        <w:rPr>
          <w:rFonts w:ascii="宋体" w:hAnsi="宋体"/>
          <w:bCs/>
          <w:sz w:val="24"/>
        </w:rPr>
        <w:fldChar w:fldCharType="begin"/>
      </w:r>
      <w:r>
        <w:rPr>
          <w:rFonts w:hint="eastAsia" w:ascii="宋体" w:hAnsi="宋体"/>
          <w:bCs/>
          <w:sz w:val="24"/>
        </w:rPr>
        <w:instrText xml:space="preserve">= 4 \* GB3</w:instrText>
      </w:r>
      <w:r>
        <w:rPr>
          <w:rFonts w:ascii="宋体" w:hAnsi="宋体"/>
          <w:bCs/>
          <w:sz w:val="24"/>
        </w:rPr>
        <w:fldChar w:fldCharType="separate"/>
      </w:r>
      <w:r>
        <w:rPr>
          <w:rFonts w:hint="eastAsia" w:ascii="宋体" w:hAnsi="宋体"/>
          <w:bCs/>
          <w:sz w:val="24"/>
        </w:rPr>
        <w:t>④</w:t>
      </w:r>
      <w:r>
        <w:rPr>
          <w:rFonts w:ascii="宋体" w:hAnsi="宋体"/>
          <w:bCs/>
          <w:sz w:val="24"/>
        </w:rPr>
        <w:fldChar w:fldCharType="end"/>
      </w:r>
      <w:r>
        <w:rPr>
          <w:rFonts w:hint="eastAsia" w:ascii="宋体" w:hAnsi="宋体"/>
          <w:bCs/>
          <w:sz w:val="24"/>
        </w:rPr>
        <w:t>投标保证金汇款回执（备注项目名称及相关信息）；⑤按照8.1条款的要求提供前9项电子版资质文件。</w:t>
      </w:r>
    </w:p>
    <w:p>
      <w:pPr>
        <w:spacing w:line="360" w:lineRule="auto"/>
        <w:ind w:firstLine="480" w:firstLineChars="200"/>
        <w:rPr>
          <w:rFonts w:ascii="宋体" w:hAnsi="宋体"/>
          <w:bCs/>
          <w:sz w:val="24"/>
        </w:rPr>
      </w:pPr>
      <w:r>
        <w:rPr>
          <w:rFonts w:hint="eastAsia" w:ascii="宋体" w:hAnsi="宋体"/>
          <w:bCs/>
          <w:sz w:val="24"/>
        </w:rPr>
        <w:t>4.3招标文件获取：</w:t>
      </w:r>
    </w:p>
    <w:p>
      <w:pPr>
        <w:spacing w:line="360" w:lineRule="auto"/>
        <w:ind w:firstLine="480" w:firstLineChars="200"/>
        <w:rPr>
          <w:rFonts w:ascii="宋体" w:hAnsi="宋体"/>
          <w:i/>
          <w:iCs/>
          <w:sz w:val="24"/>
        </w:rPr>
      </w:pPr>
      <w:r>
        <w:rPr>
          <w:rFonts w:hint="eastAsia" w:ascii="宋体" w:hAnsi="宋体"/>
          <w:bCs/>
          <w:sz w:val="24"/>
        </w:rPr>
        <w:t>招标方联系人将本项目招标书电子版以电子邮件的形式发送至投标方所提供的邮箱，招标方不对投标方能否通过电子邮件正确或及时接收相关邮件负责，招标方邮件发出即视为送达。</w:t>
      </w:r>
    </w:p>
    <w:p>
      <w:pPr>
        <w:autoSpaceDE w:val="0"/>
        <w:autoSpaceDN w:val="0"/>
        <w:adjustRightInd w:val="0"/>
        <w:snapToGrid w:val="0"/>
        <w:spacing w:line="360" w:lineRule="auto"/>
        <w:jc w:val="left"/>
        <w:rPr>
          <w:rFonts w:ascii="宋体" w:hAnsi="宋体" w:cs="TimesNewRomanPSMT"/>
          <w:b/>
          <w:kern w:val="0"/>
          <w:sz w:val="24"/>
        </w:rPr>
      </w:pPr>
      <w:r>
        <w:rPr>
          <w:rFonts w:hint="eastAsia" w:ascii="宋体" w:hAnsi="宋体" w:cs="TimesNewRomanPSMT"/>
          <w:b/>
          <w:kern w:val="0"/>
          <w:sz w:val="24"/>
        </w:rPr>
        <w:t xml:space="preserve">5. </w:t>
      </w:r>
      <w:r>
        <w:rPr>
          <w:rFonts w:ascii="宋体" w:hAnsi="宋体" w:cs="TimesNewRomanPSMT"/>
          <w:b/>
          <w:kern w:val="0"/>
          <w:sz w:val="24"/>
        </w:rPr>
        <w:t>投标文件的递交</w:t>
      </w:r>
    </w:p>
    <w:p>
      <w:pPr>
        <w:pStyle w:val="25"/>
        <w:spacing w:after="0" w:line="360" w:lineRule="auto"/>
        <w:ind w:firstLine="480" w:firstLineChars="200"/>
        <w:rPr>
          <w:rFonts w:ascii="宋体" w:hAnsi="宋体"/>
          <w:sz w:val="24"/>
        </w:rPr>
      </w:pPr>
      <w:r>
        <w:rPr>
          <w:rFonts w:hint="eastAsia" w:ascii="宋体" w:hAnsi="宋体"/>
          <w:sz w:val="24"/>
        </w:rPr>
        <w:t>5</w:t>
      </w:r>
      <w:r>
        <w:rPr>
          <w:rFonts w:ascii="宋体" w:hAnsi="宋体"/>
          <w:sz w:val="24"/>
        </w:rPr>
        <w:t>.1投标文件递交的截止时间（投标截止时间，下同）</w:t>
      </w:r>
      <w:r>
        <w:rPr>
          <w:rFonts w:hint="eastAsia" w:ascii="宋体" w:hAnsi="宋体" w:cs="宋体"/>
          <w:sz w:val="24"/>
        </w:rPr>
        <w:t>详见招标文件中</w:t>
      </w:r>
      <w:r>
        <w:rPr>
          <w:rFonts w:hint="eastAsia" w:ascii="宋体" w:hAnsi="宋体" w:cs="宋体"/>
          <w:sz w:val="24"/>
          <w:szCs w:val="24"/>
        </w:rPr>
        <w:t>投标</w:t>
      </w:r>
      <w:r>
        <w:rPr>
          <w:rFonts w:hint="eastAsia" w:ascii="宋体" w:hAnsi="宋体"/>
          <w:bCs/>
          <w:sz w:val="24"/>
        </w:rPr>
        <w:t>方</w:t>
      </w:r>
      <w:r>
        <w:rPr>
          <w:rFonts w:hint="eastAsia" w:ascii="宋体" w:hAnsi="宋体" w:cs="宋体"/>
          <w:sz w:val="24"/>
          <w:szCs w:val="24"/>
        </w:rPr>
        <w:t>须知前附表第14项</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.2</w:t>
      </w:r>
      <w:r>
        <w:rPr>
          <w:rFonts w:hint="eastAsia" w:ascii="宋体" w:hAnsi="宋体"/>
          <w:sz w:val="24"/>
        </w:rPr>
        <w:t xml:space="preserve"> 投标文件于开标当日在投标地点现场递交。</w:t>
      </w:r>
    </w:p>
    <w:p>
      <w:pPr>
        <w:spacing w:line="360" w:lineRule="auto"/>
        <w:ind w:firstLine="480" w:firstLineChars="200"/>
        <w:rPr>
          <w:rFonts w:ascii="宋体" w:hAnsi="宋体"/>
          <w:sz w:val="24"/>
        </w:rPr>
      </w:pPr>
      <w:r>
        <w:rPr>
          <w:rFonts w:hint="eastAsia" w:ascii="宋体" w:hAnsi="宋体"/>
          <w:sz w:val="24"/>
        </w:rPr>
        <w:t xml:space="preserve">5.3 </w:t>
      </w:r>
      <w:r>
        <w:rPr>
          <w:rFonts w:ascii="宋体" w:hAnsi="宋体"/>
          <w:sz w:val="24"/>
        </w:rPr>
        <w:t>逾期</w:t>
      </w:r>
      <w:r>
        <w:rPr>
          <w:rFonts w:hint="eastAsia" w:ascii="宋体" w:hAnsi="宋体"/>
          <w:sz w:val="24"/>
        </w:rPr>
        <w:t>递交</w:t>
      </w:r>
      <w:r>
        <w:rPr>
          <w:rFonts w:ascii="宋体" w:hAnsi="宋体"/>
          <w:sz w:val="24"/>
        </w:rPr>
        <w:t>的或者未</w:t>
      </w:r>
      <w:r>
        <w:rPr>
          <w:rFonts w:hint="eastAsia" w:ascii="宋体" w:hAnsi="宋体"/>
          <w:sz w:val="24"/>
        </w:rPr>
        <w:t>在</w:t>
      </w:r>
      <w:r>
        <w:rPr>
          <w:rFonts w:ascii="宋体" w:hAnsi="宋体"/>
          <w:sz w:val="24"/>
        </w:rPr>
        <w:t>指定地点</w:t>
      </w:r>
      <w:r>
        <w:rPr>
          <w:rFonts w:hint="eastAsia" w:ascii="宋体" w:hAnsi="宋体"/>
          <w:sz w:val="24"/>
        </w:rPr>
        <w:t>递交</w:t>
      </w:r>
      <w:r>
        <w:rPr>
          <w:rFonts w:ascii="宋体" w:hAnsi="宋体"/>
          <w:sz w:val="24"/>
        </w:rPr>
        <w:t>的投标文件，招标</w:t>
      </w:r>
      <w:r>
        <w:rPr>
          <w:rFonts w:hint="eastAsia" w:ascii="宋体" w:hAnsi="宋体"/>
          <w:bCs/>
          <w:sz w:val="24"/>
        </w:rPr>
        <w:t>方</w:t>
      </w:r>
      <w:r>
        <w:rPr>
          <w:rFonts w:ascii="宋体" w:hAnsi="宋体"/>
          <w:sz w:val="24"/>
        </w:rPr>
        <w:t>不予受理。</w:t>
      </w:r>
    </w:p>
    <w:p>
      <w:pPr>
        <w:autoSpaceDE w:val="0"/>
        <w:autoSpaceDN w:val="0"/>
        <w:adjustRightInd w:val="0"/>
        <w:snapToGrid w:val="0"/>
        <w:spacing w:line="360" w:lineRule="auto"/>
        <w:jc w:val="left"/>
        <w:rPr>
          <w:rFonts w:ascii="宋体" w:hAnsi="宋体" w:cs="黑体"/>
          <w:b/>
          <w:kern w:val="0"/>
          <w:sz w:val="24"/>
        </w:rPr>
      </w:pPr>
      <w:r>
        <w:rPr>
          <w:rFonts w:hint="eastAsia" w:ascii="宋体" w:hAnsi="宋体" w:cs="TimesNewRomanPSMT"/>
          <w:b/>
          <w:kern w:val="0"/>
          <w:sz w:val="24"/>
        </w:rPr>
        <w:t>6、</w:t>
      </w:r>
      <w:r>
        <w:rPr>
          <w:rFonts w:hint="eastAsia" w:ascii="宋体" w:hAnsi="宋体" w:cs="黑体"/>
          <w:b/>
          <w:kern w:val="0"/>
          <w:sz w:val="24"/>
        </w:rPr>
        <w:t>联系方式</w:t>
      </w:r>
    </w:p>
    <w:p>
      <w:pPr>
        <w:autoSpaceDE w:val="0"/>
        <w:autoSpaceDN w:val="0"/>
        <w:adjustRightInd w:val="0"/>
        <w:snapToGrid w:val="0"/>
        <w:spacing w:line="360" w:lineRule="auto"/>
        <w:ind w:firstLine="240" w:firstLineChars="100"/>
        <w:jc w:val="left"/>
        <w:rPr>
          <w:rFonts w:ascii="宋体" w:hAnsi="宋体"/>
          <w:sz w:val="24"/>
        </w:rPr>
      </w:pPr>
      <w:r>
        <w:rPr>
          <w:rFonts w:hint="eastAsia" w:ascii="宋体" w:hAnsi="宋体"/>
          <w:sz w:val="24"/>
        </w:rPr>
        <w:t xml:space="preserve">招 标 </w:t>
      </w:r>
      <w:r>
        <w:rPr>
          <w:rFonts w:hint="eastAsia" w:ascii="宋体" w:hAnsi="宋体"/>
          <w:bCs/>
          <w:sz w:val="24"/>
        </w:rPr>
        <w:t>方</w:t>
      </w:r>
      <w:r>
        <w:rPr>
          <w:rFonts w:hint="eastAsia" w:ascii="宋体" w:hAnsi="宋体"/>
          <w:sz w:val="24"/>
        </w:rPr>
        <w:t>：</w:t>
      </w:r>
      <w:r>
        <w:rPr>
          <w:rFonts w:hint="eastAsia" w:ascii="宋体" w:hAnsi="宋体"/>
          <w:bCs/>
          <w:sz w:val="24"/>
          <w:szCs w:val="24"/>
        </w:rPr>
        <w:t>重汽（济南）轻卡有限公司</w:t>
      </w:r>
    </w:p>
    <w:p>
      <w:pPr>
        <w:autoSpaceDE w:val="0"/>
        <w:autoSpaceDN w:val="0"/>
        <w:adjustRightInd w:val="0"/>
        <w:snapToGrid w:val="0"/>
        <w:spacing w:line="360" w:lineRule="auto"/>
        <w:ind w:firstLine="240" w:firstLineChars="100"/>
        <w:jc w:val="left"/>
        <w:rPr>
          <w:rFonts w:hint="eastAsia" w:ascii="宋体" w:hAnsi="宋体" w:eastAsia="宋体"/>
          <w:sz w:val="24"/>
          <w:lang w:eastAsia="zh-CN"/>
        </w:rPr>
      </w:pPr>
      <w:r>
        <w:rPr>
          <w:rFonts w:hint="eastAsia" w:ascii="宋体" w:hAnsi="宋体"/>
          <w:sz w:val="24"/>
        </w:rPr>
        <w:t>联 系 人：</w:t>
      </w:r>
      <w:r>
        <w:rPr>
          <w:rFonts w:hint="eastAsia" w:ascii="宋体" w:hAnsi="宋体"/>
          <w:sz w:val="24"/>
          <w:lang w:val="en-US" w:eastAsia="zh-CN"/>
        </w:rPr>
        <w:t>张小虎</w:t>
      </w:r>
    </w:p>
    <w:p>
      <w:pPr>
        <w:autoSpaceDE w:val="0"/>
        <w:autoSpaceDN w:val="0"/>
        <w:adjustRightInd w:val="0"/>
        <w:snapToGrid w:val="0"/>
        <w:spacing w:line="360" w:lineRule="auto"/>
        <w:ind w:firstLine="240" w:firstLineChars="100"/>
        <w:jc w:val="left"/>
        <w:rPr>
          <w:rFonts w:hint="default" w:ascii="宋体" w:hAnsi="宋体" w:eastAsia="宋体"/>
          <w:sz w:val="24"/>
          <w:lang w:val="en-US" w:eastAsia="zh-CN"/>
        </w:rPr>
      </w:pPr>
      <w:r>
        <w:rPr>
          <w:rFonts w:hint="eastAsia" w:ascii="宋体" w:hAnsi="宋体"/>
          <w:sz w:val="24"/>
        </w:rPr>
        <w:t xml:space="preserve">联系电话: </w:t>
      </w:r>
      <w:r>
        <w:rPr>
          <w:rFonts w:ascii="宋体" w:hAnsi="宋体"/>
          <w:sz w:val="24"/>
        </w:rPr>
        <w:t>0531-5806</w:t>
      </w:r>
      <w:r>
        <w:rPr>
          <w:rFonts w:hint="eastAsia" w:ascii="宋体" w:hAnsi="宋体"/>
          <w:sz w:val="24"/>
        </w:rPr>
        <w:t>8638、</w:t>
      </w:r>
      <w:r>
        <w:rPr>
          <w:rFonts w:hint="eastAsia" w:ascii="宋体" w:hAnsi="宋体"/>
          <w:sz w:val="24"/>
          <w:lang w:val="en-US" w:eastAsia="zh-CN"/>
        </w:rPr>
        <w:t>18847987567</w:t>
      </w:r>
    </w:p>
    <w:p>
      <w:pPr>
        <w:pStyle w:val="2"/>
        <w:jc w:val="left"/>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rPr>
          <w:rFonts w:ascii="宋体" w:hAnsi="宋体"/>
        </w:rPr>
      </w:pPr>
    </w:p>
    <w:p>
      <w:pPr>
        <w:pStyle w:val="2"/>
        <w:ind w:left="0" w:leftChars="0" w:firstLine="0" w:firstLineChars="0"/>
        <w:jc w:val="both"/>
        <w:rPr>
          <w:rFonts w:ascii="宋体" w:hAnsi="宋体"/>
        </w:rPr>
      </w:pPr>
    </w:p>
    <w:p>
      <w:pPr>
        <w:pStyle w:val="2"/>
        <w:rPr>
          <w:rFonts w:ascii="宋体" w:hAnsi="宋体"/>
        </w:rPr>
      </w:pPr>
      <w:bookmarkStart w:id="4" w:name="_Toc28073"/>
      <w:bookmarkStart w:id="5" w:name="_Toc27290"/>
      <w:r>
        <w:rPr>
          <w:rFonts w:hint="eastAsia" w:ascii="宋体" w:hAnsi="宋体"/>
        </w:rPr>
        <w:t>第二章投标方须知</w:t>
      </w:r>
      <w:bookmarkEnd w:id="4"/>
      <w:bookmarkEnd w:id="5"/>
    </w:p>
    <w:p>
      <w:pPr>
        <w:pStyle w:val="2"/>
        <w:rPr>
          <w:rFonts w:ascii="宋体" w:hAnsi="宋体"/>
        </w:rPr>
      </w:pPr>
      <w:bookmarkStart w:id="6" w:name="_Toc9951"/>
      <w:bookmarkStart w:id="7" w:name="_Toc17130"/>
      <w:r>
        <w:rPr>
          <w:rFonts w:hint="eastAsia" w:ascii="宋体" w:hAnsi="宋体"/>
        </w:rPr>
        <w:t>投标方须知前附表</w:t>
      </w:r>
      <w:bookmarkEnd w:id="6"/>
      <w:bookmarkEnd w:id="7"/>
    </w:p>
    <w:p>
      <w:pPr>
        <w:spacing w:line="360" w:lineRule="auto"/>
        <w:ind w:firstLine="480" w:firstLineChars="200"/>
        <w:rPr>
          <w:rFonts w:ascii="宋体" w:hAnsi="宋体"/>
          <w:sz w:val="24"/>
          <w:szCs w:val="24"/>
        </w:rPr>
      </w:pPr>
      <w:r>
        <w:rPr>
          <w:rFonts w:hint="eastAsia" w:ascii="宋体" w:hAnsi="宋体" w:cs="宋体"/>
          <w:sz w:val="24"/>
          <w:szCs w:val="24"/>
        </w:rPr>
        <w:t>本表是对“投标方须知”正文的具体补充和修改，如有不一致，以“前附表”为准。</w:t>
      </w:r>
    </w:p>
    <w:tbl>
      <w:tblPr>
        <w:tblStyle w:val="76"/>
        <w:tblW w:w="922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36"/>
        <w:gridCol w:w="85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3" w:hRule="atLeast"/>
          <w:tblHeader/>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序号</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 w:val="24"/>
                <w:szCs w:val="24"/>
              </w:rPr>
            </w:pPr>
            <w:r>
              <w:rPr>
                <w:rFonts w:hint="eastAsia" w:ascii="宋体" w:hAnsi="宋体" w:cs="宋体"/>
                <w:b/>
                <w:bCs/>
                <w:sz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9"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ind w:left="-27" w:firstLine="1"/>
              <w:jc w:val="center"/>
              <w:rPr>
                <w:rFonts w:ascii="宋体" w:hAnsi="宋体"/>
                <w:b/>
                <w:bCs/>
                <w:sz w:val="24"/>
                <w:szCs w:val="24"/>
              </w:rPr>
            </w:pPr>
            <w:r>
              <w:rPr>
                <w:rFonts w:hint="eastAsia" w:ascii="宋体" w:hAnsi="宋体" w:cs="宋体"/>
                <w:b/>
                <w:bCs/>
                <w:sz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56"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480" w:firstLineChars="200"/>
              <w:rPr>
                <w:rFonts w:ascii="宋体" w:hAnsi="宋体"/>
                <w:sz w:val="24"/>
              </w:rPr>
            </w:pPr>
            <w:r>
              <w:rPr>
                <w:rFonts w:hint="eastAsia" w:ascii="宋体" w:hAnsi="宋体"/>
                <w:sz w:val="24"/>
              </w:rPr>
              <w:t>项目名称：</w:t>
            </w:r>
            <w:r>
              <w:rPr>
                <w:rFonts w:hint="eastAsia" w:ascii="宋体" w:hAnsi="宋体"/>
                <w:bCs/>
                <w:sz w:val="24"/>
                <w:u w:val="single"/>
              </w:rPr>
              <w:t>济南轻卡制造公司皮卡胎压检测标定等生产及检测设备项目-</w:t>
            </w:r>
            <w:r>
              <w:rPr>
                <w:rFonts w:hint="eastAsia" w:ascii="宋体" w:hAnsi="宋体"/>
                <w:bCs/>
                <w:sz w:val="24"/>
                <w:u w:val="single"/>
                <w:lang w:eastAsia="zh-CN"/>
              </w:rPr>
              <w:t>后窗玻璃打胶机</w:t>
            </w:r>
            <w:r>
              <w:rPr>
                <w:rFonts w:hint="eastAsia" w:ascii="宋体" w:hAnsi="宋体"/>
                <w:bCs/>
                <w:sz w:val="24"/>
                <w:u w:val="single"/>
              </w:rPr>
              <w:t>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2</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480" w:firstLineChars="200"/>
              <w:rPr>
                <w:sz w:val="24"/>
                <w:szCs w:val="24"/>
                <w:u w:val="single"/>
              </w:rPr>
            </w:pPr>
            <w:r>
              <w:rPr>
                <w:rFonts w:hint="eastAsia" w:ascii="宋体" w:hAnsi="宋体"/>
                <w:bCs/>
                <w:snapToGrid w:val="0"/>
                <w:kern w:val="0"/>
                <w:sz w:val="24"/>
              </w:rPr>
              <w:t>招标方名称：</w:t>
            </w:r>
            <w:r>
              <w:rPr>
                <w:rFonts w:hint="eastAsia" w:ascii="宋体" w:hAnsi="宋体"/>
                <w:bCs/>
                <w:sz w:val="24"/>
                <w:szCs w:val="24"/>
                <w:u w:val="single"/>
              </w:rPr>
              <w:t>重汽（济南）轻卡有限公司</w:t>
            </w:r>
          </w:p>
          <w:p>
            <w:pPr>
              <w:ind w:firstLine="480" w:firstLineChars="200"/>
              <w:rPr>
                <w:sz w:val="24"/>
                <w:szCs w:val="24"/>
                <w:u w:val="single"/>
              </w:rPr>
            </w:pPr>
            <w:r>
              <w:rPr>
                <w:rFonts w:hint="eastAsia"/>
                <w:sz w:val="24"/>
                <w:szCs w:val="24"/>
              </w:rPr>
              <w:t>项目地址：</w:t>
            </w:r>
            <w:r>
              <w:rPr>
                <w:rFonts w:hint="eastAsia" w:ascii="宋体" w:hAnsi="宋体"/>
                <w:bCs/>
                <w:sz w:val="24"/>
                <w:szCs w:val="24"/>
                <w:u w:val="single"/>
              </w:rPr>
              <w:t>山东省济南市章丘区</w:t>
            </w:r>
          </w:p>
          <w:p>
            <w:pPr>
              <w:ind w:firstLine="480" w:firstLineChars="200"/>
              <w:rPr>
                <w:rFonts w:hint="eastAsia" w:eastAsia="宋体"/>
                <w:sz w:val="24"/>
                <w:szCs w:val="24"/>
                <w:lang w:eastAsia="zh-CN"/>
              </w:rPr>
            </w:pPr>
            <w:r>
              <w:rPr>
                <w:rFonts w:hint="eastAsia"/>
                <w:sz w:val="24"/>
                <w:szCs w:val="24"/>
              </w:rPr>
              <w:t>联系人：</w:t>
            </w:r>
            <w:r>
              <w:rPr>
                <w:rFonts w:hint="eastAsia"/>
                <w:sz w:val="24"/>
                <w:szCs w:val="24"/>
                <w:u w:val="single"/>
                <w:lang w:val="en-US" w:eastAsia="zh-CN"/>
              </w:rPr>
              <w:t>张小虎</w:t>
            </w:r>
          </w:p>
          <w:p>
            <w:pPr>
              <w:ind w:firstLine="480" w:firstLineChars="200"/>
              <w:rPr>
                <w:sz w:val="24"/>
                <w:szCs w:val="24"/>
                <w:u w:val="single"/>
              </w:rPr>
            </w:pPr>
            <w:r>
              <w:rPr>
                <w:rFonts w:hint="eastAsia"/>
                <w:sz w:val="24"/>
                <w:szCs w:val="24"/>
              </w:rPr>
              <w:t>联系电话：</w:t>
            </w:r>
            <w:r>
              <w:rPr>
                <w:rFonts w:hint="eastAsia"/>
                <w:sz w:val="24"/>
                <w:szCs w:val="24"/>
                <w:u w:val="single"/>
              </w:rPr>
              <w:t>0531-58068638</w:t>
            </w:r>
            <w:r>
              <w:rPr>
                <w:rFonts w:hint="eastAsia"/>
                <w:sz w:val="24"/>
                <w:szCs w:val="24"/>
              </w:rPr>
              <w:t>、</w:t>
            </w:r>
            <w:r>
              <w:rPr>
                <w:rFonts w:hint="eastAsia"/>
                <w:sz w:val="24"/>
                <w:szCs w:val="24"/>
                <w:u w:val="single"/>
              </w:rPr>
              <w:t>15336433256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3</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480" w:firstLineChars="200"/>
              <w:rPr>
                <w:rFonts w:ascii="宋体" w:hAnsi="宋体"/>
                <w:sz w:val="24"/>
                <w:szCs w:val="24"/>
              </w:rPr>
            </w:pPr>
            <w:r>
              <w:rPr>
                <w:rFonts w:hint="eastAsia" w:ascii="宋体" w:hAnsi="宋体" w:cs="宋体"/>
                <w:sz w:val="24"/>
              </w:rPr>
              <w:t>资金来源：</w:t>
            </w:r>
            <w:r>
              <w:rPr>
                <w:rFonts w:hint="eastAsia" w:ascii="宋体" w:hAnsi="宋体"/>
                <w:kern w:val="0"/>
                <w:sz w:val="24"/>
              </w:rPr>
              <w:t>企业自筹，已落实；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4</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spacing w:line="360" w:lineRule="auto"/>
              <w:ind w:firstLine="360" w:firstLineChars="150"/>
              <w:rPr>
                <w:rFonts w:ascii="宋体" w:hAnsi="宋体"/>
                <w:kern w:val="0"/>
                <w:sz w:val="24"/>
              </w:rPr>
            </w:pPr>
            <w:r>
              <w:rPr>
                <w:rFonts w:hint="eastAsia" w:ascii="宋体" w:hAnsi="宋体"/>
                <w:kern w:val="0"/>
                <w:sz w:val="24"/>
              </w:rPr>
              <w:t>3.1投标方必须是在中华人民共和国境内注册的独立法人机构，具有独立承担民事责任能力，</w:t>
            </w:r>
            <w:r>
              <w:rPr>
                <w:rFonts w:hint="eastAsia" w:ascii="宋体" w:hAnsi="宋体"/>
                <w:kern w:val="0"/>
                <w:sz w:val="24"/>
                <w:u w:val="single"/>
              </w:rPr>
              <w:t>成立满三年</w:t>
            </w:r>
            <w:r>
              <w:rPr>
                <w:rFonts w:hint="eastAsia" w:ascii="宋体" w:hAnsi="宋体"/>
                <w:kern w:val="0"/>
                <w:sz w:val="24"/>
              </w:rPr>
              <w:t>（以营业执照成立日期到开标当日满三年为准）。</w:t>
            </w:r>
          </w:p>
          <w:p>
            <w:pPr>
              <w:spacing w:line="360" w:lineRule="auto"/>
              <w:ind w:firstLine="360" w:firstLineChars="150"/>
              <w:rPr>
                <w:rFonts w:ascii="宋体" w:hAnsi="宋体"/>
                <w:kern w:val="0"/>
                <w:sz w:val="24"/>
              </w:rPr>
            </w:pPr>
            <w:r>
              <w:rPr>
                <w:rFonts w:hint="eastAsia" w:ascii="宋体" w:hAnsi="宋体"/>
                <w:kern w:val="0"/>
                <w:sz w:val="24"/>
              </w:rPr>
              <w:t>3.2投标方的注册资本不少于</w:t>
            </w:r>
            <w:r>
              <w:rPr>
                <w:rFonts w:hint="eastAsia" w:ascii="宋体" w:hAnsi="宋体"/>
                <w:kern w:val="0"/>
                <w:sz w:val="24"/>
                <w:u w:val="single"/>
              </w:rPr>
              <w:t>500</w:t>
            </w:r>
            <w:r>
              <w:rPr>
                <w:rFonts w:hint="eastAsia" w:ascii="宋体" w:hAnsi="宋体"/>
                <w:kern w:val="0"/>
                <w:sz w:val="24"/>
              </w:rPr>
              <w:t>万元。</w:t>
            </w:r>
            <w:r>
              <w:rPr>
                <w:rFonts w:hint="eastAsia" w:ascii="宋体" w:hAnsi="宋体"/>
                <w:kern w:val="0"/>
                <w:sz w:val="24"/>
                <w:u w:val="single"/>
              </w:rPr>
              <w:t>具有</w:t>
            </w:r>
            <w:r>
              <w:rPr>
                <w:rFonts w:hint="eastAsia" w:ascii="宋体" w:hAnsi="宋体"/>
                <w:bCs/>
                <w:sz w:val="24"/>
                <w:u w:val="single"/>
                <w:lang w:val="en-US" w:eastAsia="zh-CN"/>
              </w:rPr>
              <w:t>后窗玻璃打胶机</w:t>
            </w:r>
            <w:r>
              <w:rPr>
                <w:rFonts w:hint="eastAsia" w:ascii="宋体" w:hAnsi="宋体"/>
                <w:kern w:val="0"/>
                <w:sz w:val="24"/>
                <w:u w:val="single"/>
              </w:rPr>
              <w:t>的设计、加工、生产及安装调试能力</w:t>
            </w:r>
            <w:r>
              <w:rPr>
                <w:rFonts w:hint="eastAsia" w:ascii="宋体" w:hAnsi="宋体"/>
                <w:kern w:val="0"/>
                <w:sz w:val="24"/>
                <w:u w:val="single"/>
                <w:lang w:eastAsia="zh-CN"/>
              </w:rPr>
              <w:t>，投标方的经营范围满足本项目需求</w:t>
            </w:r>
            <w:r>
              <w:rPr>
                <w:rFonts w:hint="eastAsia" w:ascii="宋体" w:hAnsi="宋体"/>
                <w:kern w:val="0"/>
                <w:sz w:val="24"/>
              </w:rPr>
              <w:t>。</w:t>
            </w:r>
          </w:p>
          <w:p>
            <w:pPr>
              <w:spacing w:line="360" w:lineRule="auto"/>
              <w:ind w:firstLine="360" w:firstLineChars="150"/>
              <w:rPr>
                <w:rFonts w:ascii="宋体" w:hAnsi="宋体"/>
                <w:kern w:val="0"/>
                <w:sz w:val="24"/>
              </w:rPr>
            </w:pPr>
            <w:r>
              <w:rPr>
                <w:rFonts w:hint="eastAsia" w:ascii="宋体" w:hAnsi="宋体"/>
                <w:kern w:val="0"/>
                <w:sz w:val="24"/>
              </w:rPr>
              <w:t>3.3投标方满足技术、质量、资金等要求，财务状况良好、经营稳定，具有全面履约的能力，</w:t>
            </w:r>
            <w:r>
              <w:rPr>
                <w:rFonts w:hint="eastAsia" w:ascii="宋体" w:hAnsi="宋体"/>
                <w:kern w:val="0"/>
                <w:sz w:val="24"/>
                <w:u w:val="single"/>
              </w:rPr>
              <w:t>能提供相关信用等级和完税证明</w:t>
            </w:r>
            <w:r>
              <w:rPr>
                <w:rFonts w:hint="eastAsia" w:ascii="宋体" w:hAnsi="宋体"/>
                <w:kern w:val="0"/>
                <w:sz w:val="24"/>
              </w:rPr>
              <w:t>。</w:t>
            </w:r>
          </w:p>
          <w:p>
            <w:pPr>
              <w:spacing w:line="360" w:lineRule="auto"/>
              <w:ind w:firstLine="360" w:firstLineChars="150"/>
              <w:rPr>
                <w:rFonts w:hint="eastAsia" w:ascii="宋体" w:hAnsi="宋体"/>
                <w:kern w:val="0"/>
                <w:sz w:val="24"/>
              </w:rPr>
            </w:pPr>
            <w:r>
              <w:rPr>
                <w:rFonts w:hint="eastAsia" w:ascii="宋体" w:hAnsi="宋体"/>
                <w:kern w:val="0"/>
                <w:sz w:val="24"/>
              </w:rPr>
              <w:t>3.4公司信誉良好，无违法违规等不良行为，无行政处罚及失信记录等信息</w:t>
            </w:r>
            <w:r>
              <w:rPr>
                <w:rFonts w:hint="eastAsia" w:ascii="宋体" w:hAnsi="宋体"/>
                <w:kern w:val="0"/>
                <w:sz w:val="24"/>
                <w:lang w:eastAsia="zh-CN"/>
              </w:rPr>
              <w:t>，</w:t>
            </w:r>
            <w:r>
              <w:rPr>
                <w:rFonts w:hint="eastAsia" w:ascii="宋体" w:hAnsi="宋体"/>
                <w:kern w:val="0"/>
                <w:sz w:val="24"/>
                <w:u w:val="single"/>
              </w:rPr>
              <w:t>在“信用中国”中未列入联合惩戒失信人名单</w:t>
            </w:r>
            <w:r>
              <w:rPr>
                <w:rFonts w:hint="eastAsia" w:ascii="宋体" w:hAnsi="宋体"/>
                <w:kern w:val="0"/>
                <w:sz w:val="24"/>
              </w:rPr>
              <w:t>。</w:t>
            </w:r>
          </w:p>
          <w:p>
            <w:pPr>
              <w:spacing w:line="360" w:lineRule="auto"/>
              <w:ind w:firstLine="360" w:firstLineChars="150"/>
              <w:rPr>
                <w:rFonts w:hint="eastAsia" w:ascii="宋体" w:hAnsi="宋体"/>
                <w:kern w:val="0"/>
                <w:sz w:val="24"/>
              </w:rPr>
            </w:pPr>
            <w:r>
              <w:rPr>
                <w:rFonts w:hint="eastAsia" w:ascii="宋体" w:hAnsi="宋体"/>
                <w:kern w:val="0"/>
                <w:sz w:val="24"/>
              </w:rPr>
              <w:t>3.5提供近三年（2019年1月1日至今）经审计事务所审计并盖章的企业财务报表。</w:t>
            </w:r>
          </w:p>
          <w:p>
            <w:pPr>
              <w:spacing w:line="360" w:lineRule="auto"/>
              <w:ind w:firstLine="360" w:firstLineChars="150"/>
              <w:rPr>
                <w:rFonts w:ascii="宋体" w:hAnsi="宋体"/>
                <w:kern w:val="0"/>
                <w:sz w:val="24"/>
              </w:rPr>
            </w:pPr>
            <w:r>
              <w:rPr>
                <w:rFonts w:hint="eastAsia" w:ascii="宋体" w:hAnsi="宋体"/>
                <w:kern w:val="0"/>
                <w:sz w:val="24"/>
              </w:rPr>
              <w:t>3.</w:t>
            </w:r>
            <w:r>
              <w:rPr>
                <w:rFonts w:hint="eastAsia" w:ascii="宋体" w:hAnsi="宋体"/>
                <w:kern w:val="0"/>
                <w:sz w:val="24"/>
                <w:lang w:val="en-US" w:eastAsia="zh-CN"/>
              </w:rPr>
              <w:t>6</w:t>
            </w:r>
            <w:r>
              <w:rPr>
                <w:rFonts w:hint="eastAsia" w:ascii="宋体" w:hAnsi="宋体"/>
                <w:kern w:val="0"/>
                <w:sz w:val="24"/>
              </w:rPr>
              <w:t>无招标违规、谎报年度报告信息、提供虚假资质资料等行为或其他行政处罚记录。</w:t>
            </w:r>
          </w:p>
          <w:p>
            <w:pPr>
              <w:spacing w:line="360" w:lineRule="auto"/>
              <w:ind w:firstLine="360" w:firstLineChars="150"/>
              <w:rPr>
                <w:rFonts w:ascii="宋体" w:hAnsi="宋体"/>
                <w:kern w:val="0"/>
                <w:sz w:val="24"/>
              </w:rPr>
            </w:pPr>
            <w:r>
              <w:rPr>
                <w:rFonts w:hint="eastAsia" w:ascii="宋体" w:hAnsi="宋体"/>
                <w:kern w:val="0"/>
                <w:sz w:val="24"/>
              </w:rPr>
              <w:t>3.</w:t>
            </w:r>
            <w:r>
              <w:rPr>
                <w:rFonts w:hint="eastAsia" w:ascii="宋体" w:hAnsi="宋体"/>
                <w:kern w:val="0"/>
                <w:sz w:val="24"/>
                <w:lang w:val="en-US" w:eastAsia="zh-CN"/>
              </w:rPr>
              <w:t>7</w:t>
            </w:r>
            <w:r>
              <w:rPr>
                <w:rFonts w:hint="eastAsia" w:ascii="宋体" w:hAnsi="宋体"/>
                <w:kern w:val="0"/>
                <w:sz w:val="24"/>
              </w:rPr>
              <w:t>投标方的直接或间接股东、法定代表人、董事、监事、高管非重汽员工及其亲属。</w:t>
            </w:r>
          </w:p>
          <w:p>
            <w:pPr>
              <w:spacing w:line="360" w:lineRule="auto"/>
              <w:ind w:firstLine="360" w:firstLineChars="150"/>
              <w:rPr>
                <w:rFonts w:ascii="宋体" w:hAnsi="宋体"/>
                <w:kern w:val="0"/>
                <w:sz w:val="24"/>
              </w:rPr>
            </w:pPr>
            <w:r>
              <w:rPr>
                <w:rFonts w:hint="eastAsia" w:ascii="宋体" w:hAnsi="宋体"/>
                <w:kern w:val="0"/>
                <w:sz w:val="24"/>
              </w:rPr>
              <w:t>3.</w:t>
            </w:r>
            <w:r>
              <w:rPr>
                <w:rFonts w:hint="eastAsia" w:ascii="宋体" w:hAnsi="宋体"/>
                <w:kern w:val="0"/>
                <w:sz w:val="24"/>
                <w:lang w:val="en-US" w:eastAsia="zh-CN"/>
              </w:rPr>
              <w:t>8</w:t>
            </w:r>
            <w:r>
              <w:rPr>
                <w:rFonts w:hint="eastAsia" w:ascii="宋体" w:hAnsi="宋体"/>
                <w:kern w:val="0"/>
                <w:sz w:val="24"/>
              </w:rPr>
              <w:t>没有被中国重汽集团列入黑名单。</w:t>
            </w:r>
          </w:p>
          <w:p>
            <w:pPr>
              <w:spacing w:line="360" w:lineRule="auto"/>
              <w:ind w:firstLine="360" w:firstLineChars="150"/>
              <w:rPr>
                <w:rFonts w:ascii="宋体" w:hAnsi="宋体"/>
                <w:kern w:val="0"/>
                <w:sz w:val="24"/>
              </w:rPr>
            </w:pPr>
            <w:r>
              <w:rPr>
                <w:rFonts w:hint="eastAsia" w:ascii="宋体" w:hAnsi="宋体"/>
                <w:kern w:val="0"/>
                <w:sz w:val="24"/>
              </w:rPr>
              <w:t>3.</w:t>
            </w:r>
            <w:r>
              <w:rPr>
                <w:rFonts w:hint="eastAsia" w:ascii="宋体" w:hAnsi="宋体"/>
                <w:kern w:val="0"/>
                <w:sz w:val="24"/>
                <w:lang w:val="en-US" w:eastAsia="zh-CN"/>
              </w:rPr>
              <w:t>9</w:t>
            </w:r>
            <w:r>
              <w:rPr>
                <w:rFonts w:hint="eastAsia" w:ascii="宋体" w:hAnsi="宋体"/>
                <w:kern w:val="0"/>
                <w:sz w:val="24"/>
              </w:rPr>
              <w:t>法律法规对合格投标方的其他要求、规定。</w:t>
            </w:r>
          </w:p>
          <w:p>
            <w:pPr>
              <w:spacing w:line="360" w:lineRule="auto"/>
              <w:ind w:firstLine="360" w:firstLineChars="150"/>
              <w:rPr>
                <w:rFonts w:hint="eastAsia" w:ascii="宋体" w:hAnsi="宋体" w:eastAsia="宋体"/>
                <w:kern w:val="0"/>
                <w:sz w:val="24"/>
                <w:lang w:val="en-US" w:eastAsia="zh-CN"/>
              </w:rPr>
            </w:pPr>
            <w:r>
              <w:rPr>
                <w:rFonts w:hint="eastAsia" w:ascii="宋体" w:hAnsi="宋体"/>
                <w:kern w:val="0"/>
                <w:sz w:val="24"/>
              </w:rPr>
              <w:t>3.</w:t>
            </w:r>
            <w:r>
              <w:rPr>
                <w:rFonts w:hint="eastAsia" w:ascii="宋体" w:hAnsi="宋体"/>
                <w:kern w:val="0"/>
                <w:sz w:val="24"/>
                <w:lang w:val="en-US" w:eastAsia="zh-CN"/>
              </w:rPr>
              <w:t>10</w:t>
            </w:r>
            <w:r>
              <w:rPr>
                <w:rFonts w:hint="eastAsia" w:ascii="宋体" w:hAnsi="宋体"/>
                <w:kern w:val="0"/>
                <w:sz w:val="24"/>
                <w:u w:val="single"/>
              </w:rPr>
              <w:t>不接受联合体投标</w:t>
            </w:r>
            <w:r>
              <w:rPr>
                <w:rFonts w:hint="eastAsia" w:ascii="宋体" w:hAnsi="宋体"/>
                <w:kern w:val="0"/>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 w:val="24"/>
                <w:szCs w:val="24"/>
              </w:rPr>
            </w:pPr>
            <w:r>
              <w:rPr>
                <w:rFonts w:hint="eastAsia" w:ascii="宋体" w:hAnsi="宋体" w:cs="宋体"/>
                <w:b/>
                <w:bCs/>
                <w:sz w:val="24"/>
              </w:rPr>
              <w:t>招标文件的答疑、澄清和修改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5</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snapToGrid w:val="0"/>
              <w:ind w:firstLine="480" w:firstLineChars="200"/>
              <w:rPr>
                <w:rFonts w:ascii="宋体" w:hAnsi="宋体"/>
                <w:sz w:val="24"/>
                <w:szCs w:val="24"/>
              </w:rPr>
            </w:pPr>
            <w:r>
              <w:rPr>
                <w:rFonts w:hint="eastAsia" w:ascii="宋体" w:hAnsi="宋体" w:cs="宋体"/>
                <w:sz w:val="24"/>
              </w:rPr>
              <w:t>提交疑问时间：</w:t>
            </w:r>
            <w:r>
              <w:rPr>
                <w:rFonts w:hint="eastAsia" w:ascii="宋体" w:hAnsi="宋体" w:cs="宋体"/>
                <w:b/>
                <w:sz w:val="24"/>
                <w:u w:val="single"/>
              </w:rPr>
              <w:t>202</w:t>
            </w:r>
            <w:r>
              <w:rPr>
                <w:rFonts w:hint="eastAsia" w:ascii="宋体" w:hAnsi="宋体" w:cs="宋体"/>
                <w:b/>
                <w:sz w:val="24"/>
                <w:u w:val="single"/>
                <w:lang w:val="en-US" w:eastAsia="zh-CN"/>
              </w:rPr>
              <w:t>2</w:t>
            </w:r>
            <w:r>
              <w:rPr>
                <w:rFonts w:hint="eastAsia" w:ascii="宋体" w:hAnsi="宋体" w:cs="宋体"/>
                <w:b/>
                <w:sz w:val="24"/>
                <w:u w:val="single"/>
              </w:rPr>
              <w:t xml:space="preserve">年 </w:t>
            </w:r>
            <w:r>
              <w:rPr>
                <w:rFonts w:hint="eastAsia" w:ascii="宋体" w:hAnsi="宋体" w:cs="宋体"/>
                <w:b/>
                <w:sz w:val="24"/>
                <w:u w:val="single"/>
                <w:lang w:val="en-US" w:eastAsia="zh-CN"/>
              </w:rPr>
              <w:t>10</w:t>
            </w:r>
            <w:r>
              <w:rPr>
                <w:rFonts w:hint="eastAsia" w:ascii="宋体" w:hAnsi="宋体" w:cs="宋体"/>
                <w:b/>
                <w:sz w:val="24"/>
                <w:u w:val="single"/>
              </w:rPr>
              <w:t xml:space="preserve">月 </w:t>
            </w:r>
            <w:r>
              <w:rPr>
                <w:rFonts w:hint="eastAsia" w:ascii="宋体" w:hAnsi="宋体" w:cs="宋体"/>
                <w:b/>
                <w:sz w:val="24"/>
                <w:u w:val="single"/>
                <w:lang w:val="en-US" w:eastAsia="zh-CN"/>
              </w:rPr>
              <w:t>8</w:t>
            </w:r>
            <w:r>
              <w:rPr>
                <w:rFonts w:hint="eastAsia" w:ascii="宋体" w:hAnsi="宋体" w:cs="宋体"/>
                <w:b/>
                <w:sz w:val="24"/>
                <w:u w:val="single"/>
              </w:rPr>
              <w:t>日17时</w:t>
            </w:r>
            <w:r>
              <w:rPr>
                <w:rFonts w:ascii="宋体" w:hAnsi="宋体" w:cs="宋体"/>
                <w:b/>
                <w:sz w:val="24"/>
                <w:u w:val="single"/>
              </w:rPr>
              <w:t>00</w:t>
            </w:r>
            <w:r>
              <w:rPr>
                <w:rFonts w:hint="eastAsia" w:ascii="宋体" w:hAnsi="宋体" w:cs="宋体"/>
                <w:b/>
                <w:sz w:val="24"/>
                <w:u w:val="single"/>
              </w:rPr>
              <w:t>分前</w:t>
            </w:r>
            <w:r>
              <w:rPr>
                <w:rFonts w:hint="eastAsia" w:ascii="宋体" w:hAnsi="宋体" w:cs="宋体"/>
                <w:sz w:val="24"/>
              </w:rPr>
              <w:t>；</w:t>
            </w:r>
          </w:p>
          <w:p>
            <w:pPr>
              <w:ind w:firstLine="480" w:firstLineChars="200"/>
              <w:rPr>
                <w:rFonts w:ascii="宋体" w:hAnsi="宋体" w:cs="宋体"/>
                <w:sz w:val="24"/>
              </w:rPr>
            </w:pPr>
            <w:r>
              <w:rPr>
                <w:rFonts w:hint="eastAsia" w:ascii="宋体" w:hAnsi="宋体" w:cs="宋体"/>
                <w:sz w:val="24"/>
              </w:rPr>
              <w:t>提交疑问方式：</w:t>
            </w:r>
          </w:p>
          <w:p>
            <w:pPr>
              <w:ind w:firstLine="480" w:firstLineChars="200"/>
              <w:jc w:val="left"/>
              <w:rPr>
                <w:rFonts w:hint="default" w:ascii="宋体" w:hAnsi="宋体" w:eastAsia="宋体"/>
                <w:b/>
                <w:sz w:val="24"/>
                <w:lang w:val="en-US" w:eastAsia="zh-CN"/>
              </w:rPr>
            </w:pPr>
            <w:r>
              <w:rPr>
                <w:rFonts w:hint="eastAsia" w:ascii="宋体" w:hAnsi="宋体"/>
                <w:sz w:val="24"/>
                <w:lang w:val="en-US" w:eastAsia="zh-CN"/>
              </w:rPr>
              <w:t>张小虎</w:t>
            </w:r>
            <w:r>
              <w:rPr>
                <w:rFonts w:hint="eastAsia" w:ascii="宋体" w:hAnsi="宋体"/>
                <w:sz w:val="24"/>
              </w:rPr>
              <w:t xml:space="preserve"> 电话：</w:t>
            </w:r>
            <w:r>
              <w:rPr>
                <w:rFonts w:hint="eastAsia" w:ascii="宋体" w:hAnsi="宋体"/>
                <w:sz w:val="24"/>
                <w:lang w:val="en-US" w:eastAsia="zh-CN"/>
              </w:rPr>
              <w:t>18847987567</w:t>
            </w:r>
          </w:p>
          <w:p>
            <w:pPr>
              <w:snapToGrid w:val="0"/>
              <w:ind w:firstLine="482" w:firstLineChars="200"/>
              <w:rPr>
                <w:rFonts w:ascii="宋体" w:hAnsi="宋体"/>
                <w:sz w:val="24"/>
                <w:szCs w:val="24"/>
              </w:rPr>
            </w:pPr>
            <w:r>
              <w:rPr>
                <w:rFonts w:hint="eastAsia" w:ascii="宋体" w:hAnsi="宋体"/>
                <w:b/>
                <w:sz w:val="24"/>
              </w:rPr>
              <w:t>注：</w:t>
            </w:r>
            <w:r>
              <w:rPr>
                <w:rFonts w:hint="eastAsia" w:ascii="宋体" w:hAnsi="宋体"/>
                <w:b/>
                <w:sz w:val="24"/>
                <w:u w:val="single"/>
              </w:rPr>
              <w:t>如果投标方对招标文件商务、技术部分有疑问，请各投标方在本答疑环节提出。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6</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480" w:firstLineChars="200"/>
              <w:rPr>
                <w:rFonts w:ascii="宋体" w:hAnsi="宋体" w:cs="宋体"/>
                <w:sz w:val="24"/>
                <w:szCs w:val="24"/>
              </w:rPr>
            </w:pPr>
            <w:r>
              <w:rPr>
                <w:rFonts w:hint="eastAsia" w:ascii="宋体" w:hAnsi="宋体" w:cs="宋体"/>
                <w:sz w:val="24"/>
              </w:rPr>
              <w:t>领取答疑、澄清和修改文件时间：开标前</w:t>
            </w:r>
            <w:r>
              <w:rPr>
                <w:rFonts w:hint="eastAsia" w:ascii="宋体" w:hAnsi="宋体" w:cs="宋体"/>
                <w:sz w:val="24"/>
                <w:u w:val="single"/>
              </w:rPr>
              <w:t xml:space="preserve">  </w:t>
            </w:r>
            <w:r>
              <w:rPr>
                <w:rFonts w:hint="eastAsia" w:ascii="宋体" w:hAnsi="宋体" w:cs="宋体"/>
                <w:sz w:val="24"/>
                <w:u w:val="single"/>
                <w:lang w:val="en-US" w:eastAsia="zh-CN"/>
              </w:rPr>
              <w:t>3</w:t>
            </w:r>
            <w:r>
              <w:rPr>
                <w:rFonts w:hint="eastAsia" w:ascii="宋体" w:hAnsi="宋体" w:cs="宋体"/>
                <w:sz w:val="24"/>
                <w:u w:val="single"/>
              </w:rPr>
              <w:t xml:space="preserve">  </w:t>
            </w:r>
            <w:r>
              <w:rPr>
                <w:rFonts w:hint="eastAsia" w:ascii="宋体" w:hAnsi="宋体" w:cs="宋体"/>
                <w:sz w:val="24"/>
              </w:rPr>
              <w:t>天；</w:t>
            </w:r>
          </w:p>
          <w:p>
            <w:pPr>
              <w:ind w:firstLine="480" w:firstLineChars="200"/>
              <w:rPr>
                <w:rFonts w:ascii="宋体" w:hAnsi="宋体"/>
                <w:sz w:val="24"/>
                <w:szCs w:val="24"/>
              </w:rPr>
            </w:pPr>
            <w:r>
              <w:rPr>
                <w:rFonts w:hint="eastAsia" w:ascii="宋体" w:hAnsi="宋体"/>
                <w:sz w:val="24"/>
              </w:rPr>
              <w:t>答疑、澄清和修改文件方式：招标方将以电子邮件的方式将招标文件的答疑澄清文件发送至投标报名时登记的电子邮箱。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 w:val="24"/>
                <w:szCs w:val="24"/>
              </w:rPr>
            </w:pPr>
            <w:r>
              <w:rPr>
                <w:rFonts w:hint="eastAsia" w:ascii="宋体" w:hAnsi="宋体" w:cs="宋体"/>
                <w:b/>
                <w:bCs/>
                <w:sz w:val="24"/>
              </w:rPr>
              <w:t>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7</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480" w:firstLineChars="200"/>
              <w:rPr>
                <w:rFonts w:ascii="宋体" w:hAnsi="宋体"/>
                <w:sz w:val="24"/>
                <w:szCs w:val="24"/>
              </w:rPr>
            </w:pPr>
            <w:r>
              <w:rPr>
                <w:rFonts w:hint="eastAsia" w:ascii="宋体" w:hAnsi="宋体" w:cs="宋体"/>
                <w:sz w:val="24"/>
              </w:rPr>
              <w:t>“投标文件组成及份数”详见“投标方须知”第8条。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49"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8</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pStyle w:val="30"/>
              <w:spacing w:after="0"/>
              <w:ind w:firstLine="480" w:firstLineChars="200"/>
              <w:rPr>
                <w:rFonts w:ascii="宋体" w:hAnsi="宋体" w:cs="宋体"/>
                <w:sz w:val="24"/>
              </w:rPr>
            </w:pPr>
            <w:r>
              <w:rPr>
                <w:rFonts w:hint="eastAsia" w:ascii="宋体" w:hAnsi="宋体" w:cs="宋体"/>
                <w:sz w:val="24"/>
              </w:rPr>
              <w:t>投标文件组成：</w:t>
            </w:r>
          </w:p>
          <w:p>
            <w:pPr>
              <w:pStyle w:val="30"/>
              <w:spacing w:after="0"/>
              <w:ind w:firstLine="480" w:firstLineChars="200"/>
              <w:rPr>
                <w:rFonts w:ascii="宋体" w:hAnsi="宋体" w:cs="宋体"/>
                <w:sz w:val="24"/>
              </w:rPr>
            </w:pPr>
            <w:r>
              <w:rPr>
                <w:rFonts w:hint="eastAsia" w:ascii="宋体" w:hAnsi="宋体" w:cs="宋体"/>
                <w:sz w:val="24"/>
              </w:rPr>
              <w:t>投标文件由</w:t>
            </w:r>
            <w:r>
              <w:rPr>
                <w:rFonts w:hint="eastAsia" w:ascii="宋体" w:hAnsi="宋体" w:cs="宋体"/>
                <w:b/>
                <w:bCs/>
                <w:sz w:val="24"/>
                <w:u w:val="single"/>
              </w:rPr>
              <w:t>资格证明文件</w:t>
            </w:r>
            <w:r>
              <w:rPr>
                <w:rFonts w:hint="eastAsia" w:ascii="宋体" w:hAnsi="宋体" w:cs="宋体"/>
                <w:sz w:val="24"/>
              </w:rPr>
              <w:t>、</w:t>
            </w:r>
            <w:r>
              <w:rPr>
                <w:rFonts w:hint="eastAsia" w:ascii="宋体" w:hAnsi="宋体" w:cs="宋体"/>
                <w:b/>
                <w:bCs/>
                <w:sz w:val="24"/>
                <w:u w:val="single"/>
              </w:rPr>
              <w:t>技术标书</w:t>
            </w:r>
            <w:r>
              <w:rPr>
                <w:rFonts w:hint="eastAsia" w:ascii="宋体" w:hAnsi="宋体" w:cs="宋体"/>
                <w:sz w:val="24"/>
              </w:rPr>
              <w:t>、</w:t>
            </w:r>
            <w:r>
              <w:rPr>
                <w:rFonts w:hint="eastAsia" w:ascii="宋体" w:hAnsi="宋体" w:cs="宋体"/>
                <w:b/>
                <w:bCs/>
                <w:sz w:val="24"/>
                <w:u w:val="single"/>
              </w:rPr>
              <w:t>商务标书</w:t>
            </w:r>
            <w:r>
              <w:rPr>
                <w:rFonts w:hint="eastAsia" w:ascii="宋体" w:hAnsi="宋体" w:cs="宋体"/>
                <w:sz w:val="24"/>
              </w:rPr>
              <w:t>及</w:t>
            </w:r>
            <w:r>
              <w:rPr>
                <w:rFonts w:hint="eastAsia" w:ascii="宋体" w:hAnsi="宋体" w:cs="宋体"/>
                <w:b/>
                <w:bCs/>
                <w:sz w:val="24"/>
                <w:u w:val="single"/>
              </w:rPr>
              <w:t>开标一览表</w:t>
            </w:r>
            <w:r>
              <w:rPr>
                <w:rFonts w:hint="eastAsia" w:ascii="宋体" w:hAnsi="宋体" w:cs="宋体"/>
                <w:sz w:val="24"/>
              </w:rPr>
              <w:t>组成。</w:t>
            </w:r>
          </w:p>
          <w:p>
            <w:pPr>
              <w:pStyle w:val="30"/>
              <w:spacing w:after="0"/>
              <w:ind w:firstLine="480" w:firstLineChars="200"/>
              <w:rPr>
                <w:rFonts w:ascii="宋体" w:hAnsi="宋体"/>
                <w:sz w:val="24"/>
                <w:szCs w:val="24"/>
              </w:rPr>
            </w:pPr>
            <w:r>
              <w:rPr>
                <w:rFonts w:hint="eastAsia" w:ascii="宋体" w:hAnsi="宋体" w:cs="宋体"/>
                <w:sz w:val="24"/>
              </w:rPr>
              <w:t>投标文件份数：</w:t>
            </w:r>
          </w:p>
          <w:p>
            <w:pPr>
              <w:pStyle w:val="30"/>
              <w:spacing w:after="0"/>
              <w:ind w:firstLine="480" w:firstLineChars="200"/>
              <w:rPr>
                <w:rFonts w:ascii="宋体" w:hAnsi="宋体" w:cs="宋体"/>
                <w:sz w:val="24"/>
              </w:rPr>
            </w:pPr>
            <w:r>
              <w:rPr>
                <w:rFonts w:hint="eastAsia" w:ascii="宋体" w:hAnsi="宋体" w:cs="宋体"/>
                <w:sz w:val="24"/>
              </w:rPr>
              <w:t>技术标书、商务标书及资格证明文件均一式</w:t>
            </w:r>
            <w:r>
              <w:rPr>
                <w:rFonts w:hint="eastAsia" w:ascii="宋体" w:hAnsi="宋体" w:cs="宋体"/>
                <w:sz w:val="24"/>
                <w:u w:val="single"/>
              </w:rPr>
              <w:t xml:space="preserve"> </w:t>
            </w:r>
            <w:r>
              <w:rPr>
                <w:rFonts w:hint="eastAsia" w:ascii="宋体" w:hAnsi="宋体" w:cs="宋体"/>
                <w:sz w:val="24"/>
                <w:u w:val="single"/>
                <w:lang w:val="en-US" w:eastAsia="zh-CN"/>
              </w:rPr>
              <w:t>三</w:t>
            </w:r>
            <w:r>
              <w:rPr>
                <w:rFonts w:hint="eastAsia" w:ascii="宋体" w:hAnsi="宋体" w:cs="宋体"/>
                <w:sz w:val="24"/>
                <w:u w:val="single"/>
              </w:rPr>
              <w:t xml:space="preserve"> </w:t>
            </w:r>
            <w:r>
              <w:rPr>
                <w:rFonts w:hint="eastAsia" w:ascii="宋体" w:hAnsi="宋体" w:cs="宋体"/>
                <w:sz w:val="24"/>
              </w:rPr>
              <w:t>份，其中正本</w:t>
            </w:r>
            <w:r>
              <w:rPr>
                <w:rFonts w:hint="eastAsia" w:ascii="宋体" w:hAnsi="宋体" w:cs="宋体"/>
                <w:sz w:val="24"/>
                <w:u w:val="single"/>
              </w:rPr>
              <w:t xml:space="preserve"> 一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u w:val="single"/>
                <w:lang w:val="en-US" w:eastAsia="zh-CN"/>
              </w:rPr>
              <w:t>二</w:t>
            </w:r>
            <w:r>
              <w:rPr>
                <w:rFonts w:hint="eastAsia" w:ascii="宋体" w:hAnsi="宋体" w:cs="宋体"/>
                <w:sz w:val="24"/>
              </w:rPr>
              <w:t>份；</w:t>
            </w:r>
          </w:p>
          <w:p>
            <w:pPr>
              <w:pStyle w:val="30"/>
              <w:spacing w:after="0"/>
              <w:ind w:firstLine="482" w:firstLineChars="200"/>
              <w:rPr>
                <w:rFonts w:ascii="宋体" w:hAnsi="宋体" w:cs="宋体"/>
                <w:sz w:val="24"/>
              </w:rPr>
            </w:pPr>
            <w:r>
              <w:rPr>
                <w:rFonts w:hint="eastAsia" w:ascii="宋体" w:hAnsi="宋体" w:cs="宋体"/>
                <w:b/>
                <w:sz w:val="24"/>
              </w:rPr>
              <w:t>资格证明文件、技术标书、商务标书必须分别单独胶装成册，禁止将不同类的投标文件编写进同一标书，违反上述要求投标的按无效投标处理。</w:t>
            </w:r>
          </w:p>
          <w:p>
            <w:pPr>
              <w:pStyle w:val="25"/>
              <w:spacing w:after="0" w:line="240" w:lineRule="auto"/>
              <w:ind w:firstLine="482" w:firstLineChars="200"/>
              <w:rPr>
                <w:rFonts w:ascii="宋体" w:hAnsi="宋体"/>
                <w:kern w:val="2"/>
                <w:sz w:val="24"/>
              </w:rPr>
            </w:pPr>
            <w:r>
              <w:rPr>
                <w:rFonts w:hint="eastAsia" w:ascii="宋体" w:hAnsi="宋体" w:cs="宋体"/>
                <w:b/>
                <w:sz w:val="24"/>
              </w:rPr>
              <w:t>单独密封的开标一览表一份。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9</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480" w:firstLineChars="200"/>
              <w:rPr>
                <w:rFonts w:ascii="宋体" w:hAnsi="宋体"/>
                <w:sz w:val="24"/>
                <w:szCs w:val="24"/>
              </w:rPr>
            </w:pPr>
            <w:r>
              <w:rPr>
                <w:rFonts w:hint="eastAsia" w:ascii="宋体" w:hAnsi="宋体" w:cs="宋体"/>
                <w:sz w:val="24"/>
              </w:rPr>
              <w:t>投标文件密封和标记：</w:t>
            </w:r>
          </w:p>
          <w:p>
            <w:pPr>
              <w:ind w:firstLine="480" w:firstLineChars="200"/>
              <w:rPr>
                <w:rFonts w:ascii="宋体" w:hAnsi="宋体" w:cs="宋体"/>
                <w:sz w:val="24"/>
              </w:rPr>
            </w:pPr>
            <w:r>
              <w:rPr>
                <w:rFonts w:hint="eastAsia" w:ascii="宋体" w:hAnsi="宋体" w:cs="宋体"/>
                <w:sz w:val="24"/>
              </w:rPr>
              <w:t>投标方应将技术标书的正本和所有副本、商务标书的正本和所有副本、资格证明文件的正本和所有副本、开标一览表</w:t>
            </w:r>
            <w:r>
              <w:rPr>
                <w:rFonts w:hint="eastAsia" w:ascii="宋体" w:hAnsi="宋体" w:cs="宋体"/>
                <w:b/>
                <w:bCs/>
                <w:sz w:val="24"/>
              </w:rPr>
              <w:t>分别单独密封</w:t>
            </w:r>
            <w:r>
              <w:rPr>
                <w:rFonts w:hint="eastAsia" w:ascii="宋体" w:hAnsi="宋体" w:cs="宋体"/>
                <w:sz w:val="24"/>
              </w:rPr>
              <w:t>，并在封面明显处注明以下内容：</w:t>
            </w:r>
          </w:p>
          <w:p>
            <w:pPr>
              <w:ind w:firstLine="480" w:firstLineChars="200"/>
              <w:rPr>
                <w:rFonts w:ascii="宋体" w:hAnsi="宋体"/>
                <w:sz w:val="24"/>
              </w:rPr>
            </w:pPr>
            <w:r>
              <w:rPr>
                <w:rFonts w:hint="eastAsia" w:ascii="宋体" w:hAnsi="宋体" w:cs="宋体"/>
                <w:sz w:val="24"/>
              </w:rPr>
              <w:t>1）项目名称</w:t>
            </w:r>
          </w:p>
          <w:p>
            <w:pPr>
              <w:ind w:firstLine="480" w:firstLineChars="200"/>
              <w:rPr>
                <w:rFonts w:ascii="宋体" w:hAnsi="宋体"/>
                <w:sz w:val="24"/>
              </w:rPr>
            </w:pPr>
            <w:r>
              <w:rPr>
                <w:rFonts w:hint="eastAsia" w:ascii="宋体" w:hAnsi="宋体" w:cs="宋体"/>
                <w:sz w:val="24"/>
              </w:rPr>
              <w:t>2）招标文件正本和副本或开标一览表</w:t>
            </w:r>
          </w:p>
          <w:p>
            <w:pPr>
              <w:ind w:firstLine="480" w:firstLineChars="200"/>
              <w:rPr>
                <w:rFonts w:ascii="宋体" w:hAnsi="宋体"/>
                <w:sz w:val="24"/>
              </w:rPr>
            </w:pPr>
            <w:r>
              <w:rPr>
                <w:rFonts w:hint="eastAsia" w:ascii="宋体" w:hAnsi="宋体" w:cs="宋体"/>
                <w:sz w:val="24"/>
              </w:rPr>
              <w:t>3）投标方名称（加盖公章）、地址、邮编、电话</w:t>
            </w:r>
          </w:p>
          <w:p>
            <w:pPr>
              <w:ind w:firstLine="480" w:firstLineChars="200"/>
              <w:rPr>
                <w:rFonts w:ascii="宋体" w:hAnsi="宋体" w:cs="宋体"/>
                <w:sz w:val="24"/>
              </w:rPr>
            </w:pPr>
            <w:r>
              <w:rPr>
                <w:rFonts w:hint="eastAsia" w:ascii="宋体" w:hAnsi="宋体" w:cs="宋体"/>
                <w:sz w:val="24"/>
              </w:rPr>
              <w:t>4）每一密封件在封口处注明“于</w:t>
            </w:r>
            <w:r>
              <w:rPr>
                <w:rFonts w:hint="eastAsia" w:ascii="宋体" w:hAnsi="宋体" w:cs="宋体"/>
                <w:sz w:val="24"/>
                <w:u w:val="single"/>
              </w:rPr>
              <w:t xml:space="preserve">    年   月   日   时   分</w:t>
            </w:r>
            <w:r>
              <w:rPr>
                <w:rFonts w:hint="eastAsia" w:ascii="宋体" w:hAnsi="宋体" w:cs="宋体"/>
                <w:sz w:val="24"/>
              </w:rPr>
              <w:t>之前不准启封”字样。</w:t>
            </w:r>
          </w:p>
          <w:p>
            <w:pPr>
              <w:ind w:firstLine="480" w:firstLineChars="200"/>
              <w:rPr>
                <w:rFonts w:ascii="宋体" w:hAnsi="宋体"/>
                <w:sz w:val="24"/>
              </w:rPr>
            </w:pPr>
            <w:r>
              <w:rPr>
                <w:rFonts w:hint="eastAsia" w:ascii="宋体" w:hAnsi="宋体" w:cs="宋体"/>
                <w:sz w:val="24"/>
              </w:rPr>
              <w:t>注：未按以上要求密封和标记的按无效投标处理。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10</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pStyle w:val="30"/>
              <w:spacing w:after="0"/>
              <w:ind w:firstLine="480" w:firstLineChars="200"/>
              <w:jc w:val="left"/>
              <w:rPr>
                <w:rFonts w:ascii="宋体" w:hAnsi="宋体"/>
                <w:kern w:val="2"/>
                <w:sz w:val="24"/>
              </w:rPr>
            </w:pPr>
            <w:r>
              <w:rPr>
                <w:rFonts w:hint="eastAsia" w:ascii="宋体" w:hAnsi="宋体" w:cs="宋体"/>
                <w:sz w:val="24"/>
              </w:rPr>
              <w:t>投标文件的装订：投标方必须将投标文件按照投标文件组成的顺序分别</w:t>
            </w:r>
            <w:r>
              <w:rPr>
                <w:rFonts w:hint="eastAsia" w:ascii="宋体" w:hAnsi="宋体" w:cs="宋体"/>
                <w:b/>
                <w:sz w:val="24"/>
                <w:u w:val="single"/>
              </w:rPr>
              <w:t>胶装</w:t>
            </w:r>
            <w:r>
              <w:rPr>
                <w:rFonts w:hint="eastAsia" w:ascii="宋体" w:hAnsi="宋体" w:cs="宋体"/>
                <w:sz w:val="24"/>
              </w:rPr>
              <w:t>成册，并在首页编制“投标文件目录”。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 w:val="24"/>
                <w:szCs w:val="24"/>
              </w:rPr>
            </w:pPr>
            <w:r>
              <w:rPr>
                <w:rFonts w:hint="eastAsia" w:ascii="宋体" w:hAnsi="宋体" w:cs="宋体"/>
                <w:b/>
                <w:bCs/>
                <w:sz w:val="24"/>
              </w:rPr>
              <w:t>投标保证金及投标有效期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0"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11</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480" w:firstLineChars="200"/>
              <w:rPr>
                <w:sz w:val="24"/>
              </w:rPr>
            </w:pPr>
            <w:r>
              <w:rPr>
                <w:sz w:val="24"/>
              </w:rPr>
              <w:t>1</w:t>
            </w:r>
            <w:r>
              <w:rPr>
                <w:rFonts w:hint="eastAsia"/>
                <w:sz w:val="24"/>
              </w:rPr>
              <w:t>、投标保证金的形式：</w:t>
            </w:r>
            <w:r>
              <w:rPr>
                <w:rFonts w:hint="eastAsia" w:ascii="宋体" w:hAnsi="宋体" w:cs="宋体"/>
                <w:sz w:val="24"/>
              </w:rPr>
              <w:t>网银/银行保函</w:t>
            </w:r>
          </w:p>
          <w:p>
            <w:pPr>
              <w:ind w:firstLine="480" w:firstLineChars="200"/>
              <w:rPr>
                <w:b/>
                <w:sz w:val="24"/>
              </w:rPr>
            </w:pPr>
            <w:r>
              <w:rPr>
                <w:sz w:val="24"/>
              </w:rPr>
              <w:t>2</w:t>
            </w:r>
            <w:r>
              <w:rPr>
                <w:rFonts w:hint="eastAsia"/>
                <w:sz w:val="24"/>
              </w:rPr>
              <w:t>、投标保证金的金额：</w:t>
            </w:r>
            <w:r>
              <w:rPr>
                <w:rFonts w:hint="eastAsia"/>
                <w:b/>
                <w:sz w:val="24"/>
              </w:rPr>
              <w:t>人民币</w:t>
            </w:r>
            <w:r>
              <w:rPr>
                <w:rFonts w:hint="eastAsia"/>
                <w:b/>
                <w:sz w:val="24"/>
                <w:u w:val="single"/>
              </w:rPr>
              <w:t xml:space="preserve"> </w:t>
            </w:r>
            <w:r>
              <w:rPr>
                <w:rFonts w:hint="eastAsia"/>
                <w:b/>
                <w:sz w:val="24"/>
                <w:u w:val="single"/>
                <w:lang w:val="en-US" w:eastAsia="zh-CN"/>
              </w:rPr>
              <w:t>5000</w:t>
            </w:r>
            <w:r>
              <w:rPr>
                <w:rFonts w:hint="eastAsia"/>
                <w:b/>
                <w:sz w:val="24"/>
              </w:rPr>
              <w:t>元</w:t>
            </w:r>
          </w:p>
          <w:p>
            <w:pPr>
              <w:ind w:firstLine="480" w:firstLineChars="200"/>
              <w:rPr>
                <w:sz w:val="24"/>
              </w:rPr>
            </w:pPr>
            <w:r>
              <w:rPr>
                <w:rFonts w:hint="eastAsia"/>
                <w:sz w:val="24"/>
              </w:rPr>
              <w:t>开户名：重汽（济南）轻卡有限公司</w:t>
            </w:r>
          </w:p>
          <w:p>
            <w:pPr>
              <w:ind w:firstLine="480" w:firstLineChars="200"/>
              <w:rPr>
                <w:sz w:val="24"/>
              </w:rPr>
            </w:pPr>
            <w:r>
              <w:rPr>
                <w:rFonts w:hint="eastAsia"/>
                <w:sz w:val="24"/>
              </w:rPr>
              <w:t>开户行：中国银行股份有限公司济南分行</w:t>
            </w:r>
          </w:p>
          <w:p>
            <w:pPr>
              <w:ind w:firstLine="480" w:firstLineChars="200"/>
              <w:rPr>
                <w:sz w:val="24"/>
              </w:rPr>
            </w:pPr>
            <w:r>
              <w:rPr>
                <w:rFonts w:hint="eastAsia"/>
                <w:sz w:val="24"/>
              </w:rPr>
              <w:t>账号：2351  4224  5067</w:t>
            </w:r>
          </w:p>
          <w:p>
            <w:pPr>
              <w:autoSpaceDE w:val="0"/>
              <w:autoSpaceDN w:val="0"/>
              <w:adjustRightInd w:val="0"/>
              <w:snapToGrid w:val="0"/>
              <w:ind w:firstLine="480" w:firstLineChars="200"/>
              <w:jc w:val="left"/>
              <w:rPr>
                <w:b/>
                <w:sz w:val="24"/>
              </w:rPr>
            </w:pPr>
            <w:r>
              <w:rPr>
                <w:sz w:val="24"/>
              </w:rPr>
              <w:t>3</w:t>
            </w:r>
            <w:r>
              <w:rPr>
                <w:rFonts w:hint="eastAsia"/>
                <w:sz w:val="24"/>
              </w:rPr>
              <w:t>、保证金截止时间：</w:t>
            </w:r>
            <w:r>
              <w:rPr>
                <w:rFonts w:hint="eastAsia"/>
                <w:b/>
                <w:sz w:val="24"/>
                <w:u w:val="single"/>
              </w:rPr>
              <w:t>202</w:t>
            </w:r>
            <w:r>
              <w:rPr>
                <w:rFonts w:hint="eastAsia"/>
                <w:b/>
                <w:sz w:val="24"/>
                <w:u w:val="single"/>
                <w:lang w:val="en-US" w:eastAsia="zh-CN"/>
              </w:rPr>
              <w:t>2</w:t>
            </w:r>
            <w:r>
              <w:rPr>
                <w:rFonts w:hint="eastAsia"/>
                <w:b/>
                <w:sz w:val="24"/>
                <w:u w:val="single"/>
              </w:rPr>
              <w:t>年</w:t>
            </w:r>
            <w:r>
              <w:rPr>
                <w:rFonts w:hint="eastAsia"/>
                <w:b/>
                <w:sz w:val="24"/>
                <w:u w:val="single"/>
                <w:lang w:val="en-US" w:eastAsia="zh-CN"/>
              </w:rPr>
              <w:t>10</w:t>
            </w:r>
            <w:r>
              <w:rPr>
                <w:rFonts w:hint="eastAsia"/>
                <w:b/>
                <w:sz w:val="24"/>
                <w:u w:val="single"/>
              </w:rPr>
              <w:t xml:space="preserve">月 </w:t>
            </w:r>
            <w:r>
              <w:rPr>
                <w:rFonts w:hint="eastAsia"/>
                <w:b/>
                <w:sz w:val="24"/>
                <w:u w:val="single"/>
                <w:lang w:val="en-US" w:eastAsia="zh-CN"/>
              </w:rPr>
              <w:t xml:space="preserve">8 </w:t>
            </w:r>
            <w:r>
              <w:rPr>
                <w:rFonts w:hint="eastAsia"/>
                <w:b/>
                <w:sz w:val="24"/>
                <w:u w:val="single"/>
              </w:rPr>
              <w:t>日 9 时 30 分</w:t>
            </w:r>
            <w:r>
              <w:rPr>
                <w:rFonts w:hint="eastAsia"/>
                <w:b/>
                <w:sz w:val="24"/>
              </w:rPr>
              <w:t>前</w:t>
            </w:r>
          </w:p>
          <w:p>
            <w:pPr>
              <w:autoSpaceDE w:val="0"/>
              <w:autoSpaceDN w:val="0"/>
              <w:adjustRightInd w:val="0"/>
              <w:snapToGrid w:val="0"/>
              <w:ind w:firstLine="482" w:firstLineChars="200"/>
              <w:jc w:val="left"/>
              <w:rPr>
                <w:b/>
                <w:sz w:val="24"/>
              </w:rPr>
            </w:pPr>
            <w:r>
              <w:rPr>
                <w:rFonts w:hint="eastAsia"/>
                <w:b/>
                <w:sz w:val="24"/>
              </w:rPr>
              <w:t>4、投标保证金汇款时备注项目名称等相关信息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12</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523" w:firstLineChars="218"/>
              <w:rPr>
                <w:rFonts w:ascii="宋体" w:hAnsi="宋体"/>
                <w:sz w:val="24"/>
                <w:szCs w:val="24"/>
              </w:rPr>
            </w:pPr>
            <w:r>
              <w:rPr>
                <w:rFonts w:hint="eastAsia" w:ascii="宋体" w:hAnsi="宋体" w:cs="宋体"/>
                <w:sz w:val="24"/>
              </w:rPr>
              <w:t>投标有效期：自开标之日起</w:t>
            </w:r>
            <w:r>
              <w:rPr>
                <w:rFonts w:hint="eastAsia" w:ascii="宋体" w:hAnsi="宋体" w:cs="宋体"/>
                <w:sz w:val="24"/>
                <w:u w:val="single"/>
              </w:rPr>
              <w:t xml:space="preserve">  90  </w:t>
            </w:r>
            <w:r>
              <w:rPr>
                <w:rFonts w:hint="eastAsia" w:ascii="宋体" w:hAnsi="宋体" w:cs="宋体"/>
                <w:sz w:val="24"/>
              </w:rPr>
              <w:t>个日历天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 w:val="24"/>
                <w:szCs w:val="24"/>
              </w:rPr>
            </w:pPr>
            <w:r>
              <w:rPr>
                <w:rFonts w:hint="eastAsia" w:ascii="宋体" w:hAnsi="宋体" w:cs="宋体"/>
                <w:b/>
                <w:bCs/>
                <w:sz w:val="24"/>
              </w:rPr>
              <w:t>投标文件的递交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560" w:hRule="atLeast"/>
          <w:jc w:val="center"/>
        </w:trPr>
        <w:tc>
          <w:tcPr>
            <w:tcW w:w="645" w:type="dxa"/>
            <w:vMerge w:val="restart"/>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13</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523" w:firstLineChars="218"/>
              <w:rPr>
                <w:rFonts w:ascii="宋体" w:hAnsi="宋体"/>
                <w:sz w:val="24"/>
                <w:szCs w:val="24"/>
              </w:rPr>
            </w:pPr>
            <w:r>
              <w:rPr>
                <w:rFonts w:hint="eastAsia" w:ascii="宋体" w:hAnsi="宋体" w:cs="宋体"/>
                <w:sz w:val="24"/>
              </w:rPr>
              <w:t>投标文件递交时间：</w:t>
            </w:r>
            <w:r>
              <w:rPr>
                <w:rFonts w:hint="eastAsia" w:ascii="宋体" w:hAnsi="宋体" w:cs="宋体"/>
                <w:sz w:val="24"/>
                <w:u w:val="single"/>
              </w:rPr>
              <w:t>202</w:t>
            </w:r>
            <w:r>
              <w:rPr>
                <w:rFonts w:hint="eastAsia" w:ascii="宋体" w:hAnsi="宋体" w:cs="宋体"/>
                <w:sz w:val="24"/>
                <w:u w:val="single"/>
                <w:lang w:val="en-US" w:eastAsia="zh-CN"/>
              </w:rPr>
              <w:t>2</w:t>
            </w:r>
            <w:r>
              <w:rPr>
                <w:rFonts w:hint="eastAsia" w:ascii="宋体" w:hAnsi="宋体" w:cs="宋体"/>
                <w:sz w:val="24"/>
                <w:u w:val="single"/>
              </w:rPr>
              <w:t xml:space="preserve">年 </w:t>
            </w:r>
            <w:r>
              <w:rPr>
                <w:rFonts w:hint="eastAsia" w:ascii="宋体" w:hAnsi="宋体" w:cs="宋体"/>
                <w:sz w:val="24"/>
                <w:u w:val="single"/>
                <w:lang w:val="en-US" w:eastAsia="zh-CN"/>
              </w:rPr>
              <w:t>10</w:t>
            </w:r>
            <w:r>
              <w:rPr>
                <w:rFonts w:hint="eastAsia" w:ascii="宋体" w:hAnsi="宋体" w:cs="宋体"/>
                <w:sz w:val="24"/>
                <w:u w:val="single"/>
              </w:rPr>
              <w:t xml:space="preserve"> 月 </w:t>
            </w:r>
            <w:r>
              <w:rPr>
                <w:rFonts w:hint="eastAsia" w:ascii="宋体" w:hAnsi="宋体" w:cs="宋体"/>
                <w:sz w:val="24"/>
                <w:u w:val="single"/>
                <w:lang w:val="en-US" w:eastAsia="zh-CN"/>
              </w:rPr>
              <w:t>14</w:t>
            </w:r>
            <w:r>
              <w:rPr>
                <w:rFonts w:hint="eastAsia" w:ascii="宋体" w:hAnsi="宋体" w:cs="宋体"/>
                <w:sz w:val="24"/>
                <w:u w:val="single"/>
              </w:rPr>
              <w:t>日</w:t>
            </w:r>
            <w:r>
              <w:rPr>
                <w:rFonts w:hint="eastAsia" w:ascii="宋体" w:hAnsi="宋体" w:cs="宋体"/>
                <w:sz w:val="24"/>
              </w:rPr>
              <w:t>上午8:30至9:30（北京时间）；</w:t>
            </w:r>
          </w:p>
          <w:p>
            <w:pPr>
              <w:ind w:firstLine="523" w:firstLineChars="218"/>
              <w:rPr>
                <w:rFonts w:ascii="宋体" w:hAnsi="宋体"/>
                <w:sz w:val="24"/>
                <w:szCs w:val="24"/>
              </w:rPr>
            </w:pPr>
            <w:r>
              <w:rPr>
                <w:rFonts w:hint="eastAsia" w:ascii="宋体" w:hAnsi="宋体" w:cs="宋体"/>
                <w:sz w:val="24"/>
              </w:rPr>
              <w:t>投标文件递交截止时间：</w:t>
            </w:r>
            <w:r>
              <w:rPr>
                <w:rFonts w:hint="eastAsia" w:ascii="宋体" w:hAnsi="宋体" w:cs="宋体"/>
                <w:sz w:val="24"/>
                <w:u w:val="single"/>
              </w:rPr>
              <w:t xml:space="preserve">2021年 </w:t>
            </w:r>
            <w:r>
              <w:rPr>
                <w:rFonts w:hint="eastAsia" w:ascii="宋体" w:hAnsi="宋体" w:cs="宋体"/>
                <w:sz w:val="24"/>
                <w:u w:val="single"/>
                <w:lang w:val="en-US" w:eastAsia="zh-CN"/>
              </w:rPr>
              <w:t>10</w:t>
            </w:r>
            <w:r>
              <w:rPr>
                <w:rFonts w:hint="eastAsia" w:ascii="宋体" w:hAnsi="宋体" w:cs="宋体"/>
                <w:sz w:val="24"/>
                <w:u w:val="single"/>
              </w:rPr>
              <w:t>月</w:t>
            </w:r>
            <w:r>
              <w:rPr>
                <w:rFonts w:hint="eastAsia" w:ascii="宋体" w:hAnsi="宋体" w:cs="宋体"/>
                <w:sz w:val="24"/>
                <w:u w:val="single"/>
                <w:lang w:val="en-US" w:eastAsia="zh-CN"/>
              </w:rPr>
              <w:t>14</w:t>
            </w:r>
            <w:bookmarkStart w:id="338" w:name="_GoBack"/>
            <w:bookmarkEnd w:id="338"/>
            <w:r>
              <w:rPr>
                <w:rFonts w:hint="eastAsia" w:ascii="宋体" w:hAnsi="宋体" w:cs="宋体"/>
                <w:sz w:val="24"/>
                <w:u w:val="single"/>
              </w:rPr>
              <w:t xml:space="preserve"> 日</w:t>
            </w:r>
            <w:r>
              <w:rPr>
                <w:rFonts w:hint="eastAsia" w:ascii="宋体" w:hAnsi="宋体" w:cs="宋体"/>
                <w:sz w:val="24"/>
              </w:rPr>
              <w:t>上午9:30（北京时间）。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jc w:val="center"/>
        </w:trPr>
        <w:tc>
          <w:tcPr>
            <w:tcW w:w="645" w:type="dxa"/>
            <w:vMerge w:val="continue"/>
            <w:tcBorders>
              <w:top w:val="single" w:color="auto" w:sz="2" w:space="0"/>
              <w:left w:val="single" w:color="auto" w:sz="2" w:space="0"/>
              <w:bottom w:val="single" w:color="auto" w:sz="2" w:space="0"/>
              <w:right w:val="single" w:color="auto" w:sz="2" w:space="0"/>
            </w:tcBorders>
            <w:vAlign w:val="center"/>
          </w:tcPr>
          <w:p>
            <w:pPr>
              <w:widowControl/>
              <w:jc w:val="left"/>
              <w:rPr>
                <w:rFonts w:ascii="宋体" w:hAnsi="宋体"/>
                <w:sz w:val="24"/>
                <w:szCs w:val="24"/>
              </w:rPr>
            </w:pP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523" w:firstLineChars="218"/>
              <w:rPr>
                <w:rFonts w:ascii="宋体" w:hAnsi="宋体"/>
                <w:sz w:val="24"/>
                <w:szCs w:val="24"/>
              </w:rPr>
            </w:pPr>
            <w:r>
              <w:rPr>
                <w:rFonts w:hint="eastAsia" w:ascii="宋体" w:hAnsi="宋体" w:cs="宋体"/>
                <w:sz w:val="24"/>
              </w:rPr>
              <w:t>投标文件递交地点：</w:t>
            </w:r>
            <w:r>
              <w:rPr>
                <w:rFonts w:hint="eastAsia" w:ascii="宋体" w:hAnsi="宋体"/>
                <w:sz w:val="24"/>
              </w:rPr>
              <w:t>山东省</w:t>
            </w:r>
            <w:r>
              <w:rPr>
                <w:rFonts w:hint="eastAsia"/>
                <w:bCs/>
                <w:sz w:val="24"/>
              </w:rPr>
              <w:t>济南市章丘区潘王路东园区十一号路北，重汽（济南）轻卡有限公司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 w:val="24"/>
                <w:szCs w:val="24"/>
              </w:rPr>
            </w:pPr>
            <w:r>
              <w:rPr>
                <w:rFonts w:hint="eastAsia" w:ascii="宋体" w:hAnsi="宋体" w:cs="宋体"/>
                <w:b/>
                <w:bCs/>
                <w:sz w:val="24"/>
              </w:rPr>
              <w:t>开标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29"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14</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523" w:firstLineChars="218"/>
              <w:rPr>
                <w:rFonts w:ascii="宋体" w:hAnsi="宋体"/>
                <w:sz w:val="24"/>
                <w:szCs w:val="24"/>
              </w:rPr>
            </w:pPr>
            <w:r>
              <w:rPr>
                <w:rFonts w:hint="eastAsia" w:ascii="宋体" w:hAnsi="宋体" w:cs="宋体"/>
                <w:sz w:val="24"/>
              </w:rPr>
              <w:t>开标时间：</w:t>
            </w:r>
            <w:r>
              <w:rPr>
                <w:rFonts w:hint="eastAsia" w:ascii="宋体" w:hAnsi="宋体"/>
                <w:kern w:val="0"/>
                <w:sz w:val="24"/>
              </w:rPr>
              <w:t>同投标文件递交截止时间。</w:t>
            </w:r>
          </w:p>
          <w:p>
            <w:pPr>
              <w:ind w:firstLine="523" w:firstLineChars="218"/>
              <w:rPr>
                <w:rFonts w:ascii="宋体" w:hAnsi="宋体"/>
                <w:sz w:val="24"/>
                <w:szCs w:val="24"/>
              </w:rPr>
            </w:pPr>
            <w:r>
              <w:rPr>
                <w:rFonts w:hint="eastAsia" w:ascii="宋体" w:hAnsi="宋体" w:cs="宋体"/>
                <w:sz w:val="24"/>
              </w:rPr>
              <w:t>开标地点：同投标文件递交地点。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b/>
                <w:bCs/>
                <w:sz w:val="24"/>
              </w:rPr>
              <w:t>评标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15</w:t>
            </w:r>
          </w:p>
        </w:tc>
        <w:tc>
          <w:tcPr>
            <w:tcW w:w="8547" w:type="dxa"/>
            <w:tcBorders>
              <w:top w:val="single" w:color="auto" w:sz="2" w:space="0"/>
              <w:left w:val="single" w:color="auto" w:sz="2" w:space="0"/>
              <w:bottom w:val="single" w:color="auto" w:sz="2" w:space="0"/>
              <w:right w:val="single" w:color="auto" w:sz="2" w:space="0"/>
            </w:tcBorders>
            <w:vAlign w:val="center"/>
          </w:tcPr>
          <w:p>
            <w:pPr>
              <w:ind w:firstLine="523" w:firstLineChars="218"/>
              <w:rPr>
                <w:rFonts w:ascii="宋体" w:hAnsi="宋体" w:cs="宋体"/>
                <w:sz w:val="24"/>
                <w:szCs w:val="24"/>
              </w:rPr>
            </w:pPr>
            <w:r>
              <w:rPr>
                <w:rFonts w:hint="eastAsia" w:ascii="宋体" w:hAnsi="宋体" w:cs="宋体"/>
                <w:sz w:val="24"/>
              </w:rPr>
              <w:t>评标委员会组成：招标方将根据本项目的特点组建评标委员会，其成员由有关技术、经济方面专家和招标方代表等单数成员组成，其中经济、技术等方面的专家不得少于成员总数的三分之二。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81"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16</w:t>
            </w:r>
          </w:p>
        </w:tc>
        <w:tc>
          <w:tcPr>
            <w:tcW w:w="8547" w:type="dxa"/>
            <w:tcBorders>
              <w:top w:val="single" w:color="auto" w:sz="2" w:space="0"/>
              <w:left w:val="single" w:color="auto" w:sz="2" w:space="0"/>
              <w:bottom w:val="single" w:color="auto" w:sz="2" w:space="0"/>
              <w:right w:val="single" w:color="auto" w:sz="2" w:space="0"/>
            </w:tcBorders>
            <w:vAlign w:val="center"/>
          </w:tcPr>
          <w:p>
            <w:pPr>
              <w:pStyle w:val="25"/>
              <w:spacing w:after="0" w:line="240" w:lineRule="auto"/>
              <w:ind w:firstLine="480" w:firstLineChars="200"/>
              <w:rPr>
                <w:rFonts w:ascii="宋体" w:hAnsi="宋体"/>
                <w:sz w:val="24"/>
              </w:rPr>
            </w:pPr>
            <w:r>
              <w:rPr>
                <w:rFonts w:hint="eastAsia" w:ascii="宋体" w:hAnsi="宋体" w:cs="宋体"/>
                <w:sz w:val="24"/>
              </w:rPr>
              <w:t>评标方法：综合评审法</w:t>
            </w:r>
            <w:r>
              <w:rPr>
                <w:rFonts w:hint="eastAsia" w:ascii="宋体" w:hAnsi="宋体"/>
                <w:sz w:val="24"/>
              </w:rPr>
              <w:t>。</w:t>
            </w:r>
          </w:p>
          <w:p>
            <w:pPr>
              <w:pStyle w:val="25"/>
              <w:spacing w:after="0" w:line="240" w:lineRule="auto"/>
              <w:ind w:firstLine="480" w:firstLineChars="200"/>
              <w:rPr>
                <w:sz w:val="24"/>
                <w:szCs w:val="24"/>
              </w:rPr>
            </w:pPr>
            <w:r>
              <w:rPr>
                <w:rFonts w:hint="eastAsia"/>
                <w:sz w:val="24"/>
                <w:szCs w:val="24"/>
              </w:rPr>
              <w:t>合理最低投标价法：不适用</w:t>
            </w:r>
          </w:p>
          <w:p>
            <w:pPr>
              <w:pStyle w:val="25"/>
              <w:spacing w:after="0" w:line="240" w:lineRule="auto"/>
              <w:ind w:firstLine="480" w:firstLineChars="200"/>
              <w:rPr>
                <w:sz w:val="24"/>
                <w:szCs w:val="24"/>
              </w:rPr>
            </w:pPr>
            <w:r>
              <w:rPr>
                <w:rFonts w:hint="eastAsia"/>
                <w:sz w:val="24"/>
                <w:szCs w:val="24"/>
              </w:rPr>
              <w:t>最低评标价法：不适用</w:t>
            </w:r>
          </w:p>
          <w:p>
            <w:pPr>
              <w:pStyle w:val="25"/>
              <w:spacing w:after="0" w:line="240" w:lineRule="auto"/>
              <w:ind w:firstLine="480" w:firstLineChars="200"/>
              <w:rPr>
                <w:sz w:val="24"/>
                <w:szCs w:val="24"/>
              </w:rPr>
            </w:pPr>
            <w:r>
              <w:rPr>
                <w:rFonts w:hint="eastAsia"/>
                <w:sz w:val="24"/>
                <w:szCs w:val="24"/>
              </w:rPr>
              <w:t>综合评估法：不适用</w:t>
            </w:r>
          </w:p>
          <w:p>
            <w:pPr>
              <w:pStyle w:val="25"/>
              <w:spacing w:after="0" w:line="240" w:lineRule="auto"/>
              <w:ind w:firstLine="480" w:firstLineChars="200"/>
              <w:rPr>
                <w:sz w:val="24"/>
                <w:szCs w:val="24"/>
              </w:rPr>
            </w:pPr>
            <w:r>
              <w:rPr>
                <w:rFonts w:hint="eastAsia"/>
                <w:sz w:val="24"/>
                <w:szCs w:val="24"/>
              </w:rPr>
              <w:t>中标通知：确定中标方后，通过邮件或传真通知各投标方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b/>
                <w:bCs/>
                <w:sz w:val="24"/>
              </w:rPr>
              <w:t>授予合同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17</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523" w:firstLineChars="218"/>
              <w:rPr>
                <w:rFonts w:ascii="宋体" w:hAnsi="宋体"/>
                <w:sz w:val="24"/>
                <w:szCs w:val="24"/>
              </w:rPr>
            </w:pPr>
            <w:r>
              <w:rPr>
                <w:rFonts w:hint="eastAsia" w:ascii="宋体" w:hAnsi="宋体" w:cs="宋体"/>
                <w:sz w:val="24"/>
              </w:rPr>
              <w:t>在向投标方授予中标通知书时，招标方有权</w:t>
            </w:r>
            <w:r>
              <w:rPr>
                <w:rFonts w:hint="eastAsia" w:ascii="宋体" w:hAnsi="宋体" w:cs="宋体"/>
                <w:b/>
                <w:bCs/>
                <w:sz w:val="24"/>
                <w:u w:val="single"/>
              </w:rPr>
              <w:t>变更数量和服务的内容</w:t>
            </w:r>
            <w:r>
              <w:rPr>
                <w:rFonts w:hint="eastAsia" w:ascii="宋体" w:hAnsi="宋体" w:cs="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b/>
                <w:bCs/>
                <w:sz w:val="24"/>
              </w:rPr>
              <w:t>相关费用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18</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pStyle w:val="25"/>
              <w:spacing w:after="0" w:line="240" w:lineRule="auto"/>
              <w:ind w:firstLine="3720" w:firstLineChars="1550"/>
              <w:rPr>
                <w:rFonts w:ascii="宋体" w:hAnsi="宋体"/>
                <w:sz w:val="24"/>
                <w:szCs w:val="24"/>
              </w:rPr>
            </w:pPr>
            <w:r>
              <w:rPr>
                <w:rFonts w:hint="eastAsia" w:ascii="宋体" w:hAnsi="宋体"/>
                <w:sz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922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b/>
                <w:bCs/>
                <w:sz w:val="24"/>
                <w:szCs w:val="24"/>
              </w:rPr>
            </w:pPr>
            <w:r>
              <w:rPr>
                <w:rFonts w:hint="eastAsia" w:ascii="宋体" w:hAnsi="宋体" w:cs="宋体"/>
                <w:b/>
                <w:bCs/>
                <w:sz w:val="24"/>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sz w:val="24"/>
                <w:szCs w:val="24"/>
              </w:rPr>
              <w:t>19</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ind w:firstLine="480" w:firstLineChars="200"/>
              <w:rPr>
                <w:rFonts w:ascii="宋体" w:hAnsi="宋体" w:cs="宋体"/>
                <w:sz w:val="24"/>
              </w:rPr>
            </w:pPr>
            <w:r>
              <w:rPr>
                <w:rFonts w:hint="eastAsia" w:ascii="宋体" w:hAnsi="宋体" w:cs="宋体"/>
                <w:sz w:val="24"/>
              </w:rPr>
              <w:t>交货期：详见第四章 技术规格及技术要求。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jc w:val="center"/>
        </w:trPr>
        <w:tc>
          <w:tcPr>
            <w:tcW w:w="64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sz w:val="24"/>
                <w:szCs w:val="24"/>
              </w:rPr>
            </w:pPr>
            <w:r>
              <w:rPr>
                <w:rFonts w:hint="eastAsia" w:ascii="宋体" w:hAnsi="宋体" w:cs="宋体"/>
                <w:sz w:val="24"/>
              </w:rPr>
              <w:t>20</w:t>
            </w:r>
          </w:p>
        </w:tc>
        <w:tc>
          <w:tcPr>
            <w:tcW w:w="8583" w:type="dxa"/>
            <w:gridSpan w:val="2"/>
            <w:tcBorders>
              <w:top w:val="single" w:color="auto" w:sz="2" w:space="0"/>
              <w:left w:val="single" w:color="auto" w:sz="2" w:space="0"/>
              <w:bottom w:val="single" w:color="auto" w:sz="2" w:space="0"/>
              <w:right w:val="single" w:color="auto" w:sz="2" w:space="0"/>
            </w:tcBorders>
            <w:vAlign w:val="center"/>
          </w:tcPr>
          <w:p>
            <w:pPr>
              <w:pStyle w:val="25"/>
              <w:spacing w:after="0" w:line="240" w:lineRule="auto"/>
              <w:ind w:firstLine="480" w:firstLineChars="200"/>
            </w:pPr>
            <w:r>
              <w:rPr>
                <w:rFonts w:hint="eastAsia" w:ascii="宋体" w:hAnsi="宋体" w:cs="宋体"/>
                <w:sz w:val="24"/>
              </w:rPr>
              <w:t>质保期：详见第四章 技术规格及技术要求。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30" w:hRule="atLeast"/>
          <w:jc w:val="center"/>
        </w:trPr>
        <w:tc>
          <w:tcPr>
            <w:tcW w:w="645"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szCs w:val="24"/>
              </w:rPr>
            </w:pPr>
            <w:r>
              <w:rPr>
                <w:rFonts w:hint="eastAsia" w:ascii="宋体" w:hAnsi="宋体" w:cs="宋体"/>
                <w:sz w:val="24"/>
              </w:rPr>
              <w:t>21</w:t>
            </w:r>
          </w:p>
        </w:tc>
        <w:tc>
          <w:tcPr>
            <w:tcW w:w="8583" w:type="dxa"/>
            <w:gridSpan w:val="2"/>
            <w:tcBorders>
              <w:top w:val="single" w:color="auto" w:sz="2" w:space="0"/>
              <w:left w:val="single" w:color="auto" w:sz="4" w:space="0"/>
              <w:bottom w:val="single" w:color="auto" w:sz="2" w:space="0"/>
              <w:right w:val="single" w:color="auto" w:sz="2" w:space="0"/>
            </w:tcBorders>
            <w:vAlign w:val="center"/>
          </w:tcPr>
          <w:p>
            <w:pPr>
              <w:pStyle w:val="25"/>
              <w:numPr>
                <w:ilvl w:val="0"/>
                <w:numId w:val="6"/>
              </w:numPr>
              <w:spacing w:after="0" w:line="240" w:lineRule="auto"/>
              <w:rPr>
                <w:rFonts w:hint="eastAsia" w:ascii="宋体" w:hAnsi="宋体"/>
                <w:bCs/>
                <w:kern w:val="2"/>
                <w:sz w:val="24"/>
              </w:rPr>
            </w:pPr>
            <w:r>
              <w:rPr>
                <w:rFonts w:hint="eastAsia" w:ascii="宋体" w:hAnsi="宋体"/>
                <w:bCs/>
                <w:kern w:val="2"/>
                <w:sz w:val="24"/>
              </w:rPr>
              <w:t xml:space="preserve">合同价款的结算方式：半年期银行承兑汇票 </w:t>
            </w:r>
          </w:p>
          <w:p>
            <w:pPr>
              <w:pStyle w:val="25"/>
              <w:numPr>
                <w:ilvl w:val="0"/>
                <w:numId w:val="6"/>
              </w:numPr>
              <w:spacing w:after="0" w:line="240" w:lineRule="auto"/>
              <w:rPr>
                <w:rFonts w:ascii="宋体" w:hAnsi="宋体"/>
                <w:bCs/>
                <w:kern w:val="2"/>
                <w:sz w:val="24"/>
              </w:rPr>
            </w:pPr>
            <w:r>
              <w:rPr>
                <w:rFonts w:hint="eastAsia" w:ascii="宋体" w:hAnsi="宋体" w:cs="宋体"/>
                <w:sz w:val="24"/>
                <w:szCs w:val="24"/>
              </w:rPr>
              <w:t>合同价款的支付：</w:t>
            </w:r>
          </w:p>
          <w:p>
            <w:pPr>
              <w:spacing w:line="360" w:lineRule="auto"/>
              <w:rPr>
                <w:rFonts w:ascii="宋体" w:hAnsi="宋体"/>
                <w:bCs/>
                <w:sz w:val="24"/>
              </w:rPr>
            </w:pPr>
            <w:r>
              <w:rPr>
                <w:rFonts w:hint="eastAsia" w:ascii="宋体" w:hAnsi="宋体"/>
                <w:bCs/>
                <w:sz w:val="24"/>
              </w:rPr>
              <w:t>2.1合同生效设备全部到齐无质量问题后, 卖方提交金额为合同价款</w:t>
            </w:r>
            <w:r>
              <w:rPr>
                <w:rFonts w:hint="eastAsia" w:ascii="宋体" w:hAnsi="宋体"/>
                <w:bCs/>
                <w:sz w:val="24"/>
                <w:lang w:val="en-US" w:eastAsia="zh-CN"/>
              </w:rPr>
              <w:t>6</w:t>
            </w:r>
            <w:r>
              <w:rPr>
                <w:rFonts w:hint="eastAsia" w:ascii="宋体" w:hAnsi="宋体"/>
                <w:bCs/>
                <w:sz w:val="24"/>
              </w:rPr>
              <w:t>0 %的收据</w:t>
            </w:r>
            <w:r>
              <w:rPr>
                <w:rFonts w:hint="eastAsia" w:ascii="宋体" w:hAnsi="宋体"/>
                <w:bCs/>
                <w:sz w:val="24"/>
                <w:lang w:val="en-US" w:eastAsia="zh-CN"/>
              </w:rPr>
              <w:t>及</w:t>
            </w:r>
            <w:r>
              <w:rPr>
                <w:rFonts w:hint="eastAsia" w:ascii="宋体" w:hAnsi="宋体"/>
                <w:bCs/>
                <w:sz w:val="24"/>
              </w:rPr>
              <w:t>增值税专用发票（正本一份，复印件二份），经买方依照财务制度审核无误后支付。</w:t>
            </w:r>
          </w:p>
          <w:p>
            <w:pPr>
              <w:spacing w:line="360" w:lineRule="auto"/>
              <w:rPr>
                <w:rFonts w:ascii="宋体" w:hAnsi="宋体"/>
                <w:bCs/>
                <w:sz w:val="24"/>
              </w:rPr>
            </w:pPr>
            <w:r>
              <w:rPr>
                <w:rFonts w:hint="eastAsia" w:ascii="宋体" w:hAnsi="宋体"/>
                <w:bCs/>
                <w:sz w:val="24"/>
              </w:rPr>
              <w:t>2.2设备全部到齐，经安装、调试最终验收合格后，卖方提交金额为合同价款</w:t>
            </w:r>
            <w:r>
              <w:rPr>
                <w:rFonts w:hint="eastAsia" w:ascii="宋体" w:hAnsi="宋体"/>
                <w:bCs/>
                <w:sz w:val="24"/>
                <w:lang w:val="en-US" w:eastAsia="zh-CN"/>
              </w:rPr>
              <w:t>40</w:t>
            </w:r>
            <w:r>
              <w:rPr>
                <w:rFonts w:hint="eastAsia" w:ascii="宋体" w:hAnsi="宋体"/>
                <w:bCs/>
                <w:sz w:val="24"/>
              </w:rPr>
              <w:t xml:space="preserve"> %的收据及增值税专用发票（税率为【</w:t>
            </w:r>
            <w:r>
              <w:rPr>
                <w:rFonts w:hint="eastAsia" w:ascii="宋体" w:hAnsi="宋体"/>
                <w:bCs/>
                <w:sz w:val="24"/>
                <w:lang w:val="en-US" w:eastAsia="zh-CN"/>
              </w:rPr>
              <w:t>13</w:t>
            </w:r>
            <w:r>
              <w:rPr>
                <w:rFonts w:hint="eastAsia" w:ascii="宋体" w:hAnsi="宋体"/>
                <w:bCs/>
                <w:sz w:val="24"/>
              </w:rPr>
              <w:t>】%，正本一份，复印件二份）并附带该套合同设备最终验收报告的原件及其复印件两份，经买方依照财务制度审核无误后支付合同价款</w:t>
            </w:r>
            <w:r>
              <w:rPr>
                <w:rFonts w:hint="eastAsia" w:ascii="宋体" w:hAnsi="宋体"/>
                <w:bCs/>
                <w:sz w:val="24"/>
                <w:lang w:val="en-US" w:eastAsia="zh-CN"/>
              </w:rPr>
              <w:t>的30%</w:t>
            </w:r>
            <w:r>
              <w:rPr>
                <w:rFonts w:hint="eastAsia" w:ascii="宋体" w:hAnsi="宋体"/>
                <w:bCs/>
                <w:sz w:val="24"/>
              </w:rPr>
              <w:t>：</w:t>
            </w:r>
          </w:p>
          <w:p>
            <w:pPr>
              <w:spacing w:line="360" w:lineRule="auto"/>
              <w:rPr>
                <w:rFonts w:ascii="宋体" w:hAnsi="宋体"/>
                <w:bCs/>
                <w:sz w:val="24"/>
              </w:rPr>
            </w:pPr>
            <w:r>
              <w:rPr>
                <w:rFonts w:hint="eastAsia" w:ascii="宋体" w:hAnsi="宋体"/>
                <w:bCs/>
                <w:sz w:val="24"/>
              </w:rPr>
              <w:t>2.3合同总价款的 10 %作为本合同约定设备的质量保证金，质量保证金在质量保证期内不计利息。待每套合同设备质量保证期满后，卖方向买方提交金额为合同价款10%的收据（正本一份，复印件二份）及设备使用单位的使用情况说明，经买方依照财务制度审核无误后支付。如有质量问题，质量保证金予以相应扣除。</w:t>
            </w:r>
          </w:p>
          <w:p>
            <w:pPr>
              <w:pStyle w:val="25"/>
              <w:spacing w:after="0" w:line="240" w:lineRule="auto"/>
              <w:rPr>
                <w:rFonts w:ascii="宋体" w:hAnsi="宋体"/>
                <w:bCs/>
                <w:kern w:val="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04" w:hRule="atLeast"/>
          <w:jc w:val="center"/>
        </w:trPr>
        <w:tc>
          <w:tcPr>
            <w:tcW w:w="645" w:type="dxa"/>
            <w:tcBorders>
              <w:top w:val="single" w:color="auto" w:sz="2" w:space="0"/>
              <w:left w:val="single" w:color="auto" w:sz="2" w:space="0"/>
              <w:bottom w:val="single" w:color="auto" w:sz="2" w:space="0"/>
              <w:right w:val="single" w:color="auto" w:sz="4" w:space="0"/>
            </w:tcBorders>
            <w:vAlign w:val="center"/>
          </w:tcPr>
          <w:p>
            <w:pPr>
              <w:jc w:val="center"/>
              <w:rPr>
                <w:rFonts w:ascii="宋体" w:hAnsi="宋体"/>
                <w:sz w:val="24"/>
                <w:szCs w:val="24"/>
              </w:rPr>
            </w:pPr>
            <w:r>
              <w:rPr>
                <w:rFonts w:hint="eastAsia" w:ascii="宋体" w:hAnsi="宋体" w:cs="宋体"/>
                <w:sz w:val="24"/>
              </w:rPr>
              <w:t>22</w:t>
            </w:r>
          </w:p>
        </w:tc>
        <w:tc>
          <w:tcPr>
            <w:tcW w:w="8583" w:type="dxa"/>
            <w:gridSpan w:val="2"/>
            <w:tcBorders>
              <w:top w:val="single" w:color="auto" w:sz="2" w:space="0"/>
              <w:left w:val="single" w:color="auto" w:sz="4" w:space="0"/>
              <w:bottom w:val="single" w:color="auto" w:sz="2" w:space="0"/>
              <w:right w:val="single" w:color="auto" w:sz="2" w:space="0"/>
            </w:tcBorders>
            <w:vAlign w:val="center"/>
          </w:tcPr>
          <w:p>
            <w:pPr>
              <w:jc w:val="left"/>
              <w:rPr>
                <w:rFonts w:ascii="宋体" w:hAnsi="宋体"/>
                <w:sz w:val="24"/>
              </w:rPr>
            </w:pPr>
            <w:r>
              <w:rPr>
                <w:rFonts w:hint="eastAsia" w:ascii="宋体" w:hAnsi="宋体"/>
                <w:bCs/>
                <w:sz w:val="24"/>
              </w:rPr>
              <w:t>1、</w:t>
            </w:r>
            <w:r>
              <w:rPr>
                <w:rFonts w:hint="eastAsia" w:ascii="宋体" w:hAnsi="宋体"/>
                <w:sz w:val="24"/>
              </w:rPr>
              <w:t>全部（全新）产品价、专用工具价、运杂费（包括现场卸车费）、</w:t>
            </w:r>
            <w:r>
              <w:rPr>
                <w:rFonts w:hint="eastAsia" w:ascii="宋体" w:hAnsi="宋体"/>
                <w:bCs/>
                <w:sz w:val="24"/>
              </w:rPr>
              <w:t>设计、制</w:t>
            </w:r>
            <w:r>
              <w:rPr>
                <w:rFonts w:hint="eastAsia" w:ascii="宋体" w:hAnsi="宋体"/>
                <w:sz w:val="24"/>
              </w:rPr>
              <w:t>造、安装、调试</w:t>
            </w:r>
            <w:r>
              <w:rPr>
                <w:rFonts w:hint="eastAsia" w:ascii="宋体" w:hAnsi="宋体"/>
                <w:bCs/>
                <w:sz w:val="24"/>
              </w:rPr>
              <w:t>、验收、</w:t>
            </w:r>
            <w:r>
              <w:rPr>
                <w:rFonts w:hint="eastAsia" w:ascii="宋体" w:hAnsi="宋体"/>
                <w:sz w:val="24"/>
              </w:rPr>
              <w:t>技术及售后服务费、技术资料费等所有费用的总和。所有投标均以人民币报价。</w:t>
            </w:r>
          </w:p>
          <w:p>
            <w:pPr>
              <w:jc w:val="left"/>
              <w:rPr>
                <w:rFonts w:ascii="宋体" w:hAnsi="宋体"/>
                <w:kern w:val="0"/>
                <w:sz w:val="24"/>
                <w:szCs w:val="24"/>
              </w:rPr>
            </w:pPr>
            <w:r>
              <w:rPr>
                <w:rFonts w:hint="eastAsia" w:ascii="宋体" w:hAnsi="宋体"/>
                <w:sz w:val="24"/>
              </w:rPr>
              <w:t>2、招标文件中与本附表不一致的，以本附表约定要求为准。</w:t>
            </w:r>
          </w:p>
        </w:tc>
      </w:tr>
    </w:tbl>
    <w:p>
      <w:pPr>
        <w:pStyle w:val="2"/>
        <w:ind w:left="0"/>
        <w:rPr>
          <w:rFonts w:ascii="宋体" w:hAnsi="宋体"/>
          <w:b w:val="0"/>
          <w:bCs/>
          <w:sz w:val="30"/>
          <w:szCs w:val="30"/>
        </w:rPr>
      </w:pPr>
      <w:bookmarkStart w:id="8" w:name="_Toc11713"/>
      <w:bookmarkStart w:id="9" w:name="_Toc32385"/>
      <w:r>
        <w:rPr>
          <w:rFonts w:hint="eastAsia" w:ascii="宋体" w:hAnsi="宋体" w:cs="宋体"/>
          <w:b w:val="0"/>
          <w:bCs/>
          <w:sz w:val="30"/>
          <w:szCs w:val="30"/>
        </w:rPr>
        <w:t>总则</w:t>
      </w:r>
      <w:bookmarkEnd w:id="0"/>
      <w:bookmarkEnd w:id="1"/>
      <w:bookmarkEnd w:id="8"/>
      <w:bookmarkEnd w:id="9"/>
    </w:p>
    <w:p>
      <w:pPr>
        <w:pStyle w:val="3"/>
        <w:spacing w:before="120" w:after="120" w:line="360" w:lineRule="exact"/>
        <w:rPr>
          <w:rFonts w:ascii="宋体" w:hAnsi="宋体" w:eastAsia="宋体"/>
          <w:sz w:val="28"/>
          <w:szCs w:val="28"/>
        </w:rPr>
      </w:pPr>
      <w:bookmarkStart w:id="10" w:name="_Toc12364"/>
      <w:bookmarkStart w:id="11" w:name="_Toc32151"/>
      <w:bookmarkStart w:id="12" w:name="_Toc18817"/>
      <w:r>
        <w:rPr>
          <w:rFonts w:hint="eastAsia" w:ascii="宋体" w:hAnsi="宋体" w:eastAsia="宋体" w:cs="宋体"/>
          <w:sz w:val="28"/>
          <w:szCs w:val="28"/>
        </w:rPr>
        <w:t>一、说明</w:t>
      </w:r>
      <w:bookmarkEnd w:id="10"/>
      <w:bookmarkEnd w:id="11"/>
      <w:bookmarkEnd w:id="12"/>
    </w:p>
    <w:p>
      <w:pPr>
        <w:pStyle w:val="30"/>
        <w:tabs>
          <w:tab w:val="left" w:pos="955"/>
        </w:tabs>
        <w:spacing w:after="0" w:line="560" w:lineRule="exact"/>
        <w:ind w:left="1146" w:leftChars="273" w:hanging="573" w:hangingChars="238"/>
        <w:rPr>
          <w:rFonts w:ascii="宋体" w:hAnsi="宋体"/>
          <w:b/>
          <w:bCs/>
          <w:sz w:val="24"/>
          <w:szCs w:val="24"/>
        </w:rPr>
      </w:pPr>
      <w:bookmarkStart w:id="13" w:name="_Toc352332851"/>
      <w:bookmarkStart w:id="14" w:name="_Toc346306730"/>
      <w:bookmarkStart w:id="15" w:name="_Toc346372877"/>
      <w:r>
        <w:rPr>
          <w:rFonts w:ascii="宋体" w:hAnsi="宋体" w:cs="宋体"/>
          <w:b/>
          <w:bCs/>
          <w:sz w:val="24"/>
          <w:szCs w:val="24"/>
        </w:rPr>
        <w:t>1</w:t>
      </w:r>
      <w:bookmarkEnd w:id="13"/>
      <w:bookmarkEnd w:id="14"/>
      <w:bookmarkEnd w:id="15"/>
      <w:r>
        <w:rPr>
          <w:rFonts w:hint="eastAsia" w:ascii="宋体" w:hAnsi="宋体" w:cs="宋体"/>
          <w:b/>
          <w:bCs/>
          <w:sz w:val="24"/>
          <w:szCs w:val="24"/>
        </w:rPr>
        <w:t>、招标方</w:t>
      </w:r>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详见投标方须知前附表第2项。</w:t>
      </w:r>
    </w:p>
    <w:p>
      <w:pPr>
        <w:pStyle w:val="30"/>
        <w:tabs>
          <w:tab w:val="left" w:pos="955"/>
        </w:tabs>
        <w:spacing w:after="0" w:line="560" w:lineRule="exact"/>
        <w:ind w:left="1146" w:leftChars="273" w:hanging="573" w:hangingChars="238"/>
        <w:rPr>
          <w:rFonts w:ascii="宋体" w:hAnsi="宋体"/>
          <w:b/>
          <w:bCs/>
          <w:sz w:val="24"/>
          <w:szCs w:val="24"/>
        </w:rPr>
      </w:pPr>
      <w:bookmarkStart w:id="16" w:name="_Toc346372879"/>
      <w:bookmarkStart w:id="17" w:name="_Toc352332853"/>
      <w:bookmarkStart w:id="18" w:name="_Toc346306732"/>
      <w:r>
        <w:rPr>
          <w:rFonts w:hint="eastAsia" w:ascii="宋体" w:hAnsi="宋体" w:cs="宋体"/>
          <w:b/>
          <w:bCs/>
          <w:sz w:val="24"/>
          <w:szCs w:val="24"/>
        </w:rPr>
        <w:t>2、合格</w:t>
      </w:r>
      <w:bookmarkEnd w:id="16"/>
      <w:bookmarkEnd w:id="17"/>
      <w:bookmarkEnd w:id="18"/>
      <w:r>
        <w:rPr>
          <w:rFonts w:hint="eastAsia" w:ascii="宋体" w:hAnsi="宋体" w:cs="宋体"/>
          <w:b/>
          <w:bCs/>
          <w:sz w:val="24"/>
          <w:szCs w:val="24"/>
        </w:rPr>
        <w:t>的投标方</w:t>
      </w:r>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详见投标方须知前附表第4项。</w:t>
      </w:r>
    </w:p>
    <w:p>
      <w:pPr>
        <w:pStyle w:val="30"/>
        <w:tabs>
          <w:tab w:val="left" w:pos="955"/>
        </w:tabs>
        <w:spacing w:after="0" w:line="560" w:lineRule="exact"/>
        <w:ind w:left="1146" w:leftChars="273" w:hanging="573" w:hangingChars="238"/>
        <w:rPr>
          <w:rFonts w:ascii="宋体" w:hAnsi="宋体"/>
          <w:b/>
          <w:bCs/>
          <w:sz w:val="24"/>
          <w:szCs w:val="24"/>
        </w:rPr>
      </w:pPr>
      <w:bookmarkStart w:id="19" w:name="_Toc346372880"/>
      <w:bookmarkStart w:id="20" w:name="_Toc352332854"/>
      <w:bookmarkStart w:id="21" w:name="_Toc346306733"/>
      <w:r>
        <w:rPr>
          <w:rFonts w:hint="eastAsia" w:ascii="宋体" w:hAnsi="宋体" w:cs="宋体"/>
          <w:b/>
          <w:bCs/>
          <w:sz w:val="24"/>
          <w:szCs w:val="24"/>
        </w:rPr>
        <w:t>3、投标费用</w:t>
      </w:r>
      <w:bookmarkEnd w:id="19"/>
      <w:bookmarkEnd w:id="20"/>
      <w:bookmarkEnd w:id="21"/>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无论投标过程中的方法和结果如何，投标方自行承担所有与参加招标有关的费用。</w:t>
      </w:r>
    </w:p>
    <w:p>
      <w:pPr>
        <w:pStyle w:val="3"/>
        <w:spacing w:before="120" w:after="120" w:line="360" w:lineRule="exact"/>
        <w:rPr>
          <w:rFonts w:ascii="宋体" w:hAnsi="宋体" w:eastAsia="宋体" w:cs="宋体"/>
          <w:sz w:val="28"/>
          <w:szCs w:val="28"/>
        </w:rPr>
      </w:pPr>
      <w:bookmarkStart w:id="22" w:name="_Toc7299"/>
      <w:bookmarkStart w:id="23" w:name="_Toc23031"/>
      <w:bookmarkStart w:id="24" w:name="_Toc8124"/>
      <w:r>
        <w:rPr>
          <w:rFonts w:hint="eastAsia" w:ascii="宋体" w:hAnsi="宋体" w:eastAsia="宋体" w:cs="宋体"/>
          <w:sz w:val="28"/>
          <w:szCs w:val="28"/>
        </w:rPr>
        <w:t>二、招标文件</w:t>
      </w:r>
      <w:bookmarkEnd w:id="22"/>
      <w:bookmarkEnd w:id="23"/>
      <w:bookmarkEnd w:id="24"/>
    </w:p>
    <w:p>
      <w:pPr>
        <w:pStyle w:val="30"/>
        <w:tabs>
          <w:tab w:val="left" w:pos="955"/>
        </w:tabs>
        <w:spacing w:after="0" w:line="560" w:lineRule="exact"/>
        <w:ind w:left="1146" w:leftChars="273" w:hanging="573" w:hangingChars="238"/>
        <w:rPr>
          <w:rFonts w:ascii="宋体" w:hAnsi="宋体"/>
          <w:b/>
          <w:bCs/>
          <w:sz w:val="24"/>
          <w:szCs w:val="24"/>
        </w:rPr>
      </w:pPr>
      <w:bookmarkStart w:id="25" w:name="_Toc346306735"/>
      <w:bookmarkStart w:id="26" w:name="_Toc352332856"/>
      <w:bookmarkStart w:id="27" w:name="_Toc346372882"/>
      <w:r>
        <w:rPr>
          <w:rFonts w:hint="eastAsia" w:ascii="宋体" w:hAnsi="宋体" w:cs="宋体"/>
          <w:b/>
          <w:bCs/>
          <w:sz w:val="24"/>
          <w:szCs w:val="24"/>
        </w:rPr>
        <w:t>4、招标文件组成</w:t>
      </w:r>
      <w:bookmarkEnd w:id="25"/>
      <w:bookmarkEnd w:id="26"/>
      <w:bookmarkEnd w:id="27"/>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本招标文件由招标文件目录所列内容及按本招标文件要求发出的澄清、答疑和修改组成。</w:t>
      </w:r>
    </w:p>
    <w:p>
      <w:pPr>
        <w:pStyle w:val="30"/>
        <w:tabs>
          <w:tab w:val="left" w:pos="955"/>
        </w:tabs>
        <w:spacing w:after="0" w:line="560" w:lineRule="exact"/>
        <w:ind w:left="1146" w:leftChars="273" w:hanging="573" w:hangingChars="238"/>
        <w:rPr>
          <w:rFonts w:ascii="宋体" w:hAnsi="宋体"/>
          <w:b/>
          <w:bCs/>
          <w:sz w:val="24"/>
          <w:szCs w:val="24"/>
        </w:rPr>
      </w:pPr>
      <w:bookmarkStart w:id="28" w:name="_Toc346306736"/>
      <w:bookmarkStart w:id="29" w:name="_Toc346372883"/>
      <w:bookmarkStart w:id="30" w:name="_Toc352332857"/>
      <w:r>
        <w:rPr>
          <w:rFonts w:hint="eastAsia" w:ascii="宋体" w:hAnsi="宋体" w:cs="宋体"/>
          <w:b/>
          <w:bCs/>
          <w:sz w:val="24"/>
          <w:szCs w:val="24"/>
        </w:rPr>
        <w:t>5、招标文件答疑</w:t>
      </w:r>
      <w:bookmarkEnd w:id="28"/>
      <w:bookmarkEnd w:id="29"/>
      <w:bookmarkEnd w:id="30"/>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投标方对招标文件如有疑问，应于前附表第5项所述时间以前以书面形式通知到招标方。在前附表第6项所述时间之前，招标方将视情况以书面形式予以答复，如有必要可将答复内容包括原提出的问题（但不表明问题的来源），分发给所有取得同一招标文件的投标方。投标方须在收到招标方的书面答复后24小时内书面邮件回复。</w:t>
      </w:r>
    </w:p>
    <w:p>
      <w:pPr>
        <w:pStyle w:val="30"/>
        <w:tabs>
          <w:tab w:val="left" w:pos="955"/>
        </w:tabs>
        <w:spacing w:after="0" w:line="560" w:lineRule="exact"/>
        <w:ind w:left="1146" w:leftChars="273" w:hanging="573" w:hangingChars="238"/>
        <w:rPr>
          <w:rFonts w:ascii="宋体" w:hAnsi="宋体"/>
          <w:b/>
          <w:bCs/>
          <w:sz w:val="24"/>
          <w:szCs w:val="24"/>
        </w:rPr>
      </w:pPr>
      <w:bookmarkStart w:id="31" w:name="_Toc346372884"/>
      <w:bookmarkStart w:id="32" w:name="_Toc352332858"/>
      <w:bookmarkStart w:id="33" w:name="_Toc346306737"/>
      <w:r>
        <w:rPr>
          <w:rFonts w:hint="eastAsia" w:ascii="宋体" w:hAnsi="宋体" w:cs="宋体"/>
          <w:b/>
          <w:bCs/>
          <w:sz w:val="24"/>
          <w:szCs w:val="24"/>
        </w:rPr>
        <w:t>6、招标文件澄清和修改</w:t>
      </w:r>
      <w:bookmarkEnd w:id="31"/>
      <w:bookmarkEnd w:id="32"/>
      <w:bookmarkEnd w:id="33"/>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6</w:t>
      </w:r>
      <w:r>
        <w:rPr>
          <w:rFonts w:ascii="宋体" w:hAnsi="宋体" w:cs="宋体"/>
          <w:kern w:val="0"/>
          <w:sz w:val="24"/>
          <w:szCs w:val="24"/>
        </w:rPr>
        <w:t xml:space="preserve">.1  </w:t>
      </w:r>
      <w:r>
        <w:rPr>
          <w:rFonts w:hint="eastAsia" w:ascii="宋体" w:hAnsi="宋体" w:cs="宋体"/>
          <w:kern w:val="0"/>
          <w:sz w:val="24"/>
          <w:szCs w:val="24"/>
        </w:rPr>
        <w:t>招标方对招标文件有澄清或修改的内容，将以书面补充文件形式通知已取得招标文件的所有投标方。补充文件作为招标文件的组成部分，对所有投标方具有约束力。</w:t>
      </w:r>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6</w:t>
      </w:r>
      <w:r>
        <w:rPr>
          <w:rFonts w:ascii="宋体" w:hAnsi="宋体" w:cs="宋体"/>
          <w:kern w:val="0"/>
          <w:sz w:val="24"/>
          <w:szCs w:val="24"/>
        </w:rPr>
        <w:t xml:space="preserve">.2  </w:t>
      </w:r>
      <w:r>
        <w:rPr>
          <w:rFonts w:hint="eastAsia" w:ascii="宋体" w:hAnsi="宋体" w:cs="宋体"/>
          <w:kern w:val="0"/>
          <w:sz w:val="24"/>
          <w:szCs w:val="24"/>
        </w:rPr>
        <w:t>为使投标方有足够的时间按招标文件的要求修改投标文件，招标方可酌情推迟招标的截止时间与开标时间，并将此变更通知各投标方。</w:t>
      </w:r>
    </w:p>
    <w:p>
      <w:pPr>
        <w:autoSpaceDE w:val="0"/>
        <w:autoSpaceDN w:val="0"/>
        <w:adjustRightInd w:val="0"/>
        <w:snapToGrid w:val="0"/>
        <w:spacing w:line="560" w:lineRule="exact"/>
        <w:ind w:firstLine="600" w:firstLineChars="250"/>
        <w:jc w:val="left"/>
        <w:rPr>
          <w:rFonts w:ascii="宋体" w:hAnsi="宋体"/>
          <w:kern w:val="0"/>
          <w:sz w:val="24"/>
          <w:szCs w:val="24"/>
        </w:rPr>
      </w:pPr>
      <w:r>
        <w:rPr>
          <w:rFonts w:hint="eastAsia" w:ascii="宋体" w:hAnsi="宋体" w:cs="宋体"/>
          <w:kern w:val="0"/>
          <w:sz w:val="24"/>
          <w:szCs w:val="24"/>
        </w:rPr>
        <w:t>6</w:t>
      </w:r>
      <w:r>
        <w:rPr>
          <w:rFonts w:ascii="宋体" w:hAnsi="宋体" w:cs="宋体"/>
          <w:kern w:val="0"/>
          <w:sz w:val="24"/>
          <w:szCs w:val="24"/>
        </w:rPr>
        <w:t xml:space="preserve">.3  </w:t>
      </w:r>
      <w:r>
        <w:rPr>
          <w:rFonts w:hint="eastAsia" w:ascii="宋体" w:hAnsi="宋体" w:cs="宋体"/>
          <w:kern w:val="0"/>
          <w:sz w:val="24"/>
          <w:szCs w:val="24"/>
        </w:rPr>
        <w:t>投标方须在收到招标方的澄清、修改或变更后</w:t>
      </w:r>
      <w:r>
        <w:rPr>
          <w:rFonts w:ascii="宋体" w:hAnsi="宋体" w:cs="宋体"/>
          <w:kern w:val="0"/>
          <w:sz w:val="24"/>
          <w:szCs w:val="24"/>
        </w:rPr>
        <w:t>24</w:t>
      </w:r>
      <w:r>
        <w:rPr>
          <w:rFonts w:hint="eastAsia" w:ascii="宋体" w:hAnsi="宋体" w:cs="宋体"/>
          <w:kern w:val="0"/>
          <w:sz w:val="24"/>
          <w:szCs w:val="24"/>
        </w:rPr>
        <w:t>小时内书面邮件回复。</w:t>
      </w:r>
    </w:p>
    <w:p>
      <w:pPr>
        <w:pStyle w:val="3"/>
        <w:spacing w:before="120" w:after="120" w:line="360" w:lineRule="exact"/>
        <w:rPr>
          <w:rFonts w:ascii="宋体" w:hAnsi="宋体" w:eastAsia="宋体" w:cs="宋体"/>
          <w:sz w:val="28"/>
          <w:szCs w:val="28"/>
        </w:rPr>
      </w:pPr>
      <w:bookmarkStart w:id="34" w:name="_Toc12423"/>
      <w:bookmarkStart w:id="35" w:name="_Toc10853"/>
      <w:bookmarkStart w:id="36" w:name="_Toc11443"/>
      <w:r>
        <w:rPr>
          <w:rFonts w:hint="eastAsia" w:ascii="宋体" w:hAnsi="宋体" w:eastAsia="宋体" w:cs="宋体"/>
          <w:sz w:val="28"/>
          <w:szCs w:val="28"/>
        </w:rPr>
        <w:t>三、投标文件编写</w:t>
      </w:r>
      <w:bookmarkEnd w:id="34"/>
      <w:bookmarkEnd w:id="35"/>
      <w:bookmarkEnd w:id="36"/>
    </w:p>
    <w:p>
      <w:pPr>
        <w:spacing w:line="460" w:lineRule="exact"/>
        <w:ind w:firstLine="482" w:firstLineChars="200"/>
        <w:rPr>
          <w:rFonts w:ascii="宋体" w:hAnsi="宋体"/>
          <w:b/>
          <w:bCs/>
          <w:sz w:val="24"/>
        </w:rPr>
      </w:pPr>
      <w:bookmarkStart w:id="37" w:name="_Toc212369512"/>
      <w:bookmarkStart w:id="38" w:name="_Toc92678113"/>
      <w:r>
        <w:rPr>
          <w:rFonts w:hint="eastAsia" w:ascii="宋体" w:hAnsi="宋体"/>
          <w:b/>
          <w:bCs/>
          <w:sz w:val="24"/>
        </w:rPr>
        <w:t>7、投标报价语言及计量单位</w:t>
      </w:r>
      <w:bookmarkEnd w:id="37"/>
      <w:bookmarkEnd w:id="38"/>
    </w:p>
    <w:p>
      <w:pPr>
        <w:tabs>
          <w:tab w:val="left" w:pos="6313"/>
        </w:tabs>
        <w:spacing w:line="460" w:lineRule="exact"/>
        <w:ind w:firstLine="480" w:firstLineChars="200"/>
        <w:rPr>
          <w:rFonts w:ascii="宋体" w:hAnsi="宋体"/>
          <w:sz w:val="24"/>
        </w:rPr>
      </w:pPr>
      <w:r>
        <w:rPr>
          <w:rFonts w:hint="eastAsia" w:ascii="宋体" w:hAnsi="宋体"/>
          <w:sz w:val="24"/>
        </w:rPr>
        <w:t>7.1</w:t>
      </w:r>
      <w:r>
        <w:rPr>
          <w:rFonts w:ascii="宋体" w:hAnsi="宋体"/>
          <w:sz w:val="24"/>
        </w:rPr>
        <w:t>投标文件和与投标有关的所有文件均应使用</w:t>
      </w:r>
      <w:r>
        <w:rPr>
          <w:rFonts w:hint="eastAsia" w:ascii="宋体" w:hAnsi="宋体"/>
          <w:sz w:val="24"/>
        </w:rPr>
        <w:t>中文。</w:t>
      </w:r>
    </w:p>
    <w:p>
      <w:pPr>
        <w:tabs>
          <w:tab w:val="left" w:pos="6313"/>
        </w:tabs>
        <w:spacing w:line="460" w:lineRule="exact"/>
        <w:ind w:left="959" w:leftChars="228" w:hanging="480" w:hangingChars="200"/>
        <w:rPr>
          <w:rFonts w:ascii="宋体" w:hAnsi="宋体"/>
          <w:sz w:val="24"/>
        </w:rPr>
      </w:pPr>
      <w:r>
        <w:rPr>
          <w:rFonts w:hint="eastAsia" w:ascii="宋体" w:hAnsi="宋体"/>
          <w:sz w:val="24"/>
        </w:rPr>
        <w:t>7.2 除投标文件的技术规格中另有规定外，投标文件中所使用的计量单位应为中华人民共和国法定计量单位。</w:t>
      </w:r>
    </w:p>
    <w:p>
      <w:pPr>
        <w:spacing w:line="460" w:lineRule="exact"/>
        <w:ind w:firstLine="482" w:firstLineChars="200"/>
        <w:rPr>
          <w:rFonts w:ascii="宋体" w:hAnsi="宋体"/>
          <w:b/>
          <w:bCs/>
          <w:sz w:val="24"/>
        </w:rPr>
      </w:pPr>
      <w:bookmarkStart w:id="39" w:name="_Toc212369513"/>
      <w:bookmarkStart w:id="40" w:name="_Toc92678114"/>
      <w:r>
        <w:rPr>
          <w:rFonts w:hint="eastAsia" w:ascii="宋体" w:hAnsi="宋体"/>
          <w:b/>
          <w:bCs/>
          <w:sz w:val="24"/>
        </w:rPr>
        <w:t>8、投标文件组成</w:t>
      </w:r>
      <w:bookmarkEnd w:id="39"/>
      <w:bookmarkEnd w:id="40"/>
    </w:p>
    <w:p>
      <w:pPr>
        <w:spacing w:line="460" w:lineRule="exact"/>
        <w:ind w:firstLine="482" w:firstLineChars="200"/>
        <w:rPr>
          <w:rFonts w:ascii="宋体" w:hAnsi="宋体" w:cs="宋体"/>
          <w:b/>
          <w:bCs/>
          <w:sz w:val="24"/>
        </w:rPr>
      </w:pPr>
      <w:r>
        <w:rPr>
          <w:rFonts w:hint="eastAsia" w:ascii="宋体" w:hAnsi="宋体" w:cs="宋体"/>
          <w:b/>
          <w:bCs/>
          <w:sz w:val="24"/>
        </w:rPr>
        <w:t>投标方的投标文件由</w:t>
      </w:r>
      <w:r>
        <w:rPr>
          <w:rFonts w:hint="eastAsia" w:ascii="宋体" w:hAnsi="宋体" w:cs="宋体"/>
          <w:b/>
          <w:bCs/>
          <w:sz w:val="24"/>
          <w:u w:val="single"/>
        </w:rPr>
        <w:t>资格证明文件</w:t>
      </w:r>
      <w:r>
        <w:rPr>
          <w:rFonts w:hint="eastAsia" w:ascii="宋体" w:hAnsi="宋体" w:cs="宋体"/>
          <w:b/>
          <w:bCs/>
          <w:sz w:val="24"/>
        </w:rPr>
        <w:t>、</w:t>
      </w:r>
      <w:r>
        <w:rPr>
          <w:rFonts w:hint="eastAsia" w:ascii="宋体" w:hAnsi="宋体" w:cs="宋体"/>
          <w:b/>
          <w:bCs/>
          <w:sz w:val="24"/>
          <w:u w:val="single"/>
        </w:rPr>
        <w:t>技术标书</w:t>
      </w:r>
      <w:r>
        <w:rPr>
          <w:rFonts w:hint="eastAsia" w:ascii="宋体" w:hAnsi="宋体" w:cs="宋体"/>
          <w:b/>
          <w:bCs/>
          <w:sz w:val="24"/>
        </w:rPr>
        <w:t>、</w:t>
      </w:r>
      <w:r>
        <w:rPr>
          <w:rFonts w:hint="eastAsia" w:ascii="宋体" w:hAnsi="宋体" w:cs="宋体"/>
          <w:b/>
          <w:bCs/>
          <w:sz w:val="24"/>
          <w:u w:val="single"/>
        </w:rPr>
        <w:t>商务标书</w:t>
      </w:r>
      <w:r>
        <w:rPr>
          <w:rFonts w:hint="eastAsia" w:ascii="宋体" w:hAnsi="宋体" w:cs="宋体"/>
          <w:b/>
          <w:bCs/>
          <w:sz w:val="24"/>
        </w:rPr>
        <w:t>及</w:t>
      </w:r>
      <w:r>
        <w:rPr>
          <w:rFonts w:hint="eastAsia" w:ascii="宋体" w:hAnsi="宋体" w:cs="宋体"/>
          <w:b/>
          <w:bCs/>
          <w:sz w:val="24"/>
          <w:u w:val="single"/>
        </w:rPr>
        <w:t>开标一览表</w:t>
      </w:r>
      <w:r>
        <w:rPr>
          <w:rFonts w:hint="eastAsia" w:ascii="宋体" w:hAnsi="宋体" w:cs="宋体"/>
          <w:b/>
          <w:bCs/>
          <w:sz w:val="24"/>
        </w:rPr>
        <w:t>共四部分构成：</w:t>
      </w:r>
    </w:p>
    <w:p>
      <w:pPr>
        <w:spacing w:line="460" w:lineRule="exact"/>
        <w:ind w:firstLine="482" w:firstLineChars="200"/>
        <w:rPr>
          <w:rFonts w:ascii="宋体" w:hAnsi="宋体"/>
          <w:b/>
          <w:bCs/>
          <w:sz w:val="24"/>
        </w:rPr>
      </w:pPr>
      <w:bookmarkStart w:id="41" w:name="_Toc212369516"/>
      <w:r>
        <w:rPr>
          <w:rFonts w:hint="eastAsia" w:ascii="宋体" w:hAnsi="宋体"/>
          <w:b/>
          <w:bCs/>
          <w:sz w:val="24"/>
        </w:rPr>
        <w:t>8.1 资格证明文件包括：</w:t>
      </w:r>
      <w:bookmarkEnd w:id="41"/>
    </w:p>
    <w:p>
      <w:pPr>
        <w:spacing w:line="460" w:lineRule="exact"/>
        <w:ind w:firstLine="480" w:firstLineChars="200"/>
        <w:rPr>
          <w:rFonts w:ascii="宋体" w:hAnsi="宋体"/>
          <w:bCs/>
          <w:sz w:val="24"/>
        </w:rPr>
      </w:pPr>
      <w:r>
        <w:rPr>
          <w:rFonts w:hint="eastAsia" w:ascii="宋体" w:hAnsi="宋体"/>
          <w:sz w:val="24"/>
        </w:rPr>
        <w:t>（1）营业执照复印件加盖公章</w:t>
      </w:r>
      <w:r>
        <w:rPr>
          <w:rFonts w:hint="eastAsia" w:ascii="宋体" w:hAnsi="宋体"/>
          <w:b/>
          <w:bCs/>
          <w:sz w:val="24"/>
        </w:rPr>
        <w:t>；</w:t>
      </w:r>
    </w:p>
    <w:p>
      <w:pPr>
        <w:spacing w:line="460" w:lineRule="exact"/>
        <w:ind w:firstLine="480" w:firstLineChars="200"/>
        <w:rPr>
          <w:rFonts w:ascii="宋体" w:hAnsi="宋体"/>
          <w:sz w:val="24"/>
        </w:rPr>
      </w:pPr>
      <w:r>
        <w:rPr>
          <w:rFonts w:hint="eastAsia" w:ascii="宋体" w:hAnsi="宋体"/>
          <w:sz w:val="24"/>
        </w:rPr>
        <w:t>（2）“信用中国”查询截图加盖公章；</w:t>
      </w:r>
    </w:p>
    <w:p>
      <w:pPr>
        <w:spacing w:line="460" w:lineRule="exact"/>
        <w:ind w:firstLine="480" w:firstLineChars="200"/>
        <w:rPr>
          <w:rFonts w:ascii="宋体" w:hAnsi="宋体"/>
          <w:sz w:val="24"/>
        </w:rPr>
      </w:pPr>
      <w:r>
        <w:rPr>
          <w:rFonts w:hint="eastAsia" w:ascii="宋体" w:hAnsi="宋体"/>
          <w:sz w:val="24"/>
        </w:rPr>
        <w:t>（3）法定代表人身份证或授权代理人身份证复印件；</w:t>
      </w:r>
    </w:p>
    <w:p>
      <w:pPr>
        <w:tabs>
          <w:tab w:val="left" w:pos="6313"/>
        </w:tabs>
        <w:spacing w:line="460" w:lineRule="exact"/>
        <w:ind w:firstLine="480" w:firstLineChars="200"/>
        <w:rPr>
          <w:rFonts w:ascii="宋体" w:hAnsi="宋体"/>
          <w:sz w:val="24"/>
        </w:rPr>
      </w:pPr>
      <w:r>
        <w:rPr>
          <w:rFonts w:hint="eastAsia" w:ascii="宋体" w:hAnsi="宋体"/>
          <w:sz w:val="24"/>
        </w:rPr>
        <w:t>（4）法定代表人授权委托书；</w:t>
      </w:r>
      <w:r>
        <w:rPr>
          <w:rFonts w:ascii="宋体" w:hAnsi="宋体"/>
          <w:sz w:val="24"/>
        </w:rPr>
        <w:tab/>
      </w:r>
    </w:p>
    <w:p>
      <w:pPr>
        <w:spacing w:line="460" w:lineRule="exact"/>
        <w:ind w:firstLine="480" w:firstLineChars="200"/>
        <w:rPr>
          <w:rFonts w:ascii="宋体" w:hAnsi="宋体"/>
          <w:sz w:val="24"/>
        </w:rPr>
      </w:pPr>
      <w:r>
        <w:rPr>
          <w:rFonts w:hint="eastAsia" w:ascii="宋体" w:hAnsi="宋体"/>
          <w:sz w:val="24"/>
        </w:rPr>
        <w:t>（5）投标方基本情况表；</w:t>
      </w:r>
    </w:p>
    <w:p>
      <w:pPr>
        <w:spacing w:line="460" w:lineRule="exact"/>
        <w:ind w:firstLine="480" w:firstLineChars="200"/>
        <w:rPr>
          <w:rFonts w:ascii="宋体" w:hAnsi="宋体"/>
          <w:sz w:val="24"/>
        </w:rPr>
      </w:pPr>
      <w:r>
        <w:rPr>
          <w:rFonts w:hint="eastAsia" w:ascii="宋体" w:hAnsi="宋体"/>
          <w:sz w:val="24"/>
        </w:rPr>
        <w:t>（6）近三年经审计事务所审计并盖章的企业财务报表及相关资料</w:t>
      </w:r>
      <w:r>
        <w:rPr>
          <w:rFonts w:hint="eastAsia" w:ascii="宋体" w:hAnsi="宋体"/>
          <w:sz w:val="24"/>
          <w:lang w:eastAsia="zh-CN"/>
        </w:rPr>
        <w:t>，</w:t>
      </w:r>
      <w:r>
        <w:rPr>
          <w:rFonts w:hint="eastAsia" w:ascii="宋体" w:hAnsi="宋体"/>
          <w:sz w:val="24"/>
        </w:rPr>
        <w:t>相关信用等级和完税证明；</w:t>
      </w:r>
    </w:p>
    <w:p>
      <w:pPr>
        <w:adjustRightInd w:val="0"/>
        <w:spacing w:line="460" w:lineRule="exact"/>
        <w:ind w:firstLine="480" w:firstLineChars="200"/>
        <w:rPr>
          <w:rFonts w:ascii="宋体" w:hAnsi="宋体"/>
          <w:sz w:val="24"/>
        </w:rPr>
      </w:pPr>
      <w:r>
        <w:rPr>
          <w:rFonts w:hint="eastAsia" w:ascii="宋体" w:hAnsi="宋体"/>
          <w:sz w:val="24"/>
        </w:rPr>
        <w:t>（7）在以往的招投标活动中无违法、违规、违纪、违约行为的承诺函；</w:t>
      </w:r>
    </w:p>
    <w:p>
      <w:pPr>
        <w:spacing w:line="460" w:lineRule="exact"/>
        <w:ind w:firstLine="480" w:firstLineChars="200"/>
        <w:rPr>
          <w:rFonts w:ascii="宋体" w:hAnsi="宋体"/>
          <w:sz w:val="24"/>
        </w:rPr>
      </w:pPr>
      <w:r>
        <w:rPr>
          <w:rFonts w:hint="eastAsia" w:ascii="宋体" w:hAnsi="宋体"/>
          <w:sz w:val="24"/>
        </w:rPr>
        <w:t>（8）有效期内的生产许可证（实行生产许可制度的企业提供）加盖公章；</w:t>
      </w:r>
    </w:p>
    <w:p>
      <w:pPr>
        <w:spacing w:line="460" w:lineRule="exact"/>
        <w:ind w:firstLine="480" w:firstLineChars="200"/>
        <w:rPr>
          <w:rFonts w:ascii="宋体" w:hAnsi="宋体"/>
          <w:sz w:val="24"/>
        </w:rPr>
      </w:pPr>
      <w:r>
        <w:rPr>
          <w:rFonts w:hint="eastAsia" w:ascii="宋体" w:hAnsi="宋体"/>
          <w:sz w:val="24"/>
        </w:rPr>
        <w:t>（9）招标文件要求的其它必要资格文件；</w:t>
      </w:r>
    </w:p>
    <w:p>
      <w:pPr>
        <w:spacing w:line="460" w:lineRule="exact"/>
        <w:ind w:firstLine="480" w:firstLineChars="200"/>
        <w:rPr>
          <w:rFonts w:ascii="宋体" w:hAnsi="宋体"/>
          <w:sz w:val="24"/>
        </w:rPr>
      </w:pPr>
      <w:r>
        <w:rPr>
          <w:rFonts w:hint="eastAsia" w:ascii="宋体" w:hAnsi="宋体"/>
          <w:sz w:val="24"/>
        </w:rPr>
        <w:t>（10）产品鉴定证书（如果有）；</w:t>
      </w:r>
    </w:p>
    <w:p>
      <w:pPr>
        <w:spacing w:line="460" w:lineRule="exact"/>
        <w:ind w:firstLine="480" w:firstLineChars="200"/>
        <w:rPr>
          <w:rFonts w:ascii="宋体" w:hAnsi="宋体"/>
          <w:sz w:val="24"/>
        </w:rPr>
      </w:pPr>
      <w:r>
        <w:rPr>
          <w:rFonts w:hint="eastAsia" w:ascii="宋体" w:hAnsi="宋体"/>
          <w:sz w:val="24"/>
        </w:rPr>
        <w:t>（11）质量体系认证证书（如果有）；</w:t>
      </w:r>
    </w:p>
    <w:p>
      <w:pPr>
        <w:spacing w:line="460" w:lineRule="exact"/>
        <w:ind w:firstLine="480" w:firstLineChars="200"/>
        <w:rPr>
          <w:rFonts w:ascii="宋体" w:hAnsi="宋体"/>
          <w:sz w:val="24"/>
        </w:rPr>
      </w:pPr>
      <w:r>
        <w:rPr>
          <w:rFonts w:hint="eastAsia" w:ascii="宋体" w:hAnsi="宋体"/>
          <w:sz w:val="24"/>
        </w:rPr>
        <w:t>（12）产品和主要元器件“CCC”认证证书（如需）；</w:t>
      </w:r>
    </w:p>
    <w:p>
      <w:pPr>
        <w:spacing w:line="460" w:lineRule="exact"/>
        <w:ind w:firstLine="480" w:firstLineChars="200"/>
        <w:rPr>
          <w:rFonts w:ascii="宋体" w:hAnsi="宋体"/>
          <w:sz w:val="24"/>
        </w:rPr>
      </w:pPr>
      <w:r>
        <w:rPr>
          <w:rFonts w:hint="eastAsia" w:ascii="宋体" w:hAnsi="宋体"/>
          <w:sz w:val="24"/>
        </w:rPr>
        <w:t>（13）产品的检测、检验报告复印件（如有，需权威部门出具）；</w:t>
      </w:r>
    </w:p>
    <w:p>
      <w:pPr>
        <w:spacing w:line="460" w:lineRule="exact"/>
        <w:ind w:firstLine="480" w:firstLineChars="200"/>
        <w:rPr>
          <w:rFonts w:ascii="宋体" w:hAnsi="宋体"/>
          <w:sz w:val="24"/>
        </w:rPr>
      </w:pPr>
      <w:r>
        <w:rPr>
          <w:rFonts w:hint="eastAsia" w:ascii="宋体" w:hAnsi="宋体"/>
          <w:sz w:val="24"/>
        </w:rPr>
        <w:t>（14）投标方认为对其投标有利的其他资料。</w:t>
      </w:r>
    </w:p>
    <w:p>
      <w:pPr>
        <w:spacing w:line="460" w:lineRule="exact"/>
        <w:ind w:firstLine="643" w:firstLineChars="200"/>
        <w:rPr>
          <w:rFonts w:ascii="宋体" w:hAnsi="宋体"/>
          <w:b/>
          <w:bCs/>
          <w:sz w:val="32"/>
          <w:szCs w:val="24"/>
          <w:u w:val="single"/>
        </w:rPr>
      </w:pPr>
      <w:bookmarkStart w:id="42" w:name="_Toc212369515"/>
      <w:r>
        <w:rPr>
          <w:rFonts w:hint="eastAsia" w:ascii="宋体" w:hAnsi="宋体"/>
          <w:b/>
          <w:bCs/>
          <w:sz w:val="32"/>
          <w:szCs w:val="24"/>
          <w:u w:val="single"/>
        </w:rPr>
        <w:t>前9项文件必须提供，未提供者直接视为资格审查未通过，无法继续参与投标！</w:t>
      </w:r>
    </w:p>
    <w:p>
      <w:pPr>
        <w:spacing w:line="460" w:lineRule="exact"/>
        <w:ind w:firstLine="482" w:firstLineChars="200"/>
        <w:rPr>
          <w:rFonts w:ascii="宋体" w:hAnsi="宋体"/>
          <w:b/>
          <w:bCs/>
          <w:sz w:val="24"/>
        </w:rPr>
      </w:pPr>
      <w:r>
        <w:rPr>
          <w:rFonts w:hint="eastAsia" w:ascii="宋体" w:hAnsi="宋体"/>
          <w:b/>
          <w:bCs/>
          <w:sz w:val="24"/>
        </w:rPr>
        <w:t>8.2技术标书：</w:t>
      </w:r>
      <w:bookmarkEnd w:id="42"/>
    </w:p>
    <w:p>
      <w:pPr>
        <w:spacing w:line="460" w:lineRule="exact"/>
        <w:ind w:firstLine="482" w:firstLineChars="200"/>
        <w:rPr>
          <w:rFonts w:ascii="宋体" w:hAnsi="宋体"/>
          <w:b/>
          <w:bCs/>
          <w:sz w:val="24"/>
        </w:rPr>
      </w:pPr>
      <w:r>
        <w:rPr>
          <w:rFonts w:hint="eastAsia" w:ascii="宋体" w:hAnsi="宋体"/>
          <w:b/>
          <w:bCs/>
          <w:sz w:val="24"/>
        </w:rPr>
        <w:t>为提高评标效率，请投标方按照下列资料清单内容及顺序编制技术标书，如投标方未按照以下内容及顺序编制技术标书，可能会影响技术标书得分，请各投标单位务必注意。</w:t>
      </w:r>
    </w:p>
    <w:p>
      <w:pPr>
        <w:spacing w:line="460" w:lineRule="exact"/>
        <w:ind w:firstLine="480" w:firstLineChars="200"/>
        <w:rPr>
          <w:rFonts w:ascii="宋体" w:hAnsi="宋体"/>
          <w:sz w:val="24"/>
        </w:rPr>
      </w:pPr>
      <w:r>
        <w:rPr>
          <w:rFonts w:hint="eastAsia" w:ascii="宋体" w:hAnsi="宋体"/>
          <w:sz w:val="24"/>
        </w:rPr>
        <w:t>（1）主要技术参数：按照招标文件技术部分所要求的技术参数与投标方所投标设备的主要技术参数作出数据对比表格；</w:t>
      </w:r>
    </w:p>
    <w:p>
      <w:pPr>
        <w:spacing w:line="460" w:lineRule="exact"/>
        <w:ind w:firstLine="480" w:firstLineChars="200"/>
        <w:rPr>
          <w:rFonts w:ascii="宋体" w:hAnsi="宋体"/>
          <w:sz w:val="24"/>
        </w:rPr>
      </w:pPr>
      <w:r>
        <w:rPr>
          <w:rFonts w:hint="eastAsia" w:ascii="宋体" w:hAnsi="宋体"/>
          <w:sz w:val="24"/>
        </w:rPr>
        <w:t>（2）产品质量及保证措施：产品质量、性能稳定可靠，使用寿命长且有完善的生产保证措施等方面的说明及证明材料；</w:t>
      </w:r>
    </w:p>
    <w:p>
      <w:pPr>
        <w:spacing w:line="460" w:lineRule="exact"/>
        <w:ind w:firstLine="480" w:firstLineChars="200"/>
        <w:rPr>
          <w:rFonts w:ascii="宋体" w:hAnsi="宋体"/>
          <w:sz w:val="24"/>
        </w:rPr>
      </w:pPr>
      <w:r>
        <w:rPr>
          <w:rFonts w:hint="eastAsia" w:ascii="宋体" w:hAnsi="宋体"/>
          <w:sz w:val="24"/>
        </w:rPr>
        <w:t>（3）供货周期（注意本条不影响商务部分关于供货期的表述，但不得和商务部分矛盾）：应提供详细的供货计划或生产加工计划，有详细的确保满足供货期基本要求或能在保证质量的前提下提前交货措施的说明及证明材料；</w:t>
      </w:r>
    </w:p>
    <w:p>
      <w:pPr>
        <w:spacing w:line="460" w:lineRule="exact"/>
        <w:ind w:firstLine="480" w:firstLineChars="200"/>
        <w:rPr>
          <w:rFonts w:ascii="宋体" w:hAnsi="宋体"/>
          <w:sz w:val="24"/>
        </w:rPr>
      </w:pPr>
      <w:r>
        <w:rPr>
          <w:rFonts w:hint="eastAsia" w:ascii="宋体" w:hAnsi="宋体"/>
          <w:sz w:val="24"/>
        </w:rPr>
        <w:t>（4）质保期及售后服务：质保期是否响应或优于招标文件要求，售后服务措施得当，体系完整，项目所在地有相应的的售后服务能力等方面的说明及证明材料；</w:t>
      </w:r>
    </w:p>
    <w:p>
      <w:pPr>
        <w:spacing w:line="460" w:lineRule="exact"/>
        <w:ind w:firstLine="480" w:firstLineChars="200"/>
        <w:rPr>
          <w:rFonts w:ascii="宋体" w:hAnsi="宋体"/>
          <w:sz w:val="24"/>
        </w:rPr>
      </w:pPr>
      <w:r>
        <w:rPr>
          <w:rFonts w:hint="eastAsia" w:ascii="宋体" w:hAnsi="宋体"/>
          <w:sz w:val="24"/>
        </w:rPr>
        <w:t>（5）投标单位针对本次项目提出合理化建议；</w:t>
      </w:r>
    </w:p>
    <w:p>
      <w:pPr>
        <w:spacing w:line="460" w:lineRule="exact"/>
        <w:ind w:firstLine="480" w:firstLineChars="200"/>
        <w:rPr>
          <w:rFonts w:ascii="宋体" w:hAnsi="宋体"/>
          <w:sz w:val="24"/>
        </w:rPr>
      </w:pPr>
      <w:r>
        <w:rPr>
          <w:rFonts w:hint="eastAsia" w:ascii="宋体" w:hAnsi="宋体"/>
          <w:sz w:val="24"/>
        </w:rPr>
        <w:t>（6）按招标文件投标方须知和技术规格书中要求提供的有关文件；</w:t>
      </w:r>
    </w:p>
    <w:p>
      <w:pPr>
        <w:spacing w:line="460" w:lineRule="exact"/>
        <w:ind w:firstLine="480" w:firstLineChars="200"/>
        <w:rPr>
          <w:rFonts w:ascii="宋体" w:hAnsi="宋体"/>
          <w:sz w:val="24"/>
        </w:rPr>
      </w:pPr>
      <w:r>
        <w:rPr>
          <w:rFonts w:hint="eastAsia" w:ascii="宋体" w:hAnsi="宋体"/>
          <w:sz w:val="24"/>
        </w:rPr>
        <w:t>（7）投标方需提交的其它资料。</w:t>
      </w:r>
    </w:p>
    <w:p>
      <w:pPr>
        <w:spacing w:line="460" w:lineRule="exact"/>
        <w:ind w:firstLine="480" w:firstLineChars="200"/>
        <w:rPr>
          <w:rFonts w:ascii="宋体" w:hAnsi="宋体"/>
          <w:sz w:val="24"/>
        </w:rPr>
      </w:pPr>
      <w:r>
        <w:rPr>
          <w:rFonts w:hint="eastAsia" w:ascii="宋体" w:hAnsi="宋体"/>
          <w:sz w:val="24"/>
        </w:rPr>
        <w:t>（8）技术规格偏离表；</w:t>
      </w:r>
    </w:p>
    <w:p>
      <w:pPr>
        <w:spacing w:line="460" w:lineRule="exact"/>
        <w:ind w:firstLine="480" w:firstLineChars="200"/>
        <w:rPr>
          <w:rFonts w:ascii="宋体" w:hAnsi="宋体"/>
          <w:sz w:val="24"/>
        </w:rPr>
      </w:pPr>
      <w:r>
        <w:rPr>
          <w:rFonts w:hint="eastAsia" w:ascii="宋体" w:hAnsi="宋体"/>
          <w:sz w:val="24"/>
        </w:rPr>
        <w:t>（9）服务承诺函；</w:t>
      </w:r>
    </w:p>
    <w:p>
      <w:pPr>
        <w:spacing w:line="460" w:lineRule="exact"/>
        <w:ind w:firstLine="480" w:firstLineChars="200"/>
        <w:rPr>
          <w:rFonts w:ascii="宋体" w:hAnsi="宋体"/>
          <w:sz w:val="24"/>
        </w:rPr>
      </w:pPr>
      <w:r>
        <w:rPr>
          <w:rFonts w:hint="eastAsia" w:ascii="宋体" w:hAnsi="宋体"/>
          <w:sz w:val="24"/>
        </w:rPr>
        <w:t>（10）设备质量承诺函；</w:t>
      </w:r>
    </w:p>
    <w:p>
      <w:pPr>
        <w:spacing w:line="460" w:lineRule="exact"/>
        <w:ind w:firstLine="480" w:firstLineChars="200"/>
        <w:rPr>
          <w:rFonts w:ascii="宋体" w:hAnsi="宋体"/>
          <w:sz w:val="24"/>
        </w:rPr>
      </w:pPr>
      <w:r>
        <w:rPr>
          <w:rFonts w:hint="eastAsia" w:ascii="宋体" w:hAnsi="宋体"/>
          <w:sz w:val="24"/>
        </w:rPr>
        <w:t>（11）按招标文件投标方须知和技术规格书中要求提供的有关文件。</w:t>
      </w:r>
    </w:p>
    <w:p>
      <w:pPr>
        <w:spacing w:line="460" w:lineRule="exact"/>
        <w:ind w:firstLine="482" w:firstLineChars="200"/>
        <w:rPr>
          <w:rFonts w:ascii="宋体" w:hAnsi="宋体"/>
          <w:b/>
          <w:bCs/>
          <w:sz w:val="24"/>
        </w:rPr>
      </w:pPr>
      <w:bookmarkStart w:id="43" w:name="_Toc212369514"/>
      <w:r>
        <w:rPr>
          <w:rFonts w:hint="eastAsia" w:ascii="宋体" w:hAnsi="宋体"/>
          <w:b/>
          <w:bCs/>
          <w:sz w:val="24"/>
        </w:rPr>
        <w:t>8.3商务标书：</w:t>
      </w:r>
      <w:bookmarkEnd w:id="43"/>
    </w:p>
    <w:p>
      <w:pPr>
        <w:spacing w:line="460" w:lineRule="exact"/>
        <w:ind w:firstLine="480" w:firstLineChars="200"/>
        <w:rPr>
          <w:rFonts w:ascii="宋体" w:hAnsi="宋体"/>
          <w:sz w:val="24"/>
        </w:rPr>
      </w:pPr>
      <w:r>
        <w:rPr>
          <w:rFonts w:hint="eastAsia" w:ascii="宋体" w:hAnsi="宋体"/>
          <w:sz w:val="24"/>
        </w:rPr>
        <w:t>（1）投标函；</w:t>
      </w:r>
    </w:p>
    <w:p>
      <w:pPr>
        <w:spacing w:line="460" w:lineRule="exact"/>
        <w:ind w:firstLine="480" w:firstLineChars="200"/>
        <w:rPr>
          <w:rFonts w:ascii="宋体" w:hAnsi="宋体"/>
          <w:sz w:val="24"/>
        </w:rPr>
      </w:pPr>
      <w:r>
        <w:rPr>
          <w:rFonts w:hint="eastAsia" w:ascii="宋体" w:hAnsi="宋体"/>
          <w:sz w:val="24"/>
        </w:rPr>
        <w:t>（2）开标一览表；</w:t>
      </w:r>
    </w:p>
    <w:p>
      <w:pPr>
        <w:spacing w:line="460" w:lineRule="exact"/>
        <w:ind w:firstLine="480" w:firstLineChars="200"/>
        <w:rPr>
          <w:rFonts w:ascii="宋体" w:hAnsi="宋体"/>
          <w:sz w:val="24"/>
        </w:rPr>
      </w:pPr>
      <w:r>
        <w:rPr>
          <w:rFonts w:hint="eastAsia" w:ascii="宋体" w:hAnsi="宋体"/>
          <w:sz w:val="24"/>
        </w:rPr>
        <w:t>（3）投标分项报价表；</w:t>
      </w:r>
    </w:p>
    <w:p>
      <w:pPr>
        <w:spacing w:line="460" w:lineRule="exact"/>
        <w:ind w:firstLine="480" w:firstLineChars="200"/>
        <w:rPr>
          <w:rFonts w:ascii="宋体" w:hAnsi="宋体"/>
          <w:sz w:val="24"/>
        </w:rPr>
      </w:pPr>
      <w:r>
        <w:rPr>
          <w:rFonts w:hint="eastAsia" w:ascii="宋体" w:hAnsi="宋体"/>
          <w:sz w:val="24"/>
        </w:rPr>
        <w:t>（4）投标报价明细表；</w:t>
      </w:r>
    </w:p>
    <w:p>
      <w:pPr>
        <w:spacing w:line="460" w:lineRule="exact"/>
        <w:ind w:firstLine="480" w:firstLineChars="200"/>
        <w:rPr>
          <w:rFonts w:ascii="宋体" w:hAnsi="宋体"/>
          <w:sz w:val="24"/>
        </w:rPr>
      </w:pPr>
      <w:r>
        <w:rPr>
          <w:rFonts w:hint="eastAsia" w:ascii="宋体" w:hAnsi="宋体"/>
          <w:sz w:val="24"/>
        </w:rPr>
        <w:t>（5）货物说明一览表；</w:t>
      </w:r>
    </w:p>
    <w:p>
      <w:pPr>
        <w:spacing w:line="460" w:lineRule="exact"/>
        <w:ind w:firstLine="480" w:firstLineChars="200"/>
        <w:rPr>
          <w:rFonts w:ascii="宋体" w:hAnsi="宋体"/>
          <w:sz w:val="24"/>
        </w:rPr>
      </w:pPr>
      <w:r>
        <w:rPr>
          <w:rFonts w:hint="eastAsia" w:ascii="宋体" w:hAnsi="宋体"/>
          <w:sz w:val="24"/>
        </w:rPr>
        <w:t>（6）商务条款偏离表；</w:t>
      </w:r>
    </w:p>
    <w:p>
      <w:pPr>
        <w:spacing w:line="460" w:lineRule="exact"/>
        <w:ind w:firstLine="480" w:firstLineChars="200"/>
        <w:rPr>
          <w:rFonts w:ascii="宋体" w:hAnsi="宋体"/>
          <w:sz w:val="24"/>
        </w:rPr>
      </w:pPr>
      <w:r>
        <w:rPr>
          <w:rFonts w:hint="eastAsia" w:ascii="宋体" w:hAnsi="宋体"/>
          <w:sz w:val="24"/>
        </w:rPr>
        <w:t>（7）经营业绩一览表；</w:t>
      </w:r>
    </w:p>
    <w:p>
      <w:pPr>
        <w:spacing w:line="460" w:lineRule="exact"/>
        <w:ind w:firstLine="480" w:firstLineChars="200"/>
        <w:rPr>
          <w:rFonts w:ascii="宋体" w:hAnsi="宋体"/>
          <w:sz w:val="24"/>
        </w:rPr>
      </w:pPr>
      <w:r>
        <w:rPr>
          <w:rFonts w:hint="eastAsia" w:ascii="宋体" w:hAnsi="宋体"/>
          <w:sz w:val="24"/>
        </w:rPr>
        <w:t>（8）对本项目招标文件及“合同条款”的认同及优惠条件说明；</w:t>
      </w:r>
    </w:p>
    <w:p>
      <w:pPr>
        <w:adjustRightInd w:val="0"/>
        <w:spacing w:line="460" w:lineRule="exact"/>
        <w:ind w:firstLine="480" w:firstLineChars="200"/>
        <w:rPr>
          <w:rFonts w:ascii="宋体" w:hAnsi="宋体"/>
          <w:sz w:val="24"/>
        </w:rPr>
      </w:pPr>
      <w:r>
        <w:rPr>
          <w:rFonts w:hint="eastAsia" w:ascii="宋体" w:hAnsi="宋体"/>
          <w:sz w:val="24"/>
        </w:rPr>
        <w:t>（9）投标方开户银行在开标日前三个月内开具的资信证明（如有）；</w:t>
      </w:r>
    </w:p>
    <w:p>
      <w:pPr>
        <w:spacing w:line="460" w:lineRule="exact"/>
        <w:ind w:firstLine="480" w:firstLineChars="200"/>
        <w:rPr>
          <w:rFonts w:ascii="宋体" w:hAnsi="宋体"/>
          <w:sz w:val="24"/>
        </w:rPr>
      </w:pPr>
      <w:r>
        <w:rPr>
          <w:rFonts w:hint="eastAsia" w:ascii="宋体" w:hAnsi="宋体"/>
          <w:sz w:val="24"/>
        </w:rPr>
        <w:t>（10）税务部门开具的依法缴纳税收的证明（如有）；</w:t>
      </w:r>
    </w:p>
    <w:p>
      <w:pPr>
        <w:pStyle w:val="30"/>
        <w:spacing w:line="560" w:lineRule="exact"/>
        <w:ind w:firstLine="669" w:firstLineChars="238"/>
        <w:rPr>
          <w:rFonts w:ascii="宋体" w:hAnsi="宋体"/>
          <w:b/>
          <w:sz w:val="28"/>
          <w:szCs w:val="22"/>
          <w:u w:val="single"/>
        </w:rPr>
      </w:pPr>
      <w:r>
        <w:rPr>
          <w:rFonts w:hint="eastAsia" w:ascii="宋体" w:hAnsi="宋体"/>
          <w:b/>
          <w:sz w:val="28"/>
          <w:szCs w:val="22"/>
          <w:u w:val="single"/>
        </w:rPr>
        <w:t>注：招标文件给定格式的按给定的格式填写，未给定格式的，由投标方自行编制，但需包含以上内容。</w:t>
      </w:r>
    </w:p>
    <w:p>
      <w:pPr>
        <w:spacing w:line="460" w:lineRule="exact"/>
        <w:ind w:firstLine="480" w:firstLineChars="200"/>
        <w:rPr>
          <w:rFonts w:ascii="宋体" w:hAnsi="宋体"/>
          <w:sz w:val="24"/>
        </w:rPr>
      </w:pPr>
    </w:p>
    <w:p>
      <w:pPr>
        <w:spacing w:line="460" w:lineRule="exact"/>
        <w:ind w:firstLine="482" w:firstLineChars="200"/>
        <w:rPr>
          <w:rFonts w:ascii="宋体" w:hAnsi="宋体"/>
          <w:b/>
          <w:bCs/>
          <w:sz w:val="24"/>
        </w:rPr>
      </w:pPr>
      <w:bookmarkStart w:id="44" w:name="_Toc212369518"/>
      <w:r>
        <w:rPr>
          <w:rFonts w:hint="eastAsia" w:ascii="宋体" w:hAnsi="宋体"/>
          <w:b/>
          <w:bCs/>
          <w:sz w:val="24"/>
        </w:rPr>
        <w:t>9、投标内容填写说明</w:t>
      </w:r>
      <w:bookmarkEnd w:id="44"/>
    </w:p>
    <w:p>
      <w:pPr>
        <w:spacing w:line="460" w:lineRule="exact"/>
        <w:ind w:firstLine="480" w:firstLineChars="200"/>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1投标文件按统一格式填写，</w:t>
      </w:r>
      <w:r>
        <w:rPr>
          <w:rFonts w:hint="eastAsia" w:ascii="宋体" w:hAnsi="宋体" w:cs="宋体"/>
          <w:b/>
          <w:bCs/>
          <w:sz w:val="24"/>
        </w:rPr>
        <w:t>资格证明文件、商务标书和技术标书三部分分别</w:t>
      </w:r>
      <w:r>
        <w:rPr>
          <w:rFonts w:hint="eastAsia" w:ascii="宋体" w:hAnsi="宋体"/>
          <w:b/>
          <w:sz w:val="24"/>
        </w:rPr>
        <w:t>装订成册</w:t>
      </w:r>
      <w:r>
        <w:rPr>
          <w:rFonts w:hint="eastAsia" w:ascii="宋体" w:hAnsi="宋体"/>
          <w:sz w:val="24"/>
        </w:rPr>
        <w:t>。</w:t>
      </w:r>
    </w:p>
    <w:p>
      <w:pPr>
        <w:spacing w:line="460" w:lineRule="exact"/>
        <w:ind w:firstLine="480" w:firstLineChars="200"/>
        <w:rPr>
          <w:rFonts w:ascii="宋体" w:hAnsi="宋体"/>
          <w:sz w:val="24"/>
        </w:rPr>
      </w:pPr>
      <w:r>
        <w:rPr>
          <w:rFonts w:hint="eastAsia" w:ascii="宋体" w:hAnsi="宋体"/>
          <w:sz w:val="24"/>
        </w:rPr>
        <w:t>9</w:t>
      </w:r>
      <w:r>
        <w:rPr>
          <w:rFonts w:ascii="宋体" w:hAnsi="宋体"/>
          <w:sz w:val="24"/>
        </w:rPr>
        <w:t>.</w:t>
      </w:r>
      <w:r>
        <w:rPr>
          <w:rFonts w:hint="eastAsia" w:ascii="宋体" w:hAnsi="宋体"/>
          <w:sz w:val="24"/>
        </w:rPr>
        <w:t>2开标一览表为在开标仪式上唱标的内容，要求按格式填写、统一规范，不得自行增减内容。</w:t>
      </w:r>
    </w:p>
    <w:p>
      <w:pPr>
        <w:spacing w:line="460" w:lineRule="exact"/>
        <w:ind w:firstLine="480" w:firstLineChars="200"/>
        <w:rPr>
          <w:rFonts w:ascii="宋体" w:hAnsi="宋体"/>
          <w:sz w:val="24"/>
        </w:rPr>
      </w:pPr>
      <w:r>
        <w:rPr>
          <w:rFonts w:hint="eastAsia" w:ascii="宋体" w:hAnsi="宋体"/>
          <w:sz w:val="24"/>
        </w:rPr>
        <w:t>9.3所有投标文件要求</w:t>
      </w:r>
      <w:r>
        <w:rPr>
          <w:rFonts w:hint="eastAsia" w:ascii="宋体" w:hAnsi="宋体"/>
          <w:b/>
          <w:sz w:val="24"/>
          <w:u w:val="single"/>
        </w:rPr>
        <w:t>字迹清晰</w:t>
      </w:r>
      <w:r>
        <w:rPr>
          <w:rFonts w:hint="eastAsia" w:ascii="宋体" w:hAnsi="宋体"/>
          <w:sz w:val="24"/>
        </w:rPr>
        <w:t>，加盖公章页公章为彩色；</w:t>
      </w:r>
      <w:r>
        <w:rPr>
          <w:rFonts w:hint="eastAsia" w:ascii="宋体" w:hAnsi="宋体"/>
          <w:b/>
          <w:bCs/>
          <w:sz w:val="24"/>
          <w:u w:val="single"/>
        </w:rPr>
        <w:t>不满足上述要求对评标专家造成评标干扰的按无效投标处理。</w:t>
      </w:r>
    </w:p>
    <w:p>
      <w:pPr>
        <w:spacing w:line="460" w:lineRule="exact"/>
        <w:ind w:firstLine="482" w:firstLineChars="200"/>
        <w:rPr>
          <w:rFonts w:ascii="宋体" w:hAnsi="宋体"/>
          <w:b/>
          <w:bCs/>
          <w:sz w:val="24"/>
        </w:rPr>
      </w:pPr>
      <w:bookmarkStart w:id="45" w:name="_Toc212369519"/>
      <w:r>
        <w:rPr>
          <w:rFonts w:hint="eastAsia" w:ascii="宋体" w:hAnsi="宋体"/>
          <w:b/>
          <w:bCs/>
          <w:sz w:val="24"/>
        </w:rPr>
        <w:t>10、投标报价</w:t>
      </w:r>
      <w:bookmarkEnd w:id="45"/>
    </w:p>
    <w:p>
      <w:pPr>
        <w:spacing w:line="460" w:lineRule="exact"/>
        <w:ind w:firstLine="480" w:firstLineChars="200"/>
        <w:jc w:val="left"/>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1投标报价总价包括：全部（全新）产品价、专用工具价、运杂费（包括现场卸车费）、</w:t>
      </w:r>
      <w:r>
        <w:rPr>
          <w:rFonts w:hint="eastAsia" w:ascii="宋体" w:hAnsi="宋体"/>
          <w:bCs/>
          <w:sz w:val="24"/>
        </w:rPr>
        <w:t>设计、制</w:t>
      </w:r>
      <w:r>
        <w:rPr>
          <w:rFonts w:hint="eastAsia" w:ascii="宋体" w:hAnsi="宋体"/>
          <w:sz w:val="24"/>
        </w:rPr>
        <w:t>造、安装、调试</w:t>
      </w:r>
      <w:r>
        <w:rPr>
          <w:rFonts w:hint="eastAsia" w:ascii="宋体" w:hAnsi="宋体"/>
          <w:bCs/>
          <w:sz w:val="24"/>
        </w:rPr>
        <w:t>、验收、</w:t>
      </w:r>
      <w:r>
        <w:rPr>
          <w:rFonts w:hint="eastAsia" w:ascii="宋体" w:hAnsi="宋体"/>
          <w:sz w:val="24"/>
        </w:rPr>
        <w:t>技术及售后服务费、技术资料费等所有费用的总和。所有投标均以人民币报价。</w:t>
      </w:r>
    </w:p>
    <w:p>
      <w:pPr>
        <w:spacing w:line="460" w:lineRule="exact"/>
        <w:ind w:firstLine="482" w:firstLineChars="200"/>
        <w:rPr>
          <w:rFonts w:ascii="宋体" w:hAnsi="宋体"/>
          <w:b/>
          <w:bCs/>
          <w:sz w:val="24"/>
        </w:rPr>
      </w:pPr>
      <w:r>
        <w:rPr>
          <w:rFonts w:hint="eastAsia" w:ascii="宋体" w:hAnsi="宋体"/>
          <w:b/>
          <w:sz w:val="24"/>
        </w:rPr>
        <w:t>本项目</w:t>
      </w:r>
      <w:r>
        <w:rPr>
          <w:rFonts w:hint="eastAsia" w:ascii="宋体" w:hAnsi="宋体"/>
          <w:b/>
          <w:bCs/>
          <w:sz w:val="24"/>
        </w:rPr>
        <w:t>税率</w:t>
      </w:r>
      <w:r>
        <w:rPr>
          <w:rFonts w:hint="eastAsia" w:ascii="宋体" w:hAnsi="宋体"/>
          <w:b/>
          <w:bCs/>
          <w:sz w:val="24"/>
          <w:u w:val="single"/>
        </w:rPr>
        <w:t>13</w:t>
      </w:r>
      <w:r>
        <w:rPr>
          <w:rFonts w:hint="eastAsia" w:ascii="宋体" w:hAnsi="宋体"/>
          <w:b/>
          <w:bCs/>
          <w:sz w:val="24"/>
        </w:rPr>
        <w:t>%。</w:t>
      </w:r>
    </w:p>
    <w:p>
      <w:pPr>
        <w:spacing w:line="460" w:lineRule="exact"/>
        <w:ind w:firstLine="480" w:firstLineChars="200"/>
        <w:rPr>
          <w:rFonts w:ascii="宋体" w:hAnsi="宋体"/>
          <w:sz w:val="24"/>
        </w:rPr>
      </w:pPr>
      <w:r>
        <w:rPr>
          <w:rFonts w:hint="eastAsia" w:ascii="宋体" w:hAnsi="宋体"/>
          <w:sz w:val="24"/>
        </w:rPr>
        <w:t>本项目的所有报价应以包含税率为前提进行提报，</w:t>
      </w:r>
      <w:r>
        <w:rPr>
          <w:rFonts w:hint="eastAsia" w:ascii="宋体" w:hAnsi="宋体"/>
          <w:b/>
          <w:bCs/>
          <w:sz w:val="24"/>
          <w:u w:val="single"/>
        </w:rPr>
        <w:t>即所有报价为含税报价</w:t>
      </w:r>
      <w:r>
        <w:rPr>
          <w:rFonts w:hint="eastAsia" w:ascii="宋体" w:hAnsi="宋体"/>
          <w:sz w:val="24"/>
        </w:rPr>
        <w:t>。</w:t>
      </w:r>
    </w:p>
    <w:p>
      <w:pPr>
        <w:spacing w:line="470" w:lineRule="exact"/>
        <w:ind w:firstLine="480" w:firstLineChars="200"/>
        <w:rPr>
          <w:rFonts w:ascii="宋体" w:hAnsi="宋体"/>
          <w:sz w:val="24"/>
        </w:rPr>
      </w:pPr>
      <w:bookmarkStart w:id="46" w:name="_Toc346306744"/>
      <w:bookmarkStart w:id="47" w:name="_Toc346372891"/>
      <w:bookmarkStart w:id="48" w:name="_Toc352332865"/>
      <w:r>
        <w:rPr>
          <w:rFonts w:hint="eastAsia" w:ascii="宋体" w:hAnsi="宋体"/>
          <w:sz w:val="24"/>
        </w:rPr>
        <w:t>10</w:t>
      </w:r>
      <w:r>
        <w:rPr>
          <w:rFonts w:ascii="宋体" w:hAnsi="宋体"/>
          <w:sz w:val="24"/>
        </w:rPr>
        <w:t>.</w:t>
      </w:r>
      <w:r>
        <w:rPr>
          <w:rFonts w:hint="eastAsia" w:ascii="宋体" w:hAnsi="宋体"/>
          <w:sz w:val="24"/>
        </w:rPr>
        <w:t>2投标方要按投标货物数量、价格表（统一格式）的内容填写产品单价、总价及其他事项，并由法人代表或授权代表签署。</w:t>
      </w:r>
    </w:p>
    <w:p>
      <w:pPr>
        <w:spacing w:line="470" w:lineRule="exact"/>
        <w:ind w:firstLine="480" w:firstLineChars="200"/>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3对于非标准货物的投标，还应填报价明细表（报价明细表格式由投标方自行设计）。</w:t>
      </w:r>
    </w:p>
    <w:p>
      <w:pPr>
        <w:spacing w:line="470" w:lineRule="exact"/>
        <w:ind w:firstLine="480" w:firstLineChars="200"/>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4投标方如需用外汇购入某些投标货物，须折合人民币计入总报价中。</w:t>
      </w:r>
    </w:p>
    <w:p>
      <w:pPr>
        <w:spacing w:line="470" w:lineRule="exact"/>
        <w:ind w:firstLine="480" w:firstLineChars="200"/>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5</w:t>
      </w:r>
      <w:r>
        <w:rPr>
          <w:rFonts w:hint="eastAsia" w:ascii="宋体" w:hAnsi="宋体"/>
          <w:b/>
          <w:bCs/>
          <w:sz w:val="24"/>
          <w:u w:val="single"/>
        </w:rPr>
        <w:t>招标方不接受任何选择报价，对每一种货物只允许一个报价</w:t>
      </w:r>
      <w:r>
        <w:rPr>
          <w:rFonts w:hint="eastAsia" w:ascii="宋体" w:hAnsi="宋体"/>
          <w:sz w:val="24"/>
        </w:rPr>
        <w:t>。</w:t>
      </w:r>
    </w:p>
    <w:p>
      <w:pPr>
        <w:pStyle w:val="30"/>
        <w:tabs>
          <w:tab w:val="left" w:pos="955"/>
        </w:tabs>
        <w:adjustRightInd w:val="0"/>
        <w:snapToGrid w:val="0"/>
        <w:spacing w:after="0" w:line="470" w:lineRule="exact"/>
        <w:ind w:firstLine="480" w:firstLineChars="200"/>
        <w:rPr>
          <w:rFonts w:ascii="宋体" w:hAnsi="宋体"/>
          <w:sz w:val="24"/>
        </w:rPr>
      </w:pPr>
      <w:r>
        <w:rPr>
          <w:rFonts w:hint="eastAsia" w:ascii="宋体" w:hAnsi="宋体"/>
          <w:sz w:val="24"/>
        </w:rPr>
        <w:t xml:space="preserve">10.6 </w:t>
      </w:r>
      <w:r>
        <w:rPr>
          <w:rFonts w:hint="eastAsia" w:ascii="宋体" w:hAnsi="宋体"/>
          <w:kern w:val="2"/>
          <w:sz w:val="24"/>
        </w:rPr>
        <w:t>单独密封的“开标一览表”与投标文件正本不符，以“开标一览表”为准。</w:t>
      </w:r>
    </w:p>
    <w:p>
      <w:pPr>
        <w:pStyle w:val="30"/>
        <w:tabs>
          <w:tab w:val="left" w:pos="0"/>
          <w:tab w:val="left" w:pos="1146"/>
          <w:tab w:val="left" w:pos="1528"/>
          <w:tab w:val="left" w:pos="1719"/>
        </w:tabs>
        <w:adjustRightInd w:val="0"/>
        <w:snapToGrid w:val="0"/>
        <w:spacing w:after="0" w:line="470" w:lineRule="exact"/>
        <w:ind w:firstLine="480" w:firstLineChars="200"/>
        <w:rPr>
          <w:rFonts w:ascii="宋体" w:hAnsi="宋体"/>
          <w:sz w:val="24"/>
        </w:rPr>
      </w:pPr>
      <w:r>
        <w:rPr>
          <w:rFonts w:hint="eastAsia" w:ascii="宋体" w:hAnsi="宋体"/>
          <w:sz w:val="24"/>
        </w:rPr>
        <w:t>10.7 投标方须提供分项单价和报价总价，如果单价和总价不符，以单价为准，并根据单价修正总价。评标委员会认为单价有明显的小数点错误，应以标出的总价为准，并修改单价。</w:t>
      </w:r>
    </w:p>
    <w:p>
      <w:pPr>
        <w:pStyle w:val="30"/>
        <w:adjustRightInd w:val="0"/>
        <w:snapToGrid w:val="0"/>
        <w:spacing w:after="0" w:line="470" w:lineRule="exact"/>
        <w:ind w:firstLine="480" w:firstLineChars="200"/>
        <w:rPr>
          <w:rFonts w:ascii="宋体" w:hAnsi="宋体"/>
          <w:sz w:val="24"/>
        </w:rPr>
      </w:pPr>
      <w:r>
        <w:rPr>
          <w:rFonts w:hint="eastAsia" w:ascii="宋体" w:hAnsi="宋体"/>
          <w:sz w:val="24"/>
        </w:rPr>
        <w:t>10.8 如果大写的金额和小写的金额不一致时，以大写的金额为准。</w:t>
      </w:r>
    </w:p>
    <w:p>
      <w:pPr>
        <w:pStyle w:val="30"/>
        <w:tabs>
          <w:tab w:val="left" w:pos="955"/>
          <w:tab w:val="left" w:pos="1146"/>
          <w:tab w:val="left" w:pos="1719"/>
          <w:tab w:val="left" w:pos="2483"/>
        </w:tabs>
        <w:adjustRightInd w:val="0"/>
        <w:snapToGrid w:val="0"/>
        <w:spacing w:after="0" w:line="470" w:lineRule="exact"/>
        <w:ind w:firstLine="480" w:firstLineChars="200"/>
        <w:rPr>
          <w:rFonts w:ascii="宋体" w:hAnsi="宋体"/>
          <w:sz w:val="24"/>
        </w:rPr>
      </w:pPr>
      <w:r>
        <w:rPr>
          <w:rFonts w:hint="eastAsia" w:ascii="宋体" w:hAnsi="宋体"/>
          <w:sz w:val="24"/>
        </w:rPr>
        <w:t>10.9 投标方免费提供的项目，应先填写该项目的实际价格，并注明免费。此项不计入总报价。</w:t>
      </w:r>
    </w:p>
    <w:p>
      <w:pPr>
        <w:spacing w:line="470" w:lineRule="exact"/>
        <w:ind w:left="1155" w:hanging="630"/>
        <w:rPr>
          <w:rFonts w:ascii="宋体" w:hAnsi="宋体"/>
          <w:sz w:val="24"/>
        </w:rPr>
      </w:pPr>
      <w:r>
        <w:rPr>
          <w:rFonts w:hint="eastAsia" w:ascii="宋体" w:hAnsi="宋体"/>
          <w:sz w:val="24"/>
        </w:rPr>
        <w:t>10</w:t>
      </w:r>
      <w:r>
        <w:rPr>
          <w:rFonts w:ascii="宋体" w:hAnsi="宋体"/>
          <w:sz w:val="24"/>
        </w:rPr>
        <w:t>.</w:t>
      </w:r>
      <w:r>
        <w:rPr>
          <w:rFonts w:hint="eastAsia" w:ascii="宋体" w:hAnsi="宋体"/>
          <w:sz w:val="24"/>
        </w:rPr>
        <w:t>10最低报价不能作为中标的保证。</w:t>
      </w:r>
    </w:p>
    <w:p>
      <w:pPr>
        <w:pStyle w:val="30"/>
        <w:tabs>
          <w:tab w:val="left" w:pos="955"/>
        </w:tabs>
        <w:spacing w:after="0" w:line="560" w:lineRule="exact"/>
        <w:ind w:left="1146" w:leftChars="273" w:hanging="573" w:hangingChars="238"/>
        <w:rPr>
          <w:rFonts w:ascii="宋体" w:hAnsi="宋体"/>
          <w:b/>
          <w:bCs/>
          <w:sz w:val="24"/>
          <w:szCs w:val="24"/>
        </w:rPr>
      </w:pPr>
      <w:r>
        <w:rPr>
          <w:rFonts w:ascii="宋体" w:hAnsi="宋体" w:cs="宋体"/>
          <w:b/>
          <w:bCs/>
          <w:sz w:val="24"/>
          <w:szCs w:val="24"/>
        </w:rPr>
        <w:t>1</w:t>
      </w:r>
      <w:r>
        <w:rPr>
          <w:rFonts w:hint="eastAsia" w:ascii="宋体" w:hAnsi="宋体" w:cs="宋体"/>
          <w:b/>
          <w:bCs/>
          <w:sz w:val="24"/>
          <w:szCs w:val="24"/>
        </w:rPr>
        <w:t>1、投标文件签署</w:t>
      </w:r>
      <w:bookmarkEnd w:id="46"/>
      <w:bookmarkEnd w:id="47"/>
      <w:bookmarkEnd w:id="48"/>
    </w:p>
    <w:p>
      <w:pPr>
        <w:pStyle w:val="30"/>
        <w:spacing w:after="0" w:line="560" w:lineRule="exact"/>
        <w:ind w:firstLine="571" w:firstLineChars="238"/>
        <w:rPr>
          <w:rFonts w:ascii="宋体" w:hAnsi="宋体" w:cs="宋体"/>
          <w:sz w:val="24"/>
          <w:szCs w:val="24"/>
        </w:rPr>
      </w:pPr>
      <w:r>
        <w:rPr>
          <w:rFonts w:hint="eastAsia" w:ascii="宋体" w:hAnsi="宋体" w:cs="宋体"/>
          <w:sz w:val="24"/>
          <w:szCs w:val="24"/>
        </w:rPr>
        <w:t>11.1投标文件应加盖投标方单位公章（不得使用其他形式如带有“专用章”等字样的印章）并经法定代表人或其委托代理人签字，</w:t>
      </w:r>
      <w:r>
        <w:rPr>
          <w:rFonts w:hint="eastAsia" w:ascii="宋体" w:hAnsi="宋体" w:cs="宋体"/>
          <w:b/>
          <w:bCs/>
          <w:sz w:val="24"/>
          <w:szCs w:val="24"/>
        </w:rPr>
        <w:t>签字须使用黑色或蓝色不可退色签字笔，由投标单位法人或委托代理人亲自签署</w:t>
      </w:r>
      <w:r>
        <w:rPr>
          <w:rFonts w:hint="eastAsia" w:ascii="宋体" w:hAnsi="宋体" w:cs="宋体"/>
          <w:sz w:val="24"/>
          <w:szCs w:val="24"/>
        </w:rPr>
        <w:t>，由委托代理人签字的投标文件中须附授权委托书。投标方代表必须按招标文件的规定签署投标文件（正本、副本及各附件）。</w:t>
      </w:r>
      <w:r>
        <w:rPr>
          <w:rFonts w:hint="eastAsia" w:ascii="宋体" w:hAnsi="宋体" w:cs="宋体"/>
          <w:bCs/>
          <w:sz w:val="24"/>
          <w:szCs w:val="24"/>
        </w:rPr>
        <w:t>否则，其投标文件按无效投标处理</w:t>
      </w:r>
      <w:r>
        <w:rPr>
          <w:rFonts w:hint="eastAsia" w:ascii="宋体" w:hAnsi="宋体" w:cs="宋体"/>
          <w:sz w:val="24"/>
          <w:szCs w:val="24"/>
        </w:rPr>
        <w:t>。</w:t>
      </w:r>
    </w:p>
    <w:p>
      <w:pPr>
        <w:pStyle w:val="30"/>
        <w:spacing w:after="0" w:line="560" w:lineRule="exact"/>
        <w:ind w:firstLine="571" w:firstLineChars="238"/>
        <w:rPr>
          <w:rFonts w:ascii="宋体" w:hAnsi="宋体" w:cs="宋体"/>
          <w:sz w:val="24"/>
          <w:szCs w:val="24"/>
        </w:rPr>
      </w:pPr>
      <w:r>
        <w:rPr>
          <w:rFonts w:hint="eastAsia" w:ascii="宋体" w:hAnsi="宋体" w:cs="宋体"/>
          <w:sz w:val="24"/>
          <w:szCs w:val="24"/>
        </w:rPr>
        <w:t>11.2 本招标文件提供的投标文件格式中，标注有盖公章、签字之处，应有投标方的盖章、委托代理人的签字或法定代表人的签字或盖章。</w:t>
      </w:r>
    </w:p>
    <w:p>
      <w:pPr>
        <w:pStyle w:val="30"/>
        <w:tabs>
          <w:tab w:val="left" w:pos="955"/>
        </w:tabs>
        <w:spacing w:after="0" w:line="560" w:lineRule="exact"/>
        <w:ind w:left="1146" w:leftChars="273" w:hanging="573" w:hangingChars="238"/>
        <w:rPr>
          <w:rFonts w:ascii="宋体" w:hAnsi="宋体"/>
          <w:b/>
          <w:bCs/>
          <w:sz w:val="24"/>
          <w:szCs w:val="24"/>
        </w:rPr>
      </w:pPr>
      <w:bookmarkStart w:id="49" w:name="_Toc346306745"/>
      <w:bookmarkStart w:id="50" w:name="_Toc352332866"/>
      <w:bookmarkStart w:id="51" w:name="_Toc346372892"/>
      <w:r>
        <w:rPr>
          <w:rFonts w:ascii="宋体" w:hAnsi="宋体" w:cs="宋体"/>
          <w:b/>
          <w:bCs/>
          <w:sz w:val="24"/>
          <w:szCs w:val="24"/>
        </w:rPr>
        <w:t>1</w:t>
      </w:r>
      <w:r>
        <w:rPr>
          <w:rFonts w:hint="eastAsia" w:ascii="宋体" w:hAnsi="宋体" w:cs="宋体"/>
          <w:b/>
          <w:bCs/>
          <w:sz w:val="24"/>
          <w:szCs w:val="24"/>
        </w:rPr>
        <w:t>2、投标文件密封和标记</w:t>
      </w:r>
      <w:bookmarkEnd w:id="49"/>
      <w:bookmarkEnd w:id="50"/>
      <w:bookmarkEnd w:id="51"/>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2</w:t>
      </w:r>
      <w:r>
        <w:rPr>
          <w:rFonts w:ascii="宋体" w:hAnsi="宋体" w:cs="宋体"/>
          <w:sz w:val="24"/>
          <w:szCs w:val="24"/>
        </w:rPr>
        <w:t>.1</w:t>
      </w:r>
      <w:r>
        <w:rPr>
          <w:rFonts w:hint="eastAsia" w:ascii="宋体" w:hAnsi="宋体" w:cs="宋体"/>
          <w:sz w:val="24"/>
          <w:szCs w:val="24"/>
        </w:rPr>
        <w:t>投标方应准备的投标文件份数见投标方须知前附表第8项，投标方应在每一份投标文件上注明“正本”或“副本”字样。</w:t>
      </w:r>
    </w:p>
    <w:p>
      <w:pPr>
        <w:pStyle w:val="30"/>
        <w:spacing w:after="0" w:line="560" w:lineRule="exact"/>
        <w:ind w:left="1142" w:leftChars="272" w:hanging="571" w:hangingChars="238"/>
        <w:rPr>
          <w:rFonts w:ascii="宋体" w:hAnsi="宋体"/>
          <w:sz w:val="24"/>
          <w:szCs w:val="24"/>
        </w:rPr>
      </w:pPr>
      <w:r>
        <w:rPr>
          <w:rFonts w:ascii="宋体" w:hAnsi="宋体" w:cs="宋体"/>
          <w:sz w:val="24"/>
          <w:szCs w:val="24"/>
        </w:rPr>
        <w:t>1</w:t>
      </w:r>
      <w:r>
        <w:rPr>
          <w:rFonts w:hint="eastAsia" w:ascii="宋体" w:hAnsi="宋体" w:cs="宋体"/>
          <w:sz w:val="24"/>
          <w:szCs w:val="24"/>
        </w:rPr>
        <w:t>2</w:t>
      </w:r>
      <w:r>
        <w:rPr>
          <w:rFonts w:ascii="宋体" w:hAnsi="宋体" w:cs="宋体"/>
          <w:sz w:val="24"/>
          <w:szCs w:val="24"/>
        </w:rPr>
        <w:t>.2</w:t>
      </w:r>
      <w:r>
        <w:rPr>
          <w:rFonts w:hint="eastAsia" w:ascii="宋体" w:hAnsi="宋体" w:cs="宋体"/>
          <w:sz w:val="24"/>
          <w:szCs w:val="24"/>
        </w:rPr>
        <w:t>投标文件的密封和标记详见投标方须知前附表第9项。</w:t>
      </w:r>
    </w:p>
    <w:p>
      <w:pPr>
        <w:pStyle w:val="30"/>
        <w:tabs>
          <w:tab w:val="left" w:pos="955"/>
        </w:tabs>
        <w:spacing w:after="0" w:line="560" w:lineRule="exact"/>
        <w:ind w:left="1146" w:leftChars="273" w:hanging="573" w:hangingChars="238"/>
        <w:rPr>
          <w:rFonts w:ascii="宋体" w:hAnsi="宋体"/>
          <w:b/>
          <w:bCs/>
          <w:sz w:val="24"/>
          <w:szCs w:val="24"/>
        </w:rPr>
      </w:pPr>
      <w:bookmarkStart w:id="52" w:name="_Toc346306741"/>
      <w:bookmarkStart w:id="53" w:name="_Toc352332862"/>
      <w:bookmarkStart w:id="54" w:name="_Toc346372888"/>
      <w:bookmarkStart w:id="55" w:name="_Toc346372893"/>
      <w:bookmarkStart w:id="56" w:name="_Toc352332867"/>
      <w:bookmarkStart w:id="57" w:name="_Toc346306746"/>
      <w:r>
        <w:rPr>
          <w:rFonts w:ascii="宋体" w:hAnsi="宋体" w:cs="宋体"/>
          <w:b/>
          <w:bCs/>
          <w:sz w:val="24"/>
          <w:szCs w:val="24"/>
        </w:rPr>
        <w:t>1</w:t>
      </w:r>
      <w:r>
        <w:rPr>
          <w:rFonts w:hint="eastAsia" w:ascii="宋体" w:hAnsi="宋体" w:cs="宋体"/>
          <w:b/>
          <w:bCs/>
          <w:sz w:val="24"/>
          <w:szCs w:val="24"/>
        </w:rPr>
        <w:t>3、投标文件装订</w:t>
      </w:r>
      <w:bookmarkEnd w:id="52"/>
      <w:bookmarkEnd w:id="53"/>
      <w:bookmarkEnd w:id="54"/>
    </w:p>
    <w:p>
      <w:pPr>
        <w:pStyle w:val="30"/>
        <w:spacing w:after="0" w:line="560" w:lineRule="exact"/>
        <w:ind w:firstLine="600" w:firstLineChars="250"/>
        <w:rPr>
          <w:rFonts w:ascii="宋体" w:hAnsi="宋体"/>
          <w:sz w:val="24"/>
          <w:szCs w:val="24"/>
        </w:rPr>
      </w:pPr>
      <w:r>
        <w:rPr>
          <w:rFonts w:hint="eastAsia" w:ascii="宋体" w:hAnsi="宋体" w:cs="宋体"/>
          <w:sz w:val="24"/>
          <w:szCs w:val="24"/>
        </w:rPr>
        <w:t>详见投标方须知前附表第10项。</w:t>
      </w:r>
    </w:p>
    <w:p>
      <w:pPr>
        <w:pStyle w:val="30"/>
        <w:tabs>
          <w:tab w:val="left" w:pos="955"/>
        </w:tabs>
        <w:spacing w:after="0" w:line="560" w:lineRule="exact"/>
        <w:ind w:left="1146" w:leftChars="273" w:hanging="573" w:hangingChars="238"/>
        <w:rPr>
          <w:rFonts w:ascii="宋体" w:hAnsi="宋体"/>
          <w:b/>
          <w:bCs/>
          <w:sz w:val="24"/>
          <w:szCs w:val="24"/>
        </w:rPr>
      </w:pPr>
      <w:r>
        <w:rPr>
          <w:rFonts w:ascii="宋体" w:hAnsi="宋体" w:cs="宋体"/>
          <w:b/>
          <w:bCs/>
          <w:sz w:val="24"/>
          <w:szCs w:val="24"/>
        </w:rPr>
        <w:t>1</w:t>
      </w:r>
      <w:r>
        <w:rPr>
          <w:rFonts w:hint="eastAsia" w:ascii="宋体" w:hAnsi="宋体" w:cs="宋体"/>
          <w:b/>
          <w:bCs/>
          <w:sz w:val="24"/>
          <w:szCs w:val="24"/>
        </w:rPr>
        <w:t>4、投标保证金</w:t>
      </w:r>
      <w:bookmarkEnd w:id="55"/>
      <w:bookmarkEnd w:id="56"/>
      <w:bookmarkEnd w:id="57"/>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4</w:t>
      </w:r>
      <w:r>
        <w:rPr>
          <w:rFonts w:ascii="宋体" w:hAnsi="宋体" w:cs="宋体"/>
          <w:sz w:val="24"/>
          <w:szCs w:val="24"/>
        </w:rPr>
        <w:t>.1</w:t>
      </w:r>
      <w:r>
        <w:rPr>
          <w:rFonts w:hint="eastAsia" w:ascii="宋体" w:hAnsi="宋体" w:cs="宋体"/>
          <w:sz w:val="24"/>
          <w:szCs w:val="24"/>
        </w:rPr>
        <w:t>投标方应按前附表第11项的规定提交投标保证金，作为其投标文件的一部分。未按本招标文件规定提交投标保证金的，按无效投标处理。</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4</w:t>
      </w:r>
      <w:r>
        <w:rPr>
          <w:rFonts w:ascii="宋体" w:hAnsi="宋体" w:cs="宋体"/>
          <w:sz w:val="24"/>
          <w:szCs w:val="24"/>
        </w:rPr>
        <w:t>.2</w:t>
      </w:r>
      <w:r>
        <w:rPr>
          <w:rFonts w:hint="eastAsia" w:ascii="宋体" w:hAnsi="宋体" w:cs="宋体"/>
          <w:sz w:val="24"/>
          <w:szCs w:val="24"/>
        </w:rPr>
        <w:t>如投标方有下列情况，投标保证金不予退还，招标方和招标方有权依法向其提出索赔，投标方应当赔偿因此给招标方造成的全部损失：</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）开标后，投标方在投标有效期内撤回谈判的；</w:t>
      </w:r>
    </w:p>
    <w:p>
      <w:pPr>
        <w:pStyle w:val="30"/>
        <w:spacing w:after="0" w:line="560" w:lineRule="exact"/>
        <w:ind w:firstLine="571" w:firstLineChars="238"/>
        <w:rPr>
          <w:rFonts w:ascii="宋体" w:hAnsi="宋体"/>
          <w:sz w:val="24"/>
          <w:szCs w:val="24"/>
        </w:rPr>
      </w:pPr>
      <w:r>
        <w:rPr>
          <w:rFonts w:ascii="宋体" w:hAnsi="宋体" w:cs="宋体"/>
          <w:sz w:val="24"/>
          <w:szCs w:val="24"/>
        </w:rPr>
        <w:t>2</w:t>
      </w:r>
      <w:r>
        <w:rPr>
          <w:rFonts w:hint="eastAsia" w:ascii="宋体" w:hAnsi="宋体" w:cs="宋体"/>
          <w:sz w:val="24"/>
          <w:szCs w:val="24"/>
        </w:rPr>
        <w:t>）采取不正当手段诋毁、排挤其他投标方的；</w:t>
      </w:r>
    </w:p>
    <w:p>
      <w:pPr>
        <w:pStyle w:val="30"/>
        <w:spacing w:after="0" w:line="560" w:lineRule="exact"/>
        <w:ind w:firstLine="571" w:firstLineChars="238"/>
        <w:rPr>
          <w:rFonts w:ascii="宋体" w:hAnsi="宋体"/>
          <w:sz w:val="24"/>
          <w:szCs w:val="24"/>
        </w:rPr>
      </w:pPr>
      <w:r>
        <w:rPr>
          <w:rFonts w:ascii="宋体" w:hAnsi="宋体" w:cs="宋体"/>
          <w:sz w:val="24"/>
          <w:szCs w:val="24"/>
        </w:rPr>
        <w:t>3</w:t>
      </w:r>
      <w:r>
        <w:rPr>
          <w:rFonts w:hint="eastAsia" w:ascii="宋体" w:hAnsi="宋体" w:cs="宋体"/>
          <w:sz w:val="24"/>
          <w:szCs w:val="24"/>
        </w:rPr>
        <w:t>）与招标方、其他投标方恶意串通的；</w:t>
      </w:r>
    </w:p>
    <w:p>
      <w:pPr>
        <w:pStyle w:val="30"/>
        <w:spacing w:after="0" w:line="560" w:lineRule="exact"/>
        <w:ind w:firstLine="571" w:firstLineChars="238"/>
        <w:rPr>
          <w:rFonts w:ascii="宋体" w:hAnsi="宋体"/>
          <w:sz w:val="24"/>
          <w:szCs w:val="24"/>
        </w:rPr>
      </w:pPr>
      <w:r>
        <w:rPr>
          <w:rFonts w:ascii="宋体" w:hAnsi="宋体" w:cs="宋体"/>
          <w:sz w:val="24"/>
          <w:szCs w:val="24"/>
        </w:rPr>
        <w:t>4</w:t>
      </w:r>
      <w:r>
        <w:rPr>
          <w:rFonts w:hint="eastAsia" w:ascii="宋体" w:hAnsi="宋体" w:cs="宋体"/>
          <w:sz w:val="24"/>
          <w:szCs w:val="24"/>
        </w:rPr>
        <w:t>）向招标方行贿或者提供其他不正当利益的；</w:t>
      </w:r>
    </w:p>
    <w:p>
      <w:pPr>
        <w:pStyle w:val="30"/>
        <w:spacing w:after="0" w:line="560" w:lineRule="exact"/>
        <w:ind w:firstLine="571" w:firstLineChars="238"/>
        <w:rPr>
          <w:rFonts w:ascii="宋体" w:hAnsi="宋体"/>
          <w:sz w:val="24"/>
          <w:szCs w:val="24"/>
        </w:rPr>
      </w:pPr>
      <w:r>
        <w:rPr>
          <w:rFonts w:ascii="宋体" w:hAnsi="宋体" w:cs="宋体"/>
          <w:sz w:val="24"/>
          <w:szCs w:val="24"/>
        </w:rPr>
        <w:t>5</w:t>
      </w:r>
      <w:r>
        <w:rPr>
          <w:rFonts w:hint="eastAsia" w:ascii="宋体" w:hAnsi="宋体" w:cs="宋体"/>
          <w:sz w:val="24"/>
          <w:szCs w:val="24"/>
        </w:rPr>
        <w:t>）投标方在投标文件中提供虚假材料的；</w:t>
      </w:r>
    </w:p>
    <w:p>
      <w:pPr>
        <w:pStyle w:val="30"/>
        <w:spacing w:after="0" w:line="560" w:lineRule="exact"/>
        <w:ind w:firstLine="571" w:firstLineChars="238"/>
        <w:rPr>
          <w:rFonts w:ascii="宋体" w:hAnsi="宋体"/>
          <w:sz w:val="24"/>
          <w:szCs w:val="24"/>
        </w:rPr>
      </w:pPr>
      <w:r>
        <w:rPr>
          <w:rFonts w:ascii="宋体" w:hAnsi="宋体" w:cs="宋体"/>
          <w:sz w:val="24"/>
          <w:szCs w:val="24"/>
        </w:rPr>
        <w:t>6</w:t>
      </w:r>
      <w:r>
        <w:rPr>
          <w:rFonts w:hint="eastAsia" w:ascii="宋体" w:hAnsi="宋体" w:cs="宋体"/>
          <w:sz w:val="24"/>
          <w:szCs w:val="24"/>
        </w:rPr>
        <w:t>）中标方无正当理由未能按规定与招标方签订合同的；</w:t>
      </w:r>
    </w:p>
    <w:p>
      <w:pPr>
        <w:pStyle w:val="30"/>
        <w:spacing w:after="0" w:line="560" w:lineRule="exact"/>
        <w:ind w:firstLine="571" w:firstLineChars="238"/>
        <w:rPr>
          <w:rFonts w:hint="eastAsia" w:ascii="宋体" w:hAnsi="宋体" w:cs="宋体"/>
          <w:sz w:val="24"/>
          <w:szCs w:val="24"/>
        </w:rPr>
      </w:pPr>
      <w:r>
        <w:rPr>
          <w:rFonts w:ascii="宋体" w:hAnsi="宋体" w:cs="宋体"/>
          <w:sz w:val="24"/>
          <w:szCs w:val="24"/>
        </w:rPr>
        <w:t>7</w:t>
      </w:r>
      <w:r>
        <w:rPr>
          <w:rFonts w:hint="eastAsia" w:ascii="宋体" w:hAnsi="宋体" w:cs="宋体"/>
          <w:sz w:val="24"/>
          <w:szCs w:val="24"/>
        </w:rPr>
        <w:t>）法律法规和招标文件规定的其他情形。</w:t>
      </w:r>
    </w:p>
    <w:p>
      <w:pPr>
        <w:pStyle w:val="30"/>
        <w:spacing w:after="0" w:line="560" w:lineRule="exact"/>
        <w:ind w:firstLine="571" w:firstLineChars="238"/>
        <w:rPr>
          <w:rFonts w:hint="eastAsia" w:ascii="宋体" w:hAnsi="宋体" w:cs="宋体"/>
          <w:sz w:val="24"/>
          <w:szCs w:val="24"/>
          <w:lang w:val="en-US" w:eastAsia="zh-CN"/>
        </w:rPr>
      </w:pPr>
      <w:r>
        <w:rPr>
          <w:rFonts w:hint="eastAsia" w:ascii="宋体" w:hAnsi="宋体" w:cs="宋体"/>
          <w:sz w:val="24"/>
          <w:szCs w:val="24"/>
          <w:lang w:val="en-US" w:eastAsia="zh-CN"/>
        </w:rPr>
        <w:t>8）截至开标前3天，供应商无正当理由、未以书面形式递交说明而在投标截止日不来投标的。</w:t>
      </w:r>
    </w:p>
    <w:p>
      <w:pPr>
        <w:pStyle w:val="30"/>
        <w:spacing w:after="0" w:line="560" w:lineRule="exact"/>
        <w:ind w:firstLine="571" w:firstLineChars="238"/>
        <w:rPr>
          <w:rFonts w:hint="eastAsia" w:ascii="宋体" w:hAnsi="宋体" w:cs="宋体"/>
          <w:sz w:val="24"/>
          <w:szCs w:val="24"/>
          <w:lang w:val="en-US" w:eastAsia="zh-CN"/>
        </w:rPr>
      </w:pPr>
      <w:r>
        <w:rPr>
          <w:rFonts w:hint="eastAsia" w:ascii="宋体" w:hAnsi="宋体" w:cs="宋体"/>
          <w:sz w:val="24"/>
          <w:szCs w:val="24"/>
          <w:lang w:val="en-US" w:eastAsia="zh-CN"/>
        </w:rPr>
        <w:t>9）供应商递送文件后，无正当理由放弃投标的。</w:t>
      </w:r>
    </w:p>
    <w:p>
      <w:pPr>
        <w:pStyle w:val="30"/>
        <w:spacing w:after="0" w:line="560" w:lineRule="exact"/>
        <w:ind w:firstLine="571" w:firstLineChars="238"/>
        <w:rPr>
          <w:rFonts w:hint="eastAsia" w:ascii="宋体" w:hAnsi="宋体" w:cs="宋体"/>
          <w:sz w:val="24"/>
          <w:szCs w:val="24"/>
          <w:lang w:val="en-US" w:eastAsia="zh-CN"/>
        </w:rPr>
      </w:pPr>
      <w:r>
        <w:rPr>
          <w:rFonts w:hint="eastAsia" w:ascii="宋体" w:hAnsi="宋体" w:cs="宋体"/>
          <w:sz w:val="24"/>
          <w:szCs w:val="24"/>
          <w:lang w:val="en-US" w:eastAsia="zh-CN"/>
        </w:rPr>
        <w:t>10）自中标(成交)通知书发出之日起30日内，中标(成交)供应商无正当理由不签订合同的。</w:t>
      </w:r>
    </w:p>
    <w:p>
      <w:pPr>
        <w:pStyle w:val="30"/>
        <w:spacing w:after="0" w:line="560" w:lineRule="exact"/>
        <w:ind w:firstLine="571" w:firstLineChars="238"/>
        <w:rPr>
          <w:rFonts w:hint="eastAsia" w:ascii="宋体" w:hAnsi="宋体" w:cs="宋体"/>
          <w:sz w:val="24"/>
          <w:szCs w:val="24"/>
          <w:lang w:val="en-US" w:eastAsia="zh-CN"/>
        </w:rPr>
      </w:pPr>
      <w:r>
        <w:rPr>
          <w:rFonts w:hint="eastAsia" w:ascii="宋体" w:hAnsi="宋体" w:cs="宋体"/>
          <w:sz w:val="24"/>
          <w:szCs w:val="24"/>
          <w:lang w:val="en-US" w:eastAsia="zh-CN"/>
        </w:rPr>
        <w:t>11）投标过程中被查实有串标、围标、陪标等违规违纪行为的。</w:t>
      </w:r>
    </w:p>
    <w:p>
      <w:pPr>
        <w:pStyle w:val="30"/>
        <w:spacing w:after="0" w:line="560" w:lineRule="exact"/>
        <w:ind w:firstLine="571" w:firstLineChars="238"/>
        <w:rPr>
          <w:rFonts w:hint="default" w:ascii="宋体" w:hAnsi="宋体" w:cs="宋体"/>
          <w:sz w:val="24"/>
          <w:szCs w:val="24"/>
          <w:lang w:val="en-US" w:eastAsia="zh-CN"/>
        </w:rPr>
      </w:pPr>
      <w:r>
        <w:rPr>
          <w:rFonts w:hint="eastAsia" w:ascii="宋体" w:hAnsi="宋体" w:cs="宋体"/>
          <w:sz w:val="24"/>
          <w:szCs w:val="24"/>
          <w:lang w:val="en-US" w:eastAsia="zh-CN"/>
        </w:rPr>
        <w:t>12）供应商有违约违规行为或被投诉、举报的，在调查处理期间，保证金暂不退还，待调查处理结束后按有关规定处理。</w:t>
      </w:r>
    </w:p>
    <w:p>
      <w:pPr>
        <w:pStyle w:val="30"/>
        <w:spacing w:after="0" w:line="560" w:lineRule="exact"/>
        <w:ind w:firstLine="573" w:firstLineChars="238"/>
        <w:rPr>
          <w:rFonts w:ascii="宋体" w:hAnsi="宋体"/>
          <w:b/>
          <w:bCs/>
          <w:sz w:val="24"/>
          <w:szCs w:val="24"/>
        </w:rPr>
      </w:pPr>
      <w:r>
        <w:rPr>
          <w:rFonts w:ascii="宋体" w:hAnsi="宋体" w:cs="宋体"/>
          <w:b/>
          <w:bCs/>
          <w:sz w:val="24"/>
          <w:szCs w:val="24"/>
        </w:rPr>
        <w:t>1</w:t>
      </w:r>
      <w:r>
        <w:rPr>
          <w:rFonts w:hint="eastAsia" w:ascii="宋体" w:hAnsi="宋体" w:cs="宋体"/>
          <w:b/>
          <w:bCs/>
          <w:sz w:val="24"/>
          <w:szCs w:val="24"/>
        </w:rPr>
        <w:t>4</w:t>
      </w:r>
      <w:r>
        <w:rPr>
          <w:rFonts w:ascii="宋体" w:hAnsi="宋体" w:cs="宋体"/>
          <w:b/>
          <w:bCs/>
          <w:sz w:val="24"/>
          <w:szCs w:val="24"/>
        </w:rPr>
        <w:t>.3</w:t>
      </w:r>
      <w:r>
        <w:rPr>
          <w:rFonts w:hint="eastAsia" w:ascii="宋体" w:hAnsi="宋体" w:cs="宋体"/>
          <w:b/>
          <w:bCs/>
          <w:sz w:val="24"/>
          <w:szCs w:val="24"/>
        </w:rPr>
        <w:t>保证金的退还：</w:t>
      </w:r>
    </w:p>
    <w:p>
      <w:pPr>
        <w:pStyle w:val="30"/>
        <w:spacing w:after="0" w:line="560" w:lineRule="exact"/>
        <w:ind w:firstLine="573" w:firstLineChars="238"/>
        <w:rPr>
          <w:rFonts w:ascii="宋体" w:hAnsi="宋体"/>
          <w:b/>
          <w:bCs/>
          <w:sz w:val="24"/>
          <w:szCs w:val="24"/>
        </w:rPr>
      </w:pPr>
      <w:r>
        <w:rPr>
          <w:rFonts w:ascii="宋体" w:hAnsi="宋体" w:cs="宋体"/>
          <w:b/>
          <w:bCs/>
          <w:sz w:val="24"/>
          <w:szCs w:val="24"/>
        </w:rPr>
        <w:t>1</w:t>
      </w:r>
      <w:r>
        <w:rPr>
          <w:rFonts w:hint="eastAsia" w:ascii="宋体" w:hAnsi="宋体" w:cs="宋体"/>
          <w:b/>
          <w:bCs/>
          <w:sz w:val="24"/>
          <w:szCs w:val="24"/>
        </w:rPr>
        <w:t>）</w:t>
      </w:r>
      <w:r>
        <w:rPr>
          <w:rFonts w:hint="eastAsia" w:ascii="宋体" w:hAnsi="宋体" w:cs="宋体"/>
          <w:b/>
          <w:bCs/>
          <w:sz w:val="24"/>
          <w:szCs w:val="24"/>
          <w:u w:val="single"/>
        </w:rPr>
        <w:t>未中标人的保证金，在中标通知书发出</w:t>
      </w:r>
      <w:r>
        <w:rPr>
          <w:rFonts w:hint="eastAsia" w:ascii="宋体" w:hAnsi="宋体" w:cs="宋体"/>
          <w:b/>
          <w:bCs/>
          <w:sz w:val="24"/>
          <w:szCs w:val="24"/>
          <w:u w:val="single"/>
          <w:lang w:eastAsia="zh-CN"/>
        </w:rPr>
        <w:t>，</w:t>
      </w:r>
      <w:r>
        <w:rPr>
          <w:rFonts w:hint="eastAsia" w:ascii="宋体" w:hAnsi="宋体" w:cs="宋体"/>
          <w:b/>
          <w:bCs/>
          <w:sz w:val="24"/>
          <w:szCs w:val="24"/>
          <w:u w:val="single"/>
          <w:lang w:val="en-US" w:eastAsia="zh-CN"/>
        </w:rPr>
        <w:t>由投标方当月申请，次月退还</w:t>
      </w:r>
      <w:r>
        <w:rPr>
          <w:rFonts w:hint="eastAsia" w:ascii="宋体" w:hAnsi="宋体" w:cs="宋体"/>
          <w:b/>
          <w:bCs/>
          <w:sz w:val="24"/>
          <w:szCs w:val="24"/>
        </w:rPr>
        <w:t>；</w:t>
      </w:r>
    </w:p>
    <w:p>
      <w:pPr>
        <w:pStyle w:val="30"/>
        <w:spacing w:after="0" w:line="560" w:lineRule="exact"/>
        <w:ind w:firstLine="573" w:firstLineChars="238"/>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w:t>
      </w:r>
      <w:r>
        <w:rPr>
          <w:rFonts w:hint="eastAsia" w:ascii="宋体" w:hAnsi="宋体" w:cs="宋体"/>
          <w:b/>
          <w:bCs/>
          <w:sz w:val="24"/>
          <w:szCs w:val="24"/>
          <w:u w:val="single"/>
        </w:rPr>
        <w:t>中标人的保证金在签订合同后</w:t>
      </w:r>
      <w:r>
        <w:rPr>
          <w:rFonts w:hint="eastAsia" w:ascii="宋体" w:hAnsi="宋体" w:cs="宋体"/>
          <w:b/>
          <w:bCs/>
          <w:sz w:val="24"/>
          <w:szCs w:val="24"/>
          <w:u w:val="single"/>
          <w:lang w:val="en-US" w:eastAsia="zh-CN"/>
        </w:rPr>
        <w:t>,由投标方当月申请，次月退还或根据合同中的约定将投标保证金转为履约保证金</w:t>
      </w:r>
      <w:r>
        <w:rPr>
          <w:rFonts w:hint="eastAsia" w:ascii="宋体" w:hAnsi="宋体" w:cs="宋体"/>
          <w:b/>
          <w:bCs/>
          <w:sz w:val="24"/>
          <w:szCs w:val="24"/>
        </w:rPr>
        <w:t>。</w:t>
      </w:r>
    </w:p>
    <w:p>
      <w:pPr>
        <w:pStyle w:val="30"/>
        <w:spacing w:after="0" w:line="560" w:lineRule="exact"/>
        <w:ind w:firstLine="573" w:firstLineChars="238"/>
        <w:rPr>
          <w:rFonts w:ascii="宋体" w:hAnsi="宋体" w:cs="宋体"/>
          <w:b/>
          <w:bCs/>
          <w:sz w:val="24"/>
          <w:szCs w:val="24"/>
        </w:rPr>
      </w:pPr>
      <w:r>
        <w:rPr>
          <w:rFonts w:hint="eastAsia" w:ascii="宋体" w:hAnsi="宋体" w:cs="宋体"/>
          <w:b/>
          <w:bCs/>
          <w:sz w:val="24"/>
          <w:szCs w:val="24"/>
        </w:rPr>
        <w:t>3）</w:t>
      </w:r>
      <w:r>
        <w:rPr>
          <w:rFonts w:hint="eastAsia" w:ascii="宋体" w:hAnsi="宋体" w:cs="宋体"/>
          <w:b/>
          <w:bCs/>
          <w:sz w:val="24"/>
          <w:szCs w:val="24"/>
          <w:u w:val="single"/>
        </w:rPr>
        <w:t>保证金为无息退还</w:t>
      </w:r>
      <w:r>
        <w:rPr>
          <w:rFonts w:hint="eastAsia" w:ascii="宋体" w:hAnsi="宋体" w:cs="宋体"/>
          <w:b/>
          <w:bCs/>
          <w:sz w:val="24"/>
          <w:szCs w:val="24"/>
        </w:rPr>
        <w:t>。</w:t>
      </w:r>
    </w:p>
    <w:p>
      <w:pPr>
        <w:pStyle w:val="30"/>
        <w:tabs>
          <w:tab w:val="left" w:pos="955"/>
        </w:tabs>
        <w:spacing w:after="0" w:line="560" w:lineRule="exact"/>
        <w:ind w:left="1146" w:leftChars="273" w:hanging="573" w:hangingChars="238"/>
        <w:rPr>
          <w:rFonts w:ascii="宋体" w:hAnsi="宋体"/>
          <w:b/>
          <w:bCs/>
          <w:sz w:val="24"/>
          <w:szCs w:val="24"/>
        </w:rPr>
      </w:pPr>
      <w:bookmarkStart w:id="58" w:name="_Toc346372894"/>
      <w:bookmarkStart w:id="59" w:name="_Toc352332868"/>
      <w:bookmarkStart w:id="60" w:name="_Toc346306747"/>
      <w:r>
        <w:rPr>
          <w:rFonts w:ascii="宋体" w:hAnsi="宋体" w:cs="宋体"/>
          <w:b/>
          <w:bCs/>
          <w:sz w:val="24"/>
          <w:szCs w:val="24"/>
        </w:rPr>
        <w:t>1</w:t>
      </w:r>
      <w:r>
        <w:rPr>
          <w:rFonts w:hint="eastAsia" w:ascii="宋体" w:hAnsi="宋体" w:cs="宋体"/>
          <w:b/>
          <w:bCs/>
          <w:sz w:val="24"/>
          <w:szCs w:val="24"/>
        </w:rPr>
        <w:t>5、投标有效期</w:t>
      </w:r>
      <w:bookmarkEnd w:id="58"/>
      <w:bookmarkEnd w:id="59"/>
      <w:bookmarkEnd w:id="60"/>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5</w:t>
      </w:r>
      <w:r>
        <w:rPr>
          <w:rFonts w:ascii="宋体" w:hAnsi="宋体" w:cs="宋体"/>
          <w:sz w:val="24"/>
          <w:szCs w:val="24"/>
        </w:rPr>
        <w:t xml:space="preserve">.1 </w:t>
      </w:r>
      <w:r>
        <w:rPr>
          <w:rFonts w:hint="eastAsia" w:ascii="宋体" w:hAnsi="宋体" w:cs="宋体"/>
          <w:sz w:val="24"/>
          <w:szCs w:val="24"/>
        </w:rPr>
        <w:t>本项目投标有效期见投标方须知前附表12项。</w:t>
      </w:r>
      <w:r>
        <w:rPr>
          <w:rFonts w:hint="eastAsia" w:ascii="宋体" w:hAnsi="宋体" w:cs="宋体"/>
          <w:b/>
          <w:bCs/>
          <w:sz w:val="24"/>
          <w:szCs w:val="24"/>
        </w:rPr>
        <w:t>投标函的有效期比本须知规定的有效期短的，将被视为非响应性投标，该投标文件按无效投标处理</w:t>
      </w:r>
      <w:r>
        <w:rPr>
          <w:rFonts w:hint="eastAsia" w:ascii="宋体" w:hAnsi="宋体" w:cs="宋体"/>
          <w:bCs/>
          <w:sz w:val="24"/>
          <w:szCs w:val="24"/>
        </w:rPr>
        <w:t>。</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5</w:t>
      </w:r>
      <w:r>
        <w:rPr>
          <w:rFonts w:ascii="宋体" w:hAnsi="宋体" w:cs="宋体"/>
          <w:sz w:val="24"/>
          <w:szCs w:val="24"/>
        </w:rPr>
        <w:t xml:space="preserve">.2 </w:t>
      </w:r>
      <w:r>
        <w:rPr>
          <w:rFonts w:hint="eastAsia" w:ascii="宋体" w:hAnsi="宋体" w:cs="宋体"/>
          <w:sz w:val="24"/>
          <w:szCs w:val="24"/>
        </w:rPr>
        <w:t>特殊情况下，在投标有效期满之前，招标方可以以书面形式要求投标方同意延长投标有效期。投标方可以以书面形式拒绝或接受上述要求。拒绝延长投标有效期的投标方有权收回投标保证金；同意延长投标有效期的投标方应当相应延长其投标保证金的有效期，但不得修改投标文件的实质性内容。</w:t>
      </w:r>
    </w:p>
    <w:p>
      <w:pPr>
        <w:pStyle w:val="3"/>
        <w:spacing w:before="120" w:after="120" w:line="360" w:lineRule="exact"/>
        <w:rPr>
          <w:rFonts w:ascii="宋体" w:hAnsi="宋体" w:eastAsia="宋体" w:cs="宋体"/>
          <w:sz w:val="28"/>
          <w:szCs w:val="28"/>
        </w:rPr>
      </w:pPr>
      <w:bookmarkStart w:id="61" w:name="_Toc31256"/>
      <w:bookmarkStart w:id="62" w:name="_Toc27871"/>
      <w:bookmarkStart w:id="63" w:name="_Toc22567"/>
      <w:r>
        <w:rPr>
          <w:rFonts w:hint="eastAsia" w:ascii="宋体" w:hAnsi="宋体" w:eastAsia="宋体" w:cs="宋体"/>
          <w:sz w:val="28"/>
          <w:szCs w:val="28"/>
        </w:rPr>
        <w:t>四、投标文件递交</w:t>
      </w:r>
      <w:bookmarkEnd w:id="61"/>
      <w:bookmarkEnd w:id="62"/>
      <w:bookmarkEnd w:id="63"/>
    </w:p>
    <w:p>
      <w:pPr>
        <w:pStyle w:val="30"/>
        <w:tabs>
          <w:tab w:val="left" w:pos="955"/>
        </w:tabs>
        <w:spacing w:after="0" w:line="560" w:lineRule="exact"/>
        <w:ind w:left="1146" w:leftChars="273" w:hanging="573" w:hangingChars="238"/>
        <w:rPr>
          <w:rFonts w:ascii="宋体" w:hAnsi="宋体"/>
          <w:b/>
          <w:bCs/>
          <w:sz w:val="24"/>
          <w:szCs w:val="24"/>
        </w:rPr>
      </w:pPr>
      <w:bookmarkStart w:id="64" w:name="_Toc346372896"/>
      <w:bookmarkStart w:id="65" w:name="_Toc346306749"/>
      <w:bookmarkStart w:id="66" w:name="_Toc352332870"/>
      <w:r>
        <w:rPr>
          <w:rFonts w:ascii="宋体" w:hAnsi="宋体" w:cs="宋体"/>
          <w:b/>
          <w:bCs/>
          <w:sz w:val="24"/>
          <w:szCs w:val="24"/>
        </w:rPr>
        <w:t>1</w:t>
      </w:r>
      <w:r>
        <w:rPr>
          <w:rFonts w:hint="eastAsia" w:ascii="宋体" w:hAnsi="宋体" w:cs="宋体"/>
          <w:b/>
          <w:bCs/>
          <w:sz w:val="24"/>
          <w:szCs w:val="24"/>
        </w:rPr>
        <w:t>6、投标文件递交时间和地点</w:t>
      </w:r>
      <w:bookmarkEnd w:id="64"/>
      <w:bookmarkEnd w:id="65"/>
      <w:bookmarkEnd w:id="66"/>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6</w:t>
      </w:r>
      <w:r>
        <w:rPr>
          <w:rFonts w:ascii="宋体" w:hAnsi="宋体" w:cs="宋体"/>
          <w:sz w:val="24"/>
          <w:szCs w:val="24"/>
        </w:rPr>
        <w:t xml:space="preserve">.1 </w:t>
      </w:r>
      <w:r>
        <w:rPr>
          <w:rFonts w:hint="eastAsia" w:ascii="宋体" w:hAnsi="宋体" w:cs="宋体"/>
          <w:sz w:val="24"/>
          <w:szCs w:val="24"/>
        </w:rPr>
        <w:t>投标文件递交时间、投标截止时间及地点详见投标方须知前附表第</w:t>
      </w:r>
      <w:r>
        <w:rPr>
          <w:rFonts w:ascii="宋体" w:hAnsi="宋体" w:cs="宋体"/>
          <w:sz w:val="24"/>
          <w:szCs w:val="24"/>
        </w:rPr>
        <w:t>1</w:t>
      </w:r>
      <w:r>
        <w:rPr>
          <w:rFonts w:hint="eastAsia" w:ascii="宋体" w:hAnsi="宋体" w:cs="宋体"/>
          <w:sz w:val="24"/>
          <w:szCs w:val="24"/>
        </w:rPr>
        <w:t>3项。</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投标方代表必须在投标截止时间前将投标文件送达指定地点。如因招标文件的修改推迟投标截止日期的，则按招标方另行通知规定的时间递交。</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6</w:t>
      </w:r>
      <w:r>
        <w:rPr>
          <w:rFonts w:ascii="宋体" w:hAnsi="宋体" w:cs="宋体"/>
          <w:sz w:val="24"/>
          <w:szCs w:val="24"/>
        </w:rPr>
        <w:t xml:space="preserve">.3 </w:t>
      </w:r>
      <w:r>
        <w:rPr>
          <w:rFonts w:hint="eastAsia" w:ascii="宋体" w:hAnsi="宋体" w:cs="宋体"/>
          <w:sz w:val="24"/>
          <w:szCs w:val="24"/>
        </w:rPr>
        <w:t>招标方不接收投标截止时间后送达的投标文件。</w:t>
      </w:r>
    </w:p>
    <w:p>
      <w:pPr>
        <w:pStyle w:val="30"/>
        <w:tabs>
          <w:tab w:val="left" w:pos="955"/>
        </w:tabs>
        <w:spacing w:after="0" w:line="560" w:lineRule="exact"/>
        <w:ind w:left="1146" w:leftChars="273" w:hanging="573" w:hangingChars="238"/>
        <w:rPr>
          <w:rFonts w:ascii="宋体" w:hAnsi="宋体"/>
          <w:b/>
          <w:bCs/>
          <w:sz w:val="24"/>
          <w:szCs w:val="24"/>
        </w:rPr>
      </w:pPr>
      <w:bookmarkStart w:id="67" w:name="_Toc352332871"/>
      <w:bookmarkStart w:id="68" w:name="_Toc346306750"/>
      <w:bookmarkStart w:id="69" w:name="_Toc346372897"/>
      <w:r>
        <w:rPr>
          <w:rFonts w:ascii="宋体" w:hAnsi="宋体" w:cs="宋体"/>
          <w:b/>
          <w:bCs/>
          <w:sz w:val="24"/>
          <w:szCs w:val="24"/>
        </w:rPr>
        <w:t>1</w:t>
      </w:r>
      <w:r>
        <w:rPr>
          <w:rFonts w:hint="eastAsia" w:ascii="宋体" w:hAnsi="宋体" w:cs="宋体"/>
          <w:b/>
          <w:bCs/>
          <w:sz w:val="24"/>
          <w:szCs w:val="24"/>
        </w:rPr>
        <w:t>7、投标文件签收</w:t>
      </w:r>
      <w:bookmarkEnd w:id="67"/>
      <w:bookmarkEnd w:id="68"/>
      <w:bookmarkEnd w:id="69"/>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7</w:t>
      </w:r>
      <w:r>
        <w:rPr>
          <w:rFonts w:ascii="宋体" w:hAnsi="宋体" w:cs="宋体"/>
          <w:sz w:val="24"/>
          <w:szCs w:val="24"/>
        </w:rPr>
        <w:t xml:space="preserve">.1 </w:t>
      </w:r>
      <w:r>
        <w:rPr>
          <w:rFonts w:hint="eastAsia" w:ascii="宋体" w:hAnsi="宋体" w:cs="宋体"/>
          <w:b/>
          <w:bCs/>
          <w:sz w:val="24"/>
          <w:szCs w:val="24"/>
        </w:rPr>
        <w:t>本项目只接受现场递交书面形式的投标，其他形式的投标不予接收</w:t>
      </w:r>
      <w:r>
        <w:rPr>
          <w:rFonts w:hint="eastAsia" w:ascii="宋体" w:hAnsi="宋体" w:cs="宋体"/>
          <w:sz w:val="24"/>
          <w:szCs w:val="24"/>
        </w:rPr>
        <w:t>。</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7</w:t>
      </w:r>
      <w:r>
        <w:rPr>
          <w:rFonts w:ascii="宋体" w:hAnsi="宋体" w:cs="宋体"/>
          <w:sz w:val="24"/>
          <w:szCs w:val="24"/>
        </w:rPr>
        <w:t xml:space="preserve">.2 </w:t>
      </w:r>
      <w:r>
        <w:rPr>
          <w:rFonts w:hint="eastAsia" w:ascii="宋体" w:hAnsi="宋体" w:cs="宋体"/>
          <w:sz w:val="24"/>
          <w:szCs w:val="24"/>
        </w:rPr>
        <w:t>投标截止时间后对投标方已提交的投标文件不予退还。</w:t>
      </w:r>
    </w:p>
    <w:p>
      <w:pPr>
        <w:pStyle w:val="30"/>
        <w:tabs>
          <w:tab w:val="left" w:pos="955"/>
        </w:tabs>
        <w:spacing w:after="0" w:line="560" w:lineRule="exact"/>
        <w:ind w:left="1146" w:leftChars="273" w:hanging="573" w:hangingChars="238"/>
        <w:rPr>
          <w:rFonts w:ascii="宋体" w:hAnsi="宋体"/>
          <w:b/>
          <w:bCs/>
          <w:sz w:val="24"/>
          <w:szCs w:val="24"/>
        </w:rPr>
      </w:pPr>
      <w:bookmarkStart w:id="70" w:name="_Toc352332872"/>
      <w:bookmarkStart w:id="71" w:name="_Toc346306751"/>
      <w:bookmarkStart w:id="72" w:name="_Toc346372898"/>
      <w:r>
        <w:rPr>
          <w:rFonts w:ascii="宋体" w:hAnsi="宋体" w:cs="宋体"/>
          <w:b/>
          <w:bCs/>
          <w:sz w:val="24"/>
          <w:szCs w:val="24"/>
        </w:rPr>
        <w:t>1</w:t>
      </w:r>
      <w:r>
        <w:rPr>
          <w:rFonts w:hint="eastAsia" w:ascii="宋体" w:hAnsi="宋体" w:cs="宋体"/>
          <w:b/>
          <w:bCs/>
          <w:sz w:val="24"/>
          <w:szCs w:val="24"/>
        </w:rPr>
        <w:t>8、投标文件修改与撤回</w:t>
      </w:r>
      <w:bookmarkEnd w:id="70"/>
      <w:bookmarkEnd w:id="71"/>
      <w:bookmarkEnd w:id="72"/>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8</w:t>
      </w:r>
      <w:r>
        <w:rPr>
          <w:rFonts w:ascii="宋体" w:hAnsi="宋体" w:cs="宋体"/>
          <w:sz w:val="24"/>
          <w:szCs w:val="24"/>
        </w:rPr>
        <w:t>.1</w:t>
      </w:r>
      <w:r>
        <w:rPr>
          <w:rFonts w:hint="eastAsia" w:ascii="宋体" w:hAnsi="宋体" w:cs="宋体"/>
          <w:sz w:val="24"/>
          <w:szCs w:val="24"/>
        </w:rPr>
        <w:t>投标方在招标文件要求提交投标文件的截止时间前，可以修改或者撤回已提交的投标文件，并书面形式通知招标方。</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8</w:t>
      </w:r>
      <w:r>
        <w:rPr>
          <w:rFonts w:ascii="宋体" w:hAnsi="宋体" w:cs="宋体"/>
          <w:sz w:val="24"/>
          <w:szCs w:val="24"/>
        </w:rPr>
        <w:t xml:space="preserve">.2 </w:t>
      </w:r>
      <w:r>
        <w:rPr>
          <w:rFonts w:hint="eastAsia" w:ascii="宋体" w:hAnsi="宋体" w:cs="宋体"/>
          <w:sz w:val="24"/>
          <w:szCs w:val="24"/>
        </w:rPr>
        <w:t>任何修改内容必须由投标方的法定代表人或其授权代理人签字，不得涂抹。经法定代表人或其授权代理人正式签署的修改文件组成投标文件的一部分，份数和密封要求同投标文件一致。</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8</w:t>
      </w:r>
      <w:r>
        <w:rPr>
          <w:rFonts w:ascii="宋体" w:hAnsi="宋体" w:cs="宋体"/>
          <w:sz w:val="24"/>
          <w:szCs w:val="24"/>
        </w:rPr>
        <w:t xml:space="preserve">.3 </w:t>
      </w:r>
      <w:r>
        <w:rPr>
          <w:rFonts w:hint="eastAsia" w:ascii="宋体" w:hAnsi="宋体" w:cs="宋体"/>
          <w:sz w:val="24"/>
          <w:szCs w:val="24"/>
        </w:rPr>
        <w:t>投标截止时间后不允许对投标文件做实质性修改。</w:t>
      </w:r>
    </w:p>
    <w:p>
      <w:pPr>
        <w:pStyle w:val="30"/>
        <w:spacing w:after="0" w:line="560" w:lineRule="exact"/>
        <w:ind w:firstLine="571" w:firstLineChars="238"/>
        <w:rPr>
          <w:rFonts w:ascii="宋体" w:hAnsi="宋体"/>
          <w:sz w:val="24"/>
          <w:szCs w:val="24"/>
        </w:rPr>
      </w:pPr>
      <w:r>
        <w:rPr>
          <w:rFonts w:ascii="宋体" w:hAnsi="宋体" w:cs="宋体"/>
          <w:sz w:val="24"/>
          <w:szCs w:val="24"/>
        </w:rPr>
        <w:t>1</w:t>
      </w:r>
      <w:r>
        <w:rPr>
          <w:rFonts w:hint="eastAsia" w:ascii="宋体" w:hAnsi="宋体" w:cs="宋体"/>
          <w:sz w:val="24"/>
          <w:szCs w:val="24"/>
        </w:rPr>
        <w:t>8</w:t>
      </w:r>
      <w:r>
        <w:rPr>
          <w:rFonts w:ascii="宋体" w:hAnsi="宋体" w:cs="宋体"/>
          <w:sz w:val="24"/>
          <w:szCs w:val="24"/>
        </w:rPr>
        <w:t>.4</w:t>
      </w:r>
      <w:r>
        <w:rPr>
          <w:rFonts w:hint="eastAsia" w:ascii="宋体" w:hAnsi="宋体" w:cs="宋体"/>
          <w:sz w:val="24"/>
          <w:szCs w:val="24"/>
        </w:rPr>
        <w:t>投标有效期内不得撤回投标。</w:t>
      </w:r>
    </w:p>
    <w:p>
      <w:pPr>
        <w:pStyle w:val="3"/>
        <w:spacing w:before="120" w:after="120" w:line="360" w:lineRule="exact"/>
        <w:rPr>
          <w:rFonts w:ascii="宋体" w:hAnsi="宋体" w:eastAsia="宋体" w:cs="宋体"/>
          <w:sz w:val="28"/>
          <w:szCs w:val="28"/>
        </w:rPr>
      </w:pPr>
      <w:bookmarkStart w:id="73" w:name="_Toc22003"/>
      <w:bookmarkStart w:id="74" w:name="_Toc25279"/>
      <w:bookmarkStart w:id="75" w:name="_Toc7379"/>
      <w:r>
        <w:rPr>
          <w:rFonts w:hint="eastAsia" w:ascii="宋体" w:hAnsi="宋体" w:eastAsia="宋体" w:cs="宋体"/>
          <w:sz w:val="28"/>
          <w:szCs w:val="28"/>
        </w:rPr>
        <w:t>五、开标与评标</w:t>
      </w:r>
      <w:bookmarkEnd w:id="73"/>
      <w:bookmarkEnd w:id="74"/>
      <w:bookmarkEnd w:id="75"/>
    </w:p>
    <w:p>
      <w:pPr>
        <w:spacing w:line="460" w:lineRule="exact"/>
        <w:ind w:firstLine="482" w:firstLineChars="200"/>
        <w:rPr>
          <w:rFonts w:ascii="宋体" w:hAnsi="宋体"/>
          <w:b/>
          <w:bCs/>
          <w:sz w:val="24"/>
        </w:rPr>
      </w:pPr>
      <w:bookmarkStart w:id="76" w:name="_Toc212369527"/>
      <w:r>
        <w:rPr>
          <w:rFonts w:hint="eastAsia" w:ascii="宋体" w:hAnsi="宋体" w:cs="宋体"/>
          <w:b/>
          <w:bCs/>
          <w:sz w:val="24"/>
          <w:szCs w:val="24"/>
        </w:rPr>
        <w:t>19、</w:t>
      </w:r>
      <w:r>
        <w:rPr>
          <w:rFonts w:hint="eastAsia" w:ascii="宋体" w:hAnsi="宋体"/>
          <w:b/>
          <w:bCs/>
          <w:sz w:val="24"/>
        </w:rPr>
        <w:t>开标</w:t>
      </w:r>
      <w:bookmarkEnd w:id="76"/>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本次招标的开标、评标由招标方依法组织实施。</w:t>
      </w:r>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19.2本项目开标时间和地点见投标方须知前附表。开标会议由招标方组织并主持。招标方和招标方邀请各投标方派遣人员参加开标会议。投标方未参加开标的，视同认可开标结果。</w:t>
      </w:r>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19</w:t>
      </w:r>
      <w:r>
        <w:rPr>
          <w:rFonts w:ascii="宋体" w:hAnsi="宋体"/>
          <w:sz w:val="24"/>
        </w:rPr>
        <w:t>.</w:t>
      </w:r>
      <w:r>
        <w:rPr>
          <w:rFonts w:hint="eastAsia" w:ascii="宋体" w:hAnsi="宋体"/>
          <w:sz w:val="24"/>
        </w:rPr>
        <w:t>3开标程序</w:t>
      </w:r>
    </w:p>
    <w:p>
      <w:pPr>
        <w:autoSpaceDE w:val="0"/>
        <w:autoSpaceDN w:val="0"/>
        <w:adjustRightInd w:val="0"/>
        <w:spacing w:line="460" w:lineRule="exact"/>
        <w:ind w:firstLine="480" w:firstLineChars="200"/>
        <w:jc w:val="left"/>
        <w:rPr>
          <w:rFonts w:ascii="宋体" w:hAnsi="宋体"/>
          <w:kern w:val="0"/>
          <w:sz w:val="24"/>
        </w:rPr>
      </w:pPr>
      <w:bookmarkStart w:id="77" w:name="_Toc92678127"/>
      <w:r>
        <w:rPr>
          <w:rFonts w:hint="eastAsia" w:ascii="宋体" w:hAnsi="宋体"/>
          <w:kern w:val="0"/>
          <w:sz w:val="24"/>
        </w:rPr>
        <w:t>（</w:t>
      </w:r>
      <w:r>
        <w:rPr>
          <w:rFonts w:ascii="宋体" w:hAnsi="宋体"/>
          <w:kern w:val="0"/>
          <w:sz w:val="24"/>
        </w:rPr>
        <w:t>1</w:t>
      </w:r>
      <w:r>
        <w:rPr>
          <w:rFonts w:hint="eastAsia" w:ascii="宋体" w:hAnsi="宋体"/>
          <w:kern w:val="0"/>
          <w:sz w:val="24"/>
        </w:rPr>
        <w:t>）宣布开标会议开始并宣读开标纪律。</w:t>
      </w:r>
    </w:p>
    <w:p>
      <w:pPr>
        <w:autoSpaceDE w:val="0"/>
        <w:autoSpaceDN w:val="0"/>
        <w:adjustRightInd w:val="0"/>
        <w:spacing w:line="46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）介绍与会人员。</w:t>
      </w:r>
    </w:p>
    <w:p>
      <w:pPr>
        <w:autoSpaceDE w:val="0"/>
        <w:autoSpaceDN w:val="0"/>
        <w:adjustRightInd w:val="0"/>
        <w:spacing w:line="46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）投标方或投标方推选的代表对投标文件密封情况进行检查（投标方未参加开标会议的，视同认可投标文件密封完好）。</w:t>
      </w:r>
    </w:p>
    <w:p>
      <w:pPr>
        <w:autoSpaceDE w:val="0"/>
        <w:autoSpaceDN w:val="0"/>
        <w:adjustRightInd w:val="0"/>
        <w:spacing w:line="46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）经确认无误后，由工作人员当众拆封，核验投标方资格证件，内容详见投标方须知前附表及投标文件编写资格证件部分。</w:t>
      </w:r>
    </w:p>
    <w:p>
      <w:pPr>
        <w:autoSpaceDE w:val="0"/>
        <w:autoSpaceDN w:val="0"/>
        <w:adjustRightInd w:val="0"/>
        <w:spacing w:line="46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5</w:t>
      </w:r>
      <w:r>
        <w:rPr>
          <w:rFonts w:hint="eastAsia" w:ascii="宋体" w:hAnsi="宋体"/>
          <w:kern w:val="0"/>
          <w:sz w:val="24"/>
        </w:rPr>
        <w:t>）各投标方抽签，按抽签顺序开技术标，未开标的投标方去休息区等候进场。</w:t>
      </w:r>
    </w:p>
    <w:p>
      <w:pPr>
        <w:autoSpaceDE w:val="0"/>
        <w:autoSpaceDN w:val="0"/>
        <w:adjustRightInd w:val="0"/>
        <w:spacing w:line="46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6</w:t>
      </w:r>
      <w:r>
        <w:rPr>
          <w:rFonts w:hint="eastAsia" w:ascii="宋体" w:hAnsi="宋体"/>
          <w:kern w:val="0"/>
          <w:sz w:val="24"/>
        </w:rPr>
        <w:t>）技术标开完之后所有投标方离场，专家打分，推荐进入下一轮的投标方。</w:t>
      </w:r>
    </w:p>
    <w:p>
      <w:pPr>
        <w:autoSpaceDE w:val="0"/>
        <w:autoSpaceDN w:val="0"/>
        <w:adjustRightInd w:val="0"/>
        <w:spacing w:line="46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7</w:t>
      </w:r>
      <w:r>
        <w:rPr>
          <w:rFonts w:hint="eastAsia" w:ascii="宋体" w:hAnsi="宋体"/>
          <w:kern w:val="0"/>
          <w:sz w:val="24"/>
        </w:rPr>
        <w:t>）所有投标方进场，工作人员当众唱标，按照抽签顺序开商务标。</w:t>
      </w:r>
    </w:p>
    <w:p>
      <w:pPr>
        <w:autoSpaceDE w:val="0"/>
        <w:autoSpaceDN w:val="0"/>
        <w:adjustRightInd w:val="0"/>
        <w:spacing w:line="460" w:lineRule="exact"/>
        <w:ind w:firstLine="480" w:firstLineChars="200"/>
        <w:jc w:val="left"/>
        <w:rPr>
          <w:rFonts w:ascii="宋体" w:hAnsi="宋体"/>
          <w:kern w:val="0"/>
          <w:sz w:val="24"/>
        </w:rPr>
      </w:pPr>
      <w:r>
        <w:rPr>
          <w:rFonts w:hint="eastAsia" w:ascii="宋体" w:hAnsi="宋体"/>
          <w:kern w:val="0"/>
          <w:sz w:val="24"/>
        </w:rPr>
        <w:t>（</w:t>
      </w:r>
      <w:r>
        <w:rPr>
          <w:rFonts w:ascii="宋体" w:hAnsi="宋体"/>
          <w:kern w:val="0"/>
          <w:sz w:val="24"/>
        </w:rPr>
        <w:t>8</w:t>
      </w:r>
      <w:r>
        <w:rPr>
          <w:rFonts w:hint="eastAsia" w:ascii="宋体" w:hAnsi="宋体"/>
          <w:kern w:val="0"/>
          <w:sz w:val="24"/>
        </w:rPr>
        <w:t>）开标完毕，进入谈判阶段。</w:t>
      </w:r>
    </w:p>
    <w:p>
      <w:pPr>
        <w:spacing w:line="460" w:lineRule="exact"/>
        <w:ind w:firstLine="482" w:firstLineChars="200"/>
        <w:rPr>
          <w:rFonts w:ascii="宋体" w:hAnsi="宋体"/>
          <w:b/>
          <w:bCs/>
          <w:sz w:val="24"/>
        </w:rPr>
      </w:pPr>
      <w:r>
        <w:rPr>
          <w:rFonts w:hint="eastAsia" w:ascii="宋体" w:hAnsi="宋体"/>
          <w:b/>
          <w:bCs/>
          <w:sz w:val="24"/>
        </w:rPr>
        <w:t>20、评标委员会</w:t>
      </w:r>
      <w:bookmarkEnd w:id="77"/>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评标委员会的组成见投标方须知前附表，评标委员会负责对投标文件进行审查、质疑、评标，汇总专家意见，并向招标方推荐中标候选人排序名单。</w:t>
      </w:r>
    </w:p>
    <w:p>
      <w:pPr>
        <w:spacing w:line="460" w:lineRule="exact"/>
        <w:ind w:firstLine="482" w:firstLineChars="200"/>
        <w:rPr>
          <w:rFonts w:ascii="宋体" w:hAnsi="宋体"/>
          <w:b/>
          <w:bCs/>
          <w:sz w:val="24"/>
        </w:rPr>
      </w:pPr>
      <w:bookmarkStart w:id="78" w:name="_Toc92678128"/>
      <w:bookmarkStart w:id="79" w:name="_Toc212369528"/>
      <w:r>
        <w:rPr>
          <w:rFonts w:hint="eastAsia" w:ascii="宋体" w:hAnsi="宋体"/>
          <w:b/>
          <w:bCs/>
          <w:sz w:val="24"/>
        </w:rPr>
        <w:t>21、评标原则</w:t>
      </w:r>
      <w:bookmarkEnd w:id="78"/>
      <w:bookmarkEnd w:id="79"/>
    </w:p>
    <w:p>
      <w:pPr>
        <w:spacing w:line="460" w:lineRule="exact"/>
        <w:ind w:firstLine="480" w:firstLineChars="200"/>
        <w:rPr>
          <w:rFonts w:ascii="宋体" w:hAnsi="宋体"/>
          <w:sz w:val="24"/>
        </w:rPr>
      </w:pPr>
      <w:bookmarkStart w:id="80" w:name="_Toc212369529"/>
      <w:r>
        <w:rPr>
          <w:rFonts w:hint="eastAsia" w:ascii="宋体" w:hAnsi="宋体"/>
          <w:sz w:val="24"/>
        </w:rPr>
        <w:t>“公平、公正、科学、择优”为本次评标的基本原则，评标委员会按照这一原则的要求，公正、平等地对待各投标方。同时，在评标过程中恪守以下原则：</w:t>
      </w:r>
      <w:bookmarkEnd w:id="80"/>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21.1 客观性原则：评标委员会将严格按照招标文件要求的内容，对投标方的投标文件进行认真评审；评标委员会对投标文件的评审仅依据投标文件本身，而不依靠投标文件以外的任何因素；</w:t>
      </w:r>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21.2统一性原则：评标委员会将按照统一的评标原则和评标办法，用同一标准进行评审。</w:t>
      </w:r>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21.3独立性原则：评标工作在评标委员会内部独立进行，不受外界任何因素的干扰和影响。评标委员会成员对出具的评审意见承担个人责任。</w:t>
      </w:r>
    </w:p>
    <w:p>
      <w:pPr>
        <w:pStyle w:val="30"/>
        <w:adjustRightInd w:val="0"/>
        <w:snapToGrid w:val="0"/>
        <w:spacing w:beforeLines="30" w:after="50" w:line="460" w:lineRule="exact"/>
        <w:ind w:firstLine="480" w:firstLineChars="200"/>
        <w:rPr>
          <w:rFonts w:ascii="宋体" w:hAnsi="宋体"/>
          <w:spacing w:val="-2"/>
          <w:sz w:val="24"/>
        </w:rPr>
      </w:pPr>
      <w:r>
        <w:rPr>
          <w:rFonts w:hint="eastAsia" w:ascii="宋体" w:hAnsi="宋体"/>
          <w:sz w:val="24"/>
        </w:rPr>
        <w:t>21.4保密性原则：招标方应当采取必要的措施，保证评标在严格保密的情况下进行。</w:t>
      </w:r>
    </w:p>
    <w:p>
      <w:pPr>
        <w:pStyle w:val="30"/>
        <w:adjustRightInd w:val="0"/>
        <w:snapToGrid w:val="0"/>
        <w:spacing w:beforeLines="30" w:after="50" w:line="460" w:lineRule="exact"/>
        <w:ind w:firstLine="480" w:firstLineChars="200"/>
        <w:rPr>
          <w:rFonts w:ascii="宋体" w:hAnsi="宋体"/>
          <w:sz w:val="24"/>
        </w:rPr>
      </w:pPr>
      <w:r>
        <w:rPr>
          <w:rFonts w:hint="eastAsia" w:ascii="宋体" w:hAnsi="宋体"/>
          <w:sz w:val="24"/>
        </w:rPr>
        <w:t>21.5 综合性原则：评标委员会将综合分析、评审投标方的各项指标，而不以单项指标的优劣评定出中标人。</w:t>
      </w:r>
    </w:p>
    <w:p>
      <w:pPr>
        <w:pStyle w:val="3"/>
        <w:spacing w:before="120" w:after="120" w:line="360" w:lineRule="exact"/>
        <w:rPr>
          <w:rFonts w:ascii="宋体" w:hAnsi="宋体" w:eastAsia="宋体" w:cs="宋体"/>
          <w:sz w:val="28"/>
          <w:szCs w:val="28"/>
        </w:rPr>
      </w:pPr>
      <w:bookmarkStart w:id="81" w:name="_Toc11970"/>
      <w:bookmarkStart w:id="82" w:name="_Toc5685"/>
      <w:bookmarkStart w:id="83" w:name="_Toc13943"/>
      <w:r>
        <w:rPr>
          <w:rFonts w:hint="eastAsia" w:ascii="宋体" w:hAnsi="宋体" w:eastAsia="宋体" w:cs="宋体"/>
          <w:sz w:val="28"/>
          <w:szCs w:val="28"/>
        </w:rPr>
        <w:t>六、授予合同</w:t>
      </w:r>
      <w:bookmarkEnd w:id="81"/>
      <w:bookmarkEnd w:id="82"/>
      <w:bookmarkEnd w:id="83"/>
    </w:p>
    <w:p>
      <w:pPr>
        <w:spacing w:line="360" w:lineRule="auto"/>
        <w:ind w:firstLine="488" w:firstLineChars="196"/>
        <w:rPr>
          <w:rFonts w:ascii="宋体" w:hAnsi="宋体"/>
          <w:b/>
          <w:spacing w:val="4"/>
          <w:sz w:val="24"/>
        </w:rPr>
      </w:pPr>
      <w:r>
        <w:rPr>
          <w:rFonts w:hint="eastAsia" w:ascii="宋体" w:hAnsi="宋体"/>
          <w:b/>
          <w:spacing w:val="4"/>
          <w:sz w:val="24"/>
        </w:rPr>
        <w:t>22、定标</w:t>
      </w:r>
    </w:p>
    <w:p>
      <w:pPr>
        <w:spacing w:line="360" w:lineRule="auto"/>
        <w:ind w:firstLine="496" w:firstLineChars="200"/>
        <w:rPr>
          <w:rFonts w:ascii="宋体" w:hAnsi="宋体"/>
          <w:spacing w:val="4"/>
          <w:sz w:val="24"/>
        </w:rPr>
      </w:pPr>
      <w:r>
        <w:rPr>
          <w:rFonts w:hint="eastAsia" w:ascii="宋体" w:hAnsi="宋体"/>
          <w:spacing w:val="4"/>
          <w:sz w:val="24"/>
        </w:rPr>
        <w:t>22.1招标方对评标委员会推荐的中标候选人进行资质审查。</w:t>
      </w:r>
    </w:p>
    <w:p>
      <w:pPr>
        <w:spacing w:line="360" w:lineRule="auto"/>
        <w:ind w:firstLine="496" w:firstLineChars="200"/>
        <w:rPr>
          <w:rFonts w:ascii="宋体" w:hAnsi="宋体"/>
          <w:spacing w:val="4"/>
          <w:sz w:val="24"/>
        </w:rPr>
      </w:pPr>
      <w:r>
        <w:rPr>
          <w:rFonts w:hint="eastAsia" w:ascii="宋体" w:hAnsi="宋体"/>
          <w:spacing w:val="4"/>
          <w:sz w:val="24"/>
        </w:rPr>
        <w:t>22.2最终审查的对象是招标项目的中标候选人。</w:t>
      </w:r>
    </w:p>
    <w:p>
      <w:pPr>
        <w:spacing w:line="360" w:lineRule="auto"/>
        <w:ind w:left="124" w:leftChars="59" w:firstLine="372" w:firstLineChars="150"/>
        <w:rPr>
          <w:rFonts w:ascii="宋体" w:hAnsi="宋体"/>
          <w:spacing w:val="4"/>
          <w:sz w:val="24"/>
        </w:rPr>
      </w:pPr>
      <w:r>
        <w:rPr>
          <w:rFonts w:hint="eastAsia" w:ascii="宋体" w:hAnsi="宋体"/>
          <w:spacing w:val="4"/>
          <w:sz w:val="24"/>
        </w:rPr>
        <w:t>22.3最终审查的内容是对中标候选人所报货物的产品性能及性价比、安装方案、调试方案、技术状况、生产条件、产品质量、交付时间、投标方信誉以及招标方认为有必要了解的其它问题作进一步的审查或了解。</w:t>
      </w:r>
    </w:p>
    <w:p>
      <w:pPr>
        <w:spacing w:line="360" w:lineRule="auto"/>
        <w:ind w:firstLine="496" w:firstLineChars="200"/>
        <w:rPr>
          <w:rFonts w:ascii="宋体" w:hAnsi="宋体"/>
          <w:spacing w:val="4"/>
          <w:sz w:val="24"/>
        </w:rPr>
      </w:pPr>
      <w:r>
        <w:rPr>
          <w:rFonts w:hint="eastAsia" w:ascii="宋体" w:hAnsi="宋体"/>
          <w:spacing w:val="4"/>
          <w:sz w:val="24"/>
        </w:rPr>
        <w:t>22.4通过对中标候选人的最终审查确定中标人。</w:t>
      </w:r>
    </w:p>
    <w:p>
      <w:pPr>
        <w:spacing w:line="360" w:lineRule="auto"/>
        <w:ind w:firstLine="498" w:firstLineChars="200"/>
        <w:rPr>
          <w:rFonts w:ascii="宋体" w:hAnsi="宋体"/>
          <w:b/>
          <w:spacing w:val="4"/>
          <w:sz w:val="24"/>
        </w:rPr>
      </w:pPr>
      <w:r>
        <w:rPr>
          <w:rFonts w:hint="eastAsia" w:ascii="宋体" w:hAnsi="宋体"/>
          <w:b/>
          <w:spacing w:val="4"/>
          <w:sz w:val="24"/>
        </w:rPr>
        <w:t>23、招标方在授标时有变更数量的权利。</w:t>
      </w:r>
    </w:p>
    <w:p>
      <w:pPr>
        <w:pStyle w:val="25"/>
        <w:spacing w:after="0" w:line="360" w:lineRule="auto"/>
        <w:ind w:firstLine="496" w:firstLineChars="200"/>
        <w:jc w:val="both"/>
        <w:rPr>
          <w:rFonts w:ascii="宋体" w:hAnsi="宋体"/>
          <w:spacing w:val="4"/>
          <w:sz w:val="24"/>
        </w:rPr>
      </w:pPr>
      <w:r>
        <w:rPr>
          <w:rFonts w:hint="eastAsia" w:ascii="宋体" w:hAnsi="宋体"/>
          <w:spacing w:val="4"/>
          <w:sz w:val="24"/>
        </w:rPr>
        <w:t>在向投标方授予中标通知书时，</w:t>
      </w:r>
      <w:r>
        <w:rPr>
          <w:rFonts w:hint="eastAsia" w:ascii="宋体" w:hAnsi="宋体"/>
          <w:b/>
          <w:bCs/>
          <w:spacing w:val="4"/>
          <w:sz w:val="24"/>
          <w:u w:val="single"/>
        </w:rPr>
        <w:t>在保证采购设备规格型号不变的前提下招标方有变更数量的权利</w:t>
      </w:r>
      <w:r>
        <w:rPr>
          <w:rFonts w:hint="eastAsia" w:ascii="宋体" w:hAnsi="宋体"/>
          <w:spacing w:val="4"/>
          <w:sz w:val="24"/>
        </w:rPr>
        <w:t>。</w:t>
      </w:r>
    </w:p>
    <w:p>
      <w:pPr>
        <w:spacing w:line="360" w:lineRule="auto"/>
        <w:ind w:firstLine="498" w:firstLineChars="200"/>
        <w:rPr>
          <w:rFonts w:ascii="宋体" w:hAnsi="宋体"/>
          <w:b/>
          <w:spacing w:val="4"/>
          <w:sz w:val="24"/>
        </w:rPr>
      </w:pPr>
      <w:r>
        <w:rPr>
          <w:rFonts w:hint="eastAsia" w:ascii="宋体" w:hAnsi="宋体"/>
          <w:b/>
          <w:spacing w:val="4"/>
          <w:sz w:val="24"/>
        </w:rPr>
        <w:t>24、招标方接受和拒绝任何一个或所有投标的权利</w:t>
      </w:r>
    </w:p>
    <w:p>
      <w:pPr>
        <w:spacing w:line="360" w:lineRule="auto"/>
        <w:ind w:firstLine="496" w:firstLineChars="200"/>
        <w:rPr>
          <w:rFonts w:hint="eastAsia" w:ascii="宋体" w:hAnsi="宋体"/>
          <w:spacing w:val="4"/>
          <w:sz w:val="24"/>
          <w:u w:val="single"/>
        </w:rPr>
      </w:pPr>
      <w:r>
        <w:rPr>
          <w:rFonts w:hint="eastAsia" w:ascii="宋体" w:hAnsi="宋体"/>
          <w:spacing w:val="4"/>
          <w:sz w:val="24"/>
          <w:u w:val="single"/>
        </w:rPr>
        <w:t>招标方在中标通知书发出之前任何时候仍有选择或拒绝任何投标方中标或宣布招标无效的权利。对受影响的投标方不承担任何责任，也无义务向受影响的投标方解释采取这一行动的理由。</w:t>
      </w:r>
    </w:p>
    <w:p>
      <w:pPr>
        <w:spacing w:line="360" w:lineRule="auto"/>
        <w:ind w:firstLine="496" w:firstLineChars="200"/>
        <w:rPr>
          <w:rFonts w:hint="eastAsia" w:ascii="宋体" w:hAnsi="宋体" w:eastAsia="宋体"/>
          <w:spacing w:val="4"/>
          <w:sz w:val="24"/>
          <w:u w:val="single"/>
          <w:lang w:eastAsia="zh-CN"/>
        </w:rPr>
      </w:pPr>
      <w:r>
        <w:rPr>
          <w:rFonts w:hint="eastAsia" w:ascii="宋体" w:hAnsi="宋体"/>
          <w:spacing w:val="4"/>
          <w:sz w:val="24"/>
          <w:u w:val="single"/>
        </w:rPr>
        <w:t>中标人瑕疵滞后发现处理原则</w:t>
      </w:r>
      <w:r>
        <w:rPr>
          <w:rFonts w:hint="eastAsia" w:ascii="宋体" w:hAnsi="宋体"/>
          <w:spacing w:val="4"/>
          <w:sz w:val="24"/>
          <w:u w:val="single"/>
          <w:lang w:eastAsia="zh-CN"/>
        </w:rPr>
        <w:t>：</w:t>
      </w:r>
    </w:p>
    <w:p>
      <w:pPr>
        <w:spacing w:line="360" w:lineRule="auto"/>
        <w:ind w:firstLine="496" w:firstLineChars="200"/>
        <w:rPr>
          <w:rFonts w:ascii="宋体" w:hAnsi="宋体"/>
          <w:spacing w:val="4"/>
          <w:sz w:val="24"/>
          <w:u w:val="single"/>
        </w:rPr>
      </w:pPr>
      <w:r>
        <w:rPr>
          <w:rFonts w:hint="eastAsia" w:ascii="宋体" w:hAnsi="宋体"/>
          <w:spacing w:val="4"/>
          <w:sz w:val="24"/>
          <w:u w:val="single"/>
        </w:rPr>
        <w:t>无论基于何种原因，各项目应作为拒绝处理的情形即便未被及时发现而使该中标人通过了资格审核、初评、现场复审、终评或其他所有相关程序，包括已签订合同的情形，招标人有权取消中标人资格，一旦中标人被拒绝或该中标人此前的评议结果被取消，相关的一切损失均由该中标人承担。</w:t>
      </w:r>
    </w:p>
    <w:p>
      <w:pPr>
        <w:spacing w:line="360" w:lineRule="auto"/>
        <w:ind w:firstLine="498" w:firstLineChars="200"/>
        <w:rPr>
          <w:rFonts w:ascii="宋体" w:hAnsi="宋体"/>
          <w:b/>
          <w:spacing w:val="4"/>
          <w:sz w:val="24"/>
        </w:rPr>
      </w:pPr>
      <w:r>
        <w:rPr>
          <w:rFonts w:hint="eastAsia" w:ascii="宋体" w:hAnsi="宋体"/>
          <w:b/>
          <w:spacing w:val="4"/>
          <w:sz w:val="24"/>
        </w:rPr>
        <w:t>25、中标通知</w:t>
      </w:r>
    </w:p>
    <w:p>
      <w:pPr>
        <w:spacing w:line="360" w:lineRule="auto"/>
        <w:ind w:firstLine="496" w:firstLineChars="200"/>
        <w:rPr>
          <w:rFonts w:ascii="宋体" w:hAnsi="宋体" w:cs="宋体"/>
          <w:sz w:val="24"/>
        </w:rPr>
      </w:pPr>
      <w:r>
        <w:rPr>
          <w:rFonts w:hint="eastAsia" w:ascii="宋体" w:hAnsi="宋体"/>
          <w:spacing w:val="4"/>
          <w:sz w:val="24"/>
        </w:rPr>
        <w:t>25.1</w:t>
      </w:r>
      <w:r>
        <w:rPr>
          <w:rFonts w:hint="eastAsia" w:ascii="宋体" w:hAnsi="宋体" w:cs="宋体"/>
          <w:sz w:val="24"/>
        </w:rPr>
        <w:t>确定中标结果后，招标方向中标人签发《中标通知书》。</w:t>
      </w:r>
    </w:p>
    <w:p>
      <w:pPr>
        <w:spacing w:line="360" w:lineRule="auto"/>
        <w:ind w:firstLine="496" w:firstLineChars="200"/>
        <w:rPr>
          <w:rFonts w:ascii="宋体" w:hAnsi="宋体"/>
          <w:spacing w:val="4"/>
          <w:sz w:val="24"/>
        </w:rPr>
      </w:pPr>
      <w:r>
        <w:rPr>
          <w:rFonts w:hint="eastAsia" w:ascii="宋体" w:hAnsi="宋体"/>
          <w:spacing w:val="4"/>
          <w:sz w:val="24"/>
        </w:rPr>
        <w:t>25.2中标通知书将是合同的组成部分。</w:t>
      </w:r>
    </w:p>
    <w:p>
      <w:pPr>
        <w:spacing w:line="360" w:lineRule="auto"/>
        <w:ind w:firstLine="496" w:firstLineChars="200"/>
        <w:rPr>
          <w:rFonts w:ascii="宋体" w:hAnsi="宋体"/>
          <w:spacing w:val="4"/>
          <w:sz w:val="24"/>
        </w:rPr>
      </w:pPr>
      <w:r>
        <w:rPr>
          <w:rFonts w:hint="eastAsia" w:ascii="宋体" w:hAnsi="宋体"/>
          <w:spacing w:val="4"/>
          <w:sz w:val="24"/>
        </w:rPr>
        <w:t>25.3如投标人中标后悔标，招标方将取消该投标人本次中标资格，给招标人造成损失的，招标人有索赔的权利，投标人应予以赔偿。</w:t>
      </w:r>
    </w:p>
    <w:p>
      <w:pPr>
        <w:spacing w:line="360" w:lineRule="auto"/>
        <w:ind w:firstLine="498" w:firstLineChars="200"/>
        <w:rPr>
          <w:rFonts w:ascii="宋体" w:hAnsi="宋体"/>
          <w:b/>
          <w:spacing w:val="4"/>
          <w:sz w:val="24"/>
        </w:rPr>
      </w:pPr>
      <w:r>
        <w:rPr>
          <w:rFonts w:hint="eastAsia" w:ascii="宋体" w:hAnsi="宋体"/>
          <w:b/>
          <w:spacing w:val="4"/>
          <w:sz w:val="24"/>
        </w:rPr>
        <w:t>26、签订合同</w:t>
      </w:r>
    </w:p>
    <w:p>
      <w:pPr>
        <w:spacing w:line="360" w:lineRule="auto"/>
        <w:ind w:firstLine="496" w:firstLineChars="200"/>
        <w:rPr>
          <w:rFonts w:ascii="宋体" w:hAnsi="宋体"/>
          <w:bCs/>
          <w:spacing w:val="4"/>
          <w:sz w:val="24"/>
        </w:rPr>
      </w:pPr>
      <w:r>
        <w:rPr>
          <w:rFonts w:hint="eastAsia" w:ascii="宋体" w:hAnsi="宋体"/>
          <w:bCs/>
          <w:spacing w:val="4"/>
          <w:sz w:val="24"/>
        </w:rPr>
        <w:t>26.1中标方应按中标通知书中规定的时间、地点与招标方签订中标经济合同，否则按开标后撤回投标处理。</w:t>
      </w:r>
    </w:p>
    <w:p>
      <w:pPr>
        <w:pStyle w:val="30"/>
        <w:spacing w:after="0" w:line="560" w:lineRule="exact"/>
        <w:ind w:firstLine="496" w:firstLineChars="200"/>
        <w:rPr>
          <w:rFonts w:ascii="宋体" w:hAnsi="宋体" w:cs="宋体"/>
          <w:sz w:val="24"/>
          <w:szCs w:val="24"/>
        </w:rPr>
      </w:pPr>
      <w:r>
        <w:rPr>
          <w:rFonts w:hint="eastAsia" w:ascii="宋体" w:hAnsi="宋体"/>
          <w:bCs/>
          <w:spacing w:val="4"/>
          <w:sz w:val="24"/>
        </w:rPr>
        <w:t>26.2招标文件、中标方的投标文件及评标过程中有关澄清文件均应作为合同附件</w:t>
      </w:r>
      <w:r>
        <w:rPr>
          <w:rFonts w:hint="eastAsia" w:ascii="宋体" w:hAnsi="宋体" w:cs="宋体"/>
          <w:sz w:val="24"/>
          <w:szCs w:val="24"/>
        </w:rPr>
        <w:t>。</w:t>
      </w:r>
    </w:p>
    <w:p>
      <w:pPr>
        <w:pStyle w:val="30"/>
        <w:spacing w:after="0" w:line="560" w:lineRule="exact"/>
        <w:ind w:firstLine="480" w:firstLineChars="200"/>
        <w:rPr>
          <w:rFonts w:ascii="宋体" w:hAnsi="宋体"/>
          <w:sz w:val="24"/>
          <w:szCs w:val="24"/>
        </w:rPr>
      </w:pPr>
      <w:r>
        <w:rPr>
          <w:rFonts w:hint="eastAsia" w:ascii="宋体" w:hAnsi="宋体"/>
          <w:sz w:val="24"/>
          <w:szCs w:val="24"/>
        </w:rPr>
        <w:t>26</w:t>
      </w:r>
      <w:r>
        <w:rPr>
          <w:rFonts w:ascii="宋体" w:hAnsi="宋体"/>
          <w:sz w:val="24"/>
          <w:szCs w:val="24"/>
        </w:rPr>
        <w:t>.</w:t>
      </w:r>
      <w:r>
        <w:rPr>
          <w:rFonts w:hint="eastAsia" w:ascii="宋体" w:hAnsi="宋体"/>
          <w:sz w:val="24"/>
          <w:szCs w:val="24"/>
        </w:rPr>
        <w:t>3合同以双方最终签署的版本为准。</w:t>
      </w:r>
    </w:p>
    <w:p>
      <w:pPr>
        <w:numPr>
          <w:ilvl w:val="0"/>
          <w:numId w:val="7"/>
        </w:numPr>
        <w:spacing w:line="360" w:lineRule="auto"/>
        <w:ind w:firstLine="498" w:firstLineChars="200"/>
        <w:rPr>
          <w:rFonts w:ascii="宋体" w:hAnsi="宋体"/>
          <w:b/>
          <w:spacing w:val="4"/>
          <w:sz w:val="24"/>
        </w:rPr>
      </w:pPr>
      <w:r>
        <w:rPr>
          <w:rFonts w:hint="eastAsia" w:ascii="宋体" w:hAnsi="宋体"/>
          <w:b/>
          <w:spacing w:val="4"/>
          <w:sz w:val="24"/>
        </w:rPr>
        <w:t>废标及中止招标</w:t>
      </w:r>
    </w:p>
    <w:p>
      <w:pPr>
        <w:pStyle w:val="30"/>
        <w:spacing w:after="0" w:line="360" w:lineRule="auto"/>
        <w:ind w:firstLine="480" w:firstLineChars="200"/>
        <w:rPr>
          <w:rFonts w:ascii="宋体" w:hAnsi="宋体" w:cs="宋体"/>
          <w:sz w:val="24"/>
          <w:szCs w:val="24"/>
        </w:rPr>
      </w:pPr>
      <w:r>
        <w:rPr>
          <w:rFonts w:hint="eastAsia" w:ascii="宋体" w:hAnsi="宋体" w:cs="宋体"/>
          <w:sz w:val="24"/>
          <w:szCs w:val="24"/>
        </w:rPr>
        <w:t>27.1 投标人有下列情形之一，其投标将被视为废标，招标人将严格按照《中华人民共和国招标投标法》及相关法律、法规及规章制度的规定行使权利。投标人给招标人造成损失的，招标人有索赔的权利，投标人应予以赔偿</w:t>
      </w:r>
      <w:r>
        <w:rPr>
          <w:rFonts w:hint="eastAsia" w:ascii="宋体" w:hAnsi="宋体" w:cs="宋体"/>
          <w:sz w:val="24"/>
          <w:szCs w:val="24"/>
          <w:lang w:eastAsia="zh-CN"/>
        </w:rPr>
        <w:t>：</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（1）投标人提供的有关资格、资质证明文件不合格、不真实或提供虚假投标材料；</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（2）投标人在报价有效期内撤回投标；</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（3）在整个评标过程中，投标人有企图影响评标结果公正性的任何活动；</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（4）投标人以任何方式诋毁其他投标人；</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（5）投标人串通投标；</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（6）以他人名义投标或者以其他方式弄虚作假，骗取中标的；</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（7）投标人负责人为同一人或者存在控股、管理关系的不同单位；</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（8）被其他投标人举报经查实属实的；</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（9）法律、法规规定的其他情况。</w:t>
      </w:r>
      <w:r>
        <w:rPr>
          <w:rFonts w:ascii="宋体" w:hAnsi="宋体" w:cs="宋体"/>
          <w:sz w:val="24"/>
          <w:szCs w:val="24"/>
        </w:rPr>
        <w:br w:type="textWrapping"/>
      </w:r>
      <w:r>
        <w:rPr>
          <w:rFonts w:hint="eastAsia" w:ascii="宋体" w:hAnsi="宋体" w:cs="宋体"/>
          <w:sz w:val="24"/>
          <w:szCs w:val="24"/>
        </w:rPr>
        <w:t xml:space="preserve">27.2 </w:t>
      </w:r>
      <w:r>
        <w:rPr>
          <w:rFonts w:ascii="宋体" w:hAnsi="宋体" w:cs="宋体"/>
          <w:sz w:val="24"/>
          <w:szCs w:val="24"/>
        </w:rPr>
        <w:t>出现下列情形之一，招标人有权否决所有投标人的投标，并终止招标</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（1）出现影响采购公正的违法、违规行为的；</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（2）评标委员会经评审，认为所有投标都不符合招标文件要求的；</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（3）因重大变故，采购任务取消的；</w:t>
      </w:r>
      <w:r>
        <w:rPr>
          <w:rFonts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（4）评标委员会认为应当终止招标的其他情形。</w:t>
      </w:r>
    </w:p>
    <w:p>
      <w:pPr>
        <w:pStyle w:val="30"/>
        <w:spacing w:after="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cs="宋体"/>
          <w:sz w:val="24"/>
          <w:szCs w:val="24"/>
          <w:lang w:val="en-US" w:eastAsia="zh-CN"/>
        </w:rPr>
        <w:t>投标人报价均超过采购预算的。</w:t>
      </w:r>
    </w:p>
    <w:p>
      <w:pPr>
        <w:pStyle w:val="30"/>
        <w:spacing w:after="0"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（6）符合条件、或对招标文件做实质响应的供应商不足3家的。</w:t>
      </w:r>
    </w:p>
    <w:p>
      <w:pPr>
        <w:pStyle w:val="3"/>
        <w:spacing w:before="120" w:after="120" w:line="360" w:lineRule="exact"/>
        <w:rPr>
          <w:rFonts w:ascii="宋体" w:hAnsi="宋体" w:eastAsia="宋体" w:cs="宋体"/>
          <w:sz w:val="28"/>
          <w:szCs w:val="28"/>
        </w:rPr>
      </w:pPr>
      <w:bookmarkStart w:id="84" w:name="_Toc15297"/>
      <w:bookmarkStart w:id="85" w:name="_Toc8033"/>
      <w:r>
        <w:rPr>
          <w:rFonts w:hint="eastAsia" w:ascii="宋体" w:hAnsi="宋体" w:eastAsia="宋体" w:cs="宋体"/>
          <w:sz w:val="28"/>
          <w:szCs w:val="28"/>
        </w:rPr>
        <w:t>七、相关费用</w:t>
      </w:r>
      <w:bookmarkEnd w:id="84"/>
      <w:bookmarkEnd w:id="85"/>
    </w:p>
    <w:p>
      <w:pPr>
        <w:pStyle w:val="30"/>
        <w:spacing w:after="0" w:line="360" w:lineRule="auto"/>
        <w:ind w:firstLine="480" w:firstLineChars="200"/>
        <w:rPr>
          <w:rFonts w:ascii="宋体" w:hAnsi="宋体"/>
          <w:sz w:val="24"/>
          <w:szCs w:val="24"/>
        </w:rPr>
      </w:pPr>
      <w:r>
        <w:rPr>
          <w:rFonts w:hint="eastAsia" w:ascii="宋体" w:hAnsi="宋体" w:cs="宋体"/>
          <w:sz w:val="24"/>
          <w:szCs w:val="24"/>
        </w:rPr>
        <w:t>本项目招标相关费用详见投标方须知前附表第18项。</w:t>
      </w:r>
    </w:p>
    <w:p>
      <w:pPr>
        <w:pStyle w:val="3"/>
        <w:spacing w:before="120" w:after="120" w:line="360" w:lineRule="exact"/>
        <w:rPr>
          <w:rFonts w:ascii="宋体" w:hAnsi="宋体" w:eastAsia="宋体" w:cs="宋体"/>
          <w:sz w:val="28"/>
          <w:szCs w:val="28"/>
        </w:rPr>
      </w:pPr>
      <w:bookmarkStart w:id="86" w:name="_Toc5074"/>
      <w:bookmarkStart w:id="87" w:name="_Toc15536"/>
      <w:r>
        <w:rPr>
          <w:rFonts w:hint="eastAsia" w:ascii="宋体" w:hAnsi="宋体" w:eastAsia="宋体" w:cs="宋体"/>
          <w:sz w:val="28"/>
          <w:szCs w:val="28"/>
        </w:rPr>
        <w:t>八、解释权</w:t>
      </w:r>
      <w:bookmarkEnd w:id="86"/>
      <w:bookmarkEnd w:id="87"/>
    </w:p>
    <w:p>
      <w:pPr>
        <w:pStyle w:val="30"/>
        <w:spacing w:after="0" w:line="360" w:lineRule="auto"/>
        <w:ind w:firstLine="480" w:firstLineChars="200"/>
        <w:rPr>
          <w:rFonts w:ascii="宋体" w:hAnsi="宋体"/>
          <w:sz w:val="24"/>
          <w:szCs w:val="24"/>
        </w:rPr>
      </w:pPr>
      <w:r>
        <w:rPr>
          <w:rFonts w:hint="eastAsia" w:ascii="宋体" w:hAnsi="宋体" w:cs="宋体"/>
          <w:sz w:val="24"/>
          <w:szCs w:val="24"/>
        </w:rPr>
        <w:t>本招标文件的最终解释权归招标方，当对一个问题有多种解释时以招标方的书面解释为准。招标文件未做明示，而又有相关法律、法规规定的，招标方对此所做解释以相关的法律、法规规定为依据。</w:t>
      </w:r>
    </w:p>
    <w:p>
      <w:pPr>
        <w:pStyle w:val="3"/>
        <w:spacing w:before="120" w:after="120" w:line="360" w:lineRule="exact"/>
        <w:rPr>
          <w:rFonts w:ascii="宋体" w:hAnsi="宋体" w:eastAsia="宋体" w:cs="宋体"/>
          <w:sz w:val="28"/>
          <w:szCs w:val="28"/>
        </w:rPr>
      </w:pPr>
      <w:bookmarkStart w:id="88" w:name="_Toc13907"/>
      <w:bookmarkStart w:id="89" w:name="_Toc30755"/>
      <w:r>
        <w:rPr>
          <w:rFonts w:hint="eastAsia" w:ascii="宋体" w:hAnsi="宋体" w:eastAsia="宋体" w:cs="宋体"/>
          <w:sz w:val="28"/>
          <w:szCs w:val="28"/>
        </w:rPr>
        <w:t>九、其他</w:t>
      </w:r>
      <w:bookmarkEnd w:id="88"/>
      <w:bookmarkEnd w:id="89"/>
    </w:p>
    <w:p>
      <w:pPr>
        <w:pStyle w:val="30"/>
        <w:spacing w:after="0" w:line="360" w:lineRule="auto"/>
        <w:ind w:firstLine="480" w:firstLineChars="200"/>
        <w:rPr>
          <w:rFonts w:ascii="宋体" w:hAnsi="宋体"/>
          <w:sz w:val="24"/>
          <w:szCs w:val="24"/>
        </w:rPr>
      </w:pPr>
      <w:r>
        <w:rPr>
          <w:rFonts w:hint="eastAsia" w:ascii="宋体" w:hAnsi="宋体" w:cs="宋体"/>
          <w:sz w:val="24"/>
          <w:szCs w:val="24"/>
        </w:rPr>
        <w:t>需对“投标方须知”正文进行补充和修改的内容详见“投标方须知前附表”。</w:t>
      </w:r>
    </w:p>
    <w:p>
      <w:pPr>
        <w:pStyle w:val="2"/>
        <w:ind w:left="0"/>
        <w:rPr>
          <w:rFonts w:ascii="宋体" w:hAnsi="宋体"/>
        </w:rPr>
      </w:pPr>
      <w:bookmarkStart w:id="90" w:name="_Toc500420293"/>
      <w:bookmarkStart w:id="91" w:name="_Toc500420375"/>
    </w:p>
    <w:p>
      <w:pPr>
        <w:pStyle w:val="2"/>
        <w:ind w:left="0"/>
        <w:rPr>
          <w:rFonts w:ascii="宋体" w:hAnsi="宋体"/>
        </w:rPr>
      </w:pPr>
    </w:p>
    <w:p>
      <w:pPr>
        <w:pStyle w:val="2"/>
        <w:ind w:left="0"/>
        <w:jc w:val="both"/>
        <w:rPr>
          <w:rFonts w:ascii="宋体" w:hAnsi="宋体"/>
        </w:rPr>
      </w:pPr>
    </w:p>
    <w:p>
      <w:pPr>
        <w:rPr>
          <w:rFonts w:ascii="宋体" w:hAnsi="宋体"/>
        </w:rPr>
      </w:pPr>
      <w:bookmarkStart w:id="92" w:name="_Toc235"/>
      <w:r>
        <w:rPr>
          <w:rFonts w:ascii="宋体" w:hAnsi="宋体"/>
        </w:rPr>
        <w:br w:type="page"/>
      </w:r>
    </w:p>
    <w:p>
      <w:pPr>
        <w:pStyle w:val="2"/>
        <w:ind w:left="0"/>
        <w:rPr>
          <w:rFonts w:ascii="宋体" w:hAnsi="宋体"/>
          <w:b w:val="0"/>
          <w:bCs/>
          <w:i/>
          <w:iCs w:val="0"/>
        </w:rPr>
      </w:pPr>
      <w:bookmarkStart w:id="93" w:name="_Toc1960"/>
      <w:bookmarkStart w:id="94" w:name="_Toc2196"/>
      <w:r>
        <w:rPr>
          <w:rFonts w:ascii="宋体" w:hAnsi="宋体"/>
        </w:rPr>
        <w:t>第三章</w:t>
      </w:r>
      <w:r>
        <w:rPr>
          <w:rFonts w:hint="eastAsia" w:ascii="宋体" w:hAnsi="宋体"/>
        </w:rPr>
        <w:t xml:space="preserve">  评标方法</w:t>
      </w:r>
      <w:bookmarkEnd w:id="92"/>
      <w:bookmarkEnd w:id="93"/>
      <w:bookmarkEnd w:id="94"/>
    </w:p>
    <w:p>
      <w:pPr>
        <w:spacing w:line="360" w:lineRule="auto"/>
        <w:rPr>
          <w:rFonts w:ascii="宋体" w:hAnsi="宋体" w:cs="宋体"/>
          <w:b/>
          <w:bCs/>
          <w:iCs/>
          <w:sz w:val="24"/>
          <w:szCs w:val="24"/>
        </w:rPr>
      </w:pPr>
      <w:r>
        <w:rPr>
          <w:rFonts w:hint="eastAsia" w:ascii="宋体" w:hAnsi="宋体" w:cs="宋体"/>
          <w:b/>
          <w:bCs/>
          <w:iCs/>
          <w:sz w:val="24"/>
          <w:szCs w:val="24"/>
        </w:rPr>
        <w:t>综合评审法</w:t>
      </w:r>
    </w:p>
    <w:p>
      <w:pPr>
        <w:spacing w:line="360" w:lineRule="auto"/>
        <w:ind w:firstLine="480" w:firstLineChars="200"/>
        <w:rPr>
          <w:rFonts w:ascii="宋体" w:hAnsi="宋体" w:cs="宋体"/>
          <w:sz w:val="24"/>
        </w:rPr>
      </w:pPr>
      <w:r>
        <w:rPr>
          <w:rFonts w:hint="eastAsia" w:ascii="宋体" w:hAnsi="宋体" w:cs="宋体"/>
          <w:sz w:val="24"/>
        </w:rPr>
        <w:t>本项目采用“综合评审法”，评标委员会成员综合评定各参加投标的投标方提交的资质文件，技术标，商务标，根据初步评审结果及综合评审评分细则所确定的得分排序由高到低确定中标方候选。</w:t>
      </w:r>
      <w:r>
        <w:rPr>
          <w:rFonts w:hint="eastAsia" w:ascii="宋体" w:hAnsi="宋体" w:cs="宋体"/>
          <w:b/>
          <w:bCs/>
          <w:sz w:val="24"/>
          <w:u w:val="single"/>
        </w:rPr>
        <w:t>资质标不参与打分，核查资质不满足要求的，直接取消竞标资格，不得进行下一轮</w:t>
      </w:r>
      <w:r>
        <w:rPr>
          <w:rFonts w:hint="eastAsia" w:ascii="宋体" w:hAnsi="宋体" w:cs="宋体"/>
          <w:sz w:val="24"/>
        </w:rPr>
        <w:t>。</w:t>
      </w:r>
    </w:p>
    <w:p>
      <w:pPr>
        <w:spacing w:line="360" w:lineRule="auto"/>
        <w:ind w:firstLine="540" w:firstLineChars="225"/>
        <w:rPr>
          <w:rFonts w:ascii="宋体" w:hAnsi="宋体" w:cs="宋体"/>
          <w:sz w:val="24"/>
        </w:rPr>
      </w:pPr>
      <w:r>
        <w:rPr>
          <w:rFonts w:hint="eastAsia" w:ascii="宋体" w:hAnsi="宋体" w:cs="宋体"/>
          <w:sz w:val="24"/>
        </w:rPr>
        <w:t>1、资质标、技术标和商务标分开密封，技术标与商务标同时投标，分开开标：先开技术标，按照标书中规定的详细技术配置对比表进行技术评标，在满足技术要求的前提下（含技术澄清），经专家组讨论通过后，再开商务标。</w:t>
      </w:r>
    </w:p>
    <w:p>
      <w:pPr>
        <w:spacing w:line="360" w:lineRule="auto"/>
        <w:ind w:firstLine="480"/>
        <w:rPr>
          <w:rFonts w:ascii="宋体" w:hAnsi="宋体" w:cs="宋体"/>
          <w:sz w:val="24"/>
        </w:rPr>
      </w:pPr>
      <w:r>
        <w:rPr>
          <w:rFonts w:hint="eastAsia" w:ascii="宋体" w:hAnsi="宋体" w:cs="宋体"/>
          <w:sz w:val="24"/>
        </w:rPr>
        <w:t>2、综合评审，确定中标方候选。</w:t>
      </w:r>
    </w:p>
    <w:p>
      <w:pPr>
        <w:spacing w:line="360" w:lineRule="auto"/>
        <w:ind w:firstLine="540" w:firstLineChars="225"/>
        <w:rPr>
          <w:rFonts w:ascii="宋体" w:hAnsi="宋体" w:cs="宋体"/>
          <w:sz w:val="24"/>
        </w:rPr>
      </w:pPr>
      <w:r>
        <w:rPr>
          <w:rFonts w:hint="eastAsia" w:ascii="宋体" w:hAnsi="宋体" w:cs="宋体"/>
          <w:sz w:val="24"/>
        </w:rPr>
        <w:t>评标委员会采用“综合实力最强，投标方的社会信誉好，能够最大限度满足招标文件中规定的各项标准，并且投标报价合理”的方法依次对各投标方进行综合评审，并进行打分，评委将按以下评分细则进行综合分析、比较并打分。为保证项目顺利实施，由招标人组织、按国家法律法规及公司相关规章制度要求，设立评标工作小组，本着公平、公正、公开的原则，在最大限度地满足招标文件实质性要求的前提下，对招标文件中规定的各项因素进行综合评审，确定中标人（</w:t>
      </w:r>
      <w:r>
        <w:rPr>
          <w:rFonts w:hint="eastAsia" w:ascii="宋体" w:hAnsi="宋体" w:cs="宋体"/>
          <w:sz w:val="24"/>
          <w:u w:val="single"/>
        </w:rPr>
        <w:t>不保证最低价格中标</w:t>
      </w:r>
      <w:r>
        <w:rPr>
          <w:rFonts w:hint="eastAsia" w:ascii="宋体" w:hAnsi="宋体" w:cs="宋体"/>
          <w:sz w:val="24"/>
        </w:rPr>
        <w:t>），对未中标单位不做任何解释。</w:t>
      </w:r>
    </w:p>
    <w:p>
      <w:pPr>
        <w:spacing w:line="360" w:lineRule="auto"/>
        <w:ind w:firstLine="540" w:firstLineChars="225"/>
        <w:rPr>
          <w:rFonts w:ascii="宋体" w:hAnsi="宋体" w:cs="宋体"/>
          <w:sz w:val="24"/>
        </w:rPr>
      </w:pPr>
      <w:r>
        <w:rPr>
          <w:rFonts w:hint="eastAsia" w:ascii="宋体" w:hAnsi="宋体" w:cs="宋体"/>
          <w:sz w:val="24"/>
        </w:rPr>
        <w:t>本次招标采取多级评标模式，由采购人员与专家组共同对候选中标人进行评/议标，最终确定推荐中标人。</w:t>
      </w:r>
    </w:p>
    <w:p>
      <w:pPr>
        <w:spacing w:line="360" w:lineRule="auto"/>
        <w:rPr>
          <w:rFonts w:ascii="宋体" w:hAnsi="宋体"/>
          <w:b/>
          <w:i/>
          <w:iCs/>
          <w:sz w:val="24"/>
          <w:szCs w:val="24"/>
        </w:rPr>
      </w:pPr>
      <w:r>
        <w:rPr>
          <w:rFonts w:hint="eastAsia" w:ascii="宋体" w:hAnsi="宋体"/>
          <w:b/>
          <w:sz w:val="24"/>
          <w:szCs w:val="24"/>
        </w:rPr>
        <w:t>综合评审评分细则</w:t>
      </w:r>
      <w:r>
        <w:rPr>
          <w:rFonts w:hint="eastAsia" w:ascii="宋体" w:hAnsi="宋体"/>
          <w:b/>
          <w:iCs/>
          <w:sz w:val="24"/>
          <w:szCs w:val="24"/>
        </w:rPr>
        <w:t>（满分100分）</w:t>
      </w:r>
    </w:p>
    <w:p>
      <w:pPr>
        <w:spacing w:line="360" w:lineRule="auto"/>
        <w:rPr>
          <w:rFonts w:ascii="宋体" w:hAnsi="宋体"/>
          <w:b/>
          <w:sz w:val="24"/>
          <w:szCs w:val="24"/>
        </w:rPr>
      </w:pPr>
      <w:r>
        <w:rPr>
          <w:rFonts w:hint="eastAsia" w:ascii="宋体" w:hAnsi="宋体"/>
          <w:b/>
          <w:sz w:val="24"/>
          <w:szCs w:val="24"/>
        </w:rPr>
        <w:t>详见下页</w:t>
      </w:r>
    </w:p>
    <w:tbl>
      <w:tblPr>
        <w:tblStyle w:val="76"/>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59"/>
        <w:gridCol w:w="2552"/>
        <w:gridCol w:w="5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 w:hRule="atLeast"/>
        </w:trPr>
        <w:tc>
          <w:tcPr>
            <w:tcW w:w="750" w:type="dxa"/>
            <w:vAlign w:val="center"/>
          </w:tcPr>
          <w:p>
            <w:pPr>
              <w:spacing w:line="340" w:lineRule="exact"/>
              <w:jc w:val="center"/>
              <w:rPr>
                <w:rFonts w:ascii="宋体" w:hAnsi="宋体" w:cs="Calibri"/>
                <w:bCs/>
                <w:sz w:val="24"/>
                <w:szCs w:val="24"/>
              </w:rPr>
            </w:pPr>
            <w:r>
              <w:rPr>
                <w:rFonts w:hint="eastAsia" w:ascii="宋体" w:hAnsi="宋体" w:cs="Calibri"/>
                <w:bCs/>
                <w:sz w:val="24"/>
                <w:szCs w:val="24"/>
              </w:rPr>
              <w:t>序号</w:t>
            </w:r>
          </w:p>
        </w:tc>
        <w:tc>
          <w:tcPr>
            <w:tcW w:w="8810" w:type="dxa"/>
            <w:gridSpan w:val="3"/>
            <w:vAlign w:val="center"/>
          </w:tcPr>
          <w:p>
            <w:pPr>
              <w:spacing w:line="340" w:lineRule="exact"/>
              <w:jc w:val="center"/>
              <w:rPr>
                <w:rFonts w:ascii="宋体" w:hAnsi="宋体" w:cs="Calibri"/>
                <w:b/>
                <w:bCs/>
                <w:sz w:val="24"/>
                <w:szCs w:val="24"/>
              </w:rPr>
            </w:pPr>
            <w:r>
              <w:rPr>
                <w:rFonts w:hint="eastAsia" w:ascii="宋体" w:hAnsi="宋体" w:cs="Calibri"/>
                <w:bCs/>
                <w:sz w:val="24"/>
                <w:szCs w:val="24"/>
              </w:rPr>
              <w:t>评审内容(100分)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 w:hRule="atLeast"/>
        </w:trPr>
        <w:tc>
          <w:tcPr>
            <w:tcW w:w="750" w:type="dxa"/>
            <w:vMerge w:val="restart"/>
            <w:vAlign w:val="center"/>
          </w:tcPr>
          <w:p>
            <w:pPr>
              <w:spacing w:line="340" w:lineRule="exact"/>
              <w:jc w:val="center"/>
              <w:rPr>
                <w:rFonts w:ascii="宋体" w:hAnsi="宋体" w:cs="Calibri"/>
                <w:bCs/>
                <w:sz w:val="24"/>
                <w:szCs w:val="24"/>
              </w:rPr>
            </w:pPr>
            <w:r>
              <w:rPr>
                <w:rFonts w:hint="eastAsia" w:ascii="宋体" w:hAnsi="宋体" w:cs="Calibri"/>
                <w:bCs/>
                <w:sz w:val="24"/>
                <w:szCs w:val="24"/>
              </w:rPr>
              <w:t>1</w:t>
            </w:r>
          </w:p>
        </w:tc>
        <w:tc>
          <w:tcPr>
            <w:tcW w:w="1059" w:type="dxa"/>
            <w:vMerge w:val="restart"/>
            <w:vAlign w:val="center"/>
          </w:tcPr>
          <w:p>
            <w:pPr>
              <w:pStyle w:val="25"/>
              <w:spacing w:after="0" w:line="340" w:lineRule="exact"/>
              <w:jc w:val="center"/>
              <w:rPr>
                <w:rFonts w:ascii="宋体" w:hAnsi="宋体" w:cs="宋体"/>
                <w:sz w:val="24"/>
                <w:szCs w:val="24"/>
              </w:rPr>
            </w:pPr>
            <w:r>
              <w:rPr>
                <w:rFonts w:hint="eastAsia" w:ascii="宋体" w:hAnsi="宋体" w:cs="宋体"/>
                <w:sz w:val="24"/>
                <w:szCs w:val="24"/>
              </w:rPr>
              <w:t>技术标（</w:t>
            </w:r>
            <w:r>
              <w:rPr>
                <w:rFonts w:hint="eastAsia" w:ascii="宋体" w:hAnsi="宋体" w:cs="宋体"/>
                <w:sz w:val="24"/>
                <w:szCs w:val="24"/>
                <w:lang w:val="en-US" w:eastAsia="zh-CN"/>
              </w:rPr>
              <w:t>40</w:t>
            </w:r>
            <w:r>
              <w:rPr>
                <w:rFonts w:hint="eastAsia" w:ascii="宋体" w:hAnsi="宋体" w:cs="宋体"/>
                <w:sz w:val="24"/>
                <w:szCs w:val="24"/>
              </w:rPr>
              <w:t>分）</w:t>
            </w:r>
          </w:p>
        </w:tc>
        <w:tc>
          <w:tcPr>
            <w:tcW w:w="2552" w:type="dxa"/>
            <w:vAlign w:val="center"/>
          </w:tcPr>
          <w:p>
            <w:pPr>
              <w:pStyle w:val="25"/>
              <w:spacing w:after="0" w:line="320" w:lineRule="exact"/>
              <w:jc w:val="center"/>
              <w:rPr>
                <w:rFonts w:ascii="宋体" w:hAnsi="宋体" w:cs="宋体"/>
                <w:sz w:val="24"/>
                <w:szCs w:val="24"/>
              </w:rPr>
            </w:pPr>
            <w:r>
              <w:rPr>
                <w:rFonts w:hint="eastAsia" w:ascii="宋体" w:hAnsi="宋体" w:cs="宋体"/>
                <w:sz w:val="24"/>
                <w:szCs w:val="24"/>
              </w:rPr>
              <w:t>技术方案部分（</w:t>
            </w:r>
            <w:r>
              <w:rPr>
                <w:rFonts w:hint="eastAsia" w:ascii="宋体" w:hAnsi="宋体" w:cs="宋体"/>
                <w:sz w:val="24"/>
                <w:szCs w:val="24"/>
                <w:lang w:val="en-US" w:eastAsia="zh-CN"/>
              </w:rPr>
              <w:t>20</w:t>
            </w:r>
            <w:r>
              <w:rPr>
                <w:rFonts w:hint="eastAsia" w:ascii="宋体" w:hAnsi="宋体" w:cs="宋体"/>
                <w:sz w:val="24"/>
                <w:szCs w:val="24"/>
              </w:rPr>
              <w:t>分）</w:t>
            </w:r>
          </w:p>
        </w:tc>
        <w:tc>
          <w:tcPr>
            <w:tcW w:w="5199" w:type="dxa"/>
            <w:vAlign w:val="center"/>
          </w:tcPr>
          <w:p>
            <w:pPr>
              <w:pStyle w:val="25"/>
              <w:spacing w:after="0" w:line="340" w:lineRule="exact"/>
              <w:rPr>
                <w:rFonts w:ascii="宋体" w:hAnsi="宋体" w:cs="宋体"/>
                <w:sz w:val="24"/>
                <w:szCs w:val="24"/>
              </w:rPr>
            </w:pPr>
            <w:r>
              <w:rPr>
                <w:rFonts w:hint="eastAsia" w:ascii="宋体" w:hAnsi="宋体" w:cs="宋体"/>
                <w:sz w:val="24"/>
                <w:szCs w:val="24"/>
              </w:rPr>
              <w:t>所报产品的技术参数满足招标文件要求得基本分</w:t>
            </w:r>
            <w:r>
              <w:rPr>
                <w:rFonts w:hint="eastAsia" w:ascii="宋体" w:hAnsi="宋体" w:cs="宋体"/>
                <w:sz w:val="24"/>
                <w:szCs w:val="24"/>
                <w:lang w:val="en-US" w:eastAsia="zh-CN"/>
              </w:rPr>
              <w:t>10</w:t>
            </w:r>
            <w:r>
              <w:rPr>
                <w:rFonts w:hint="eastAsia" w:ascii="宋体" w:hAnsi="宋体" w:cs="宋体"/>
                <w:sz w:val="24"/>
                <w:szCs w:val="24"/>
              </w:rPr>
              <w:t>分；</w:t>
            </w:r>
          </w:p>
          <w:p>
            <w:pPr>
              <w:pStyle w:val="25"/>
              <w:spacing w:after="0" w:line="320" w:lineRule="exact"/>
              <w:rPr>
                <w:rFonts w:ascii="宋体" w:hAnsi="宋体" w:cs="宋体"/>
                <w:sz w:val="24"/>
                <w:szCs w:val="24"/>
              </w:rPr>
            </w:pPr>
            <w:r>
              <w:rPr>
                <w:rFonts w:hint="eastAsia" w:ascii="宋体" w:hAnsi="宋体" w:cs="宋体"/>
                <w:sz w:val="24"/>
                <w:szCs w:val="24"/>
              </w:rPr>
              <w:t>主要技术参数优于招标文件的酌情加分，最高加10分；主要技术参数低于招标文件的酌情减分，最高减10分。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 w:hRule="atLeast"/>
        </w:trPr>
        <w:tc>
          <w:tcPr>
            <w:tcW w:w="750" w:type="dxa"/>
            <w:vMerge w:val="continue"/>
            <w:vAlign w:val="center"/>
          </w:tcPr>
          <w:p>
            <w:pPr>
              <w:spacing w:line="340" w:lineRule="exact"/>
              <w:jc w:val="center"/>
              <w:rPr>
                <w:rFonts w:ascii="宋体" w:hAnsi="宋体" w:cs="Calibri"/>
                <w:bCs/>
                <w:sz w:val="24"/>
                <w:szCs w:val="24"/>
              </w:rPr>
            </w:pPr>
          </w:p>
        </w:tc>
        <w:tc>
          <w:tcPr>
            <w:tcW w:w="1059" w:type="dxa"/>
            <w:vMerge w:val="continue"/>
            <w:vAlign w:val="center"/>
          </w:tcPr>
          <w:p>
            <w:pPr>
              <w:pStyle w:val="25"/>
              <w:spacing w:after="0" w:line="340" w:lineRule="exact"/>
              <w:jc w:val="center"/>
              <w:rPr>
                <w:rFonts w:ascii="宋体" w:hAnsi="宋体" w:cs="宋体"/>
                <w:sz w:val="24"/>
                <w:szCs w:val="24"/>
              </w:rPr>
            </w:pPr>
          </w:p>
        </w:tc>
        <w:tc>
          <w:tcPr>
            <w:tcW w:w="2552" w:type="dxa"/>
            <w:vAlign w:val="center"/>
          </w:tcPr>
          <w:p>
            <w:pPr>
              <w:pStyle w:val="25"/>
              <w:spacing w:after="0" w:line="340" w:lineRule="exact"/>
              <w:jc w:val="center"/>
              <w:rPr>
                <w:rFonts w:ascii="宋体" w:hAnsi="宋体" w:cs="宋体"/>
                <w:sz w:val="24"/>
                <w:szCs w:val="24"/>
              </w:rPr>
            </w:pPr>
            <w:r>
              <w:rPr>
                <w:rFonts w:hint="eastAsia" w:ascii="宋体" w:hAnsi="宋体" w:cs="宋体"/>
                <w:sz w:val="24"/>
                <w:szCs w:val="24"/>
              </w:rPr>
              <w:t>产品质量及保证措施（5分）</w:t>
            </w:r>
          </w:p>
        </w:tc>
        <w:tc>
          <w:tcPr>
            <w:tcW w:w="5199" w:type="dxa"/>
            <w:vAlign w:val="center"/>
          </w:tcPr>
          <w:p>
            <w:pPr>
              <w:pStyle w:val="25"/>
              <w:spacing w:after="0" w:line="340" w:lineRule="exact"/>
              <w:rPr>
                <w:rFonts w:ascii="宋体" w:hAnsi="宋体" w:cs="宋体"/>
                <w:sz w:val="24"/>
                <w:szCs w:val="24"/>
              </w:rPr>
            </w:pPr>
            <w:r>
              <w:rPr>
                <w:rFonts w:hint="eastAsia" w:ascii="宋体" w:hAnsi="宋体" w:cs="宋体"/>
                <w:sz w:val="24"/>
                <w:szCs w:val="24"/>
              </w:rPr>
              <w:t>提供的产品质量、性能稳定可靠，且有完善的生产保证措施及质量保证体系的酌情得1-5分。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 w:hRule="atLeast"/>
        </w:trPr>
        <w:tc>
          <w:tcPr>
            <w:tcW w:w="750" w:type="dxa"/>
            <w:vMerge w:val="continue"/>
            <w:vAlign w:val="center"/>
          </w:tcPr>
          <w:p>
            <w:pPr>
              <w:spacing w:line="340" w:lineRule="exact"/>
              <w:jc w:val="center"/>
              <w:rPr>
                <w:rFonts w:ascii="宋体" w:hAnsi="宋体" w:cs="Calibri"/>
                <w:bCs/>
                <w:sz w:val="24"/>
                <w:szCs w:val="24"/>
              </w:rPr>
            </w:pPr>
          </w:p>
        </w:tc>
        <w:tc>
          <w:tcPr>
            <w:tcW w:w="1059" w:type="dxa"/>
            <w:vMerge w:val="continue"/>
            <w:vAlign w:val="center"/>
          </w:tcPr>
          <w:p>
            <w:pPr>
              <w:pStyle w:val="25"/>
              <w:spacing w:after="0" w:line="340" w:lineRule="exact"/>
              <w:jc w:val="center"/>
              <w:rPr>
                <w:rFonts w:ascii="宋体" w:hAnsi="宋体" w:cs="宋体"/>
                <w:sz w:val="24"/>
                <w:szCs w:val="24"/>
              </w:rPr>
            </w:pPr>
          </w:p>
        </w:tc>
        <w:tc>
          <w:tcPr>
            <w:tcW w:w="2552" w:type="dxa"/>
            <w:vAlign w:val="center"/>
          </w:tcPr>
          <w:p>
            <w:pPr>
              <w:pStyle w:val="25"/>
              <w:spacing w:after="0" w:line="340" w:lineRule="exact"/>
              <w:jc w:val="center"/>
              <w:rPr>
                <w:rFonts w:ascii="宋体" w:hAnsi="宋体" w:cs="宋体"/>
                <w:sz w:val="24"/>
                <w:szCs w:val="24"/>
              </w:rPr>
            </w:pPr>
            <w:r>
              <w:rPr>
                <w:rFonts w:hint="eastAsia" w:ascii="宋体" w:hAnsi="宋体" w:cs="宋体"/>
                <w:sz w:val="24"/>
                <w:szCs w:val="24"/>
              </w:rPr>
              <w:t>供货周期（10分）</w:t>
            </w:r>
          </w:p>
        </w:tc>
        <w:tc>
          <w:tcPr>
            <w:tcW w:w="5199" w:type="dxa"/>
            <w:vAlign w:val="center"/>
          </w:tcPr>
          <w:p>
            <w:pPr>
              <w:pStyle w:val="25"/>
              <w:spacing w:after="0" w:line="340" w:lineRule="exact"/>
              <w:rPr>
                <w:rFonts w:ascii="宋体" w:hAnsi="宋体" w:cs="宋体"/>
                <w:sz w:val="24"/>
                <w:szCs w:val="24"/>
              </w:rPr>
            </w:pPr>
            <w:r>
              <w:rPr>
                <w:rFonts w:hint="eastAsia" w:ascii="宋体" w:hAnsi="宋体" w:cs="宋体"/>
                <w:sz w:val="24"/>
                <w:szCs w:val="24"/>
              </w:rPr>
              <w:t>响应供货期基本要求得基本分7分；</w:t>
            </w:r>
          </w:p>
          <w:p>
            <w:pPr>
              <w:pStyle w:val="25"/>
              <w:spacing w:after="0" w:line="340" w:lineRule="exact"/>
              <w:rPr>
                <w:rFonts w:ascii="宋体" w:hAnsi="宋体" w:cs="宋体"/>
                <w:sz w:val="24"/>
                <w:szCs w:val="24"/>
              </w:rPr>
            </w:pPr>
            <w:r>
              <w:rPr>
                <w:rFonts w:hint="eastAsia" w:ascii="宋体" w:hAnsi="宋体" w:cs="宋体"/>
                <w:sz w:val="24"/>
                <w:szCs w:val="24"/>
              </w:rPr>
              <w:t>能提供详细的供货计划或生产加工计划，有详细的确保满足供货期基本要求或能在保证质量的前提下提前交货措施的说明及证明材料，根据实际情况酌情得1-3分；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 w:hRule="atLeast"/>
        </w:trPr>
        <w:tc>
          <w:tcPr>
            <w:tcW w:w="750" w:type="dxa"/>
            <w:vMerge w:val="continue"/>
            <w:vAlign w:val="center"/>
          </w:tcPr>
          <w:p>
            <w:pPr>
              <w:spacing w:line="340" w:lineRule="exact"/>
              <w:jc w:val="center"/>
              <w:rPr>
                <w:rFonts w:ascii="宋体" w:hAnsi="宋体" w:cs="Calibri"/>
                <w:bCs/>
                <w:sz w:val="24"/>
                <w:szCs w:val="24"/>
              </w:rPr>
            </w:pPr>
          </w:p>
        </w:tc>
        <w:tc>
          <w:tcPr>
            <w:tcW w:w="1059" w:type="dxa"/>
            <w:vMerge w:val="continue"/>
            <w:vAlign w:val="center"/>
          </w:tcPr>
          <w:p>
            <w:pPr>
              <w:pStyle w:val="25"/>
              <w:spacing w:after="0" w:line="340" w:lineRule="exact"/>
              <w:jc w:val="center"/>
              <w:rPr>
                <w:rFonts w:ascii="宋体" w:hAnsi="宋体" w:cs="宋体"/>
                <w:sz w:val="24"/>
                <w:szCs w:val="24"/>
              </w:rPr>
            </w:pPr>
          </w:p>
        </w:tc>
        <w:tc>
          <w:tcPr>
            <w:tcW w:w="2552" w:type="dxa"/>
            <w:vAlign w:val="center"/>
          </w:tcPr>
          <w:p>
            <w:pPr>
              <w:pStyle w:val="25"/>
              <w:spacing w:after="0" w:line="340" w:lineRule="exact"/>
              <w:jc w:val="center"/>
              <w:rPr>
                <w:rFonts w:ascii="宋体" w:hAnsi="宋体" w:cs="宋体"/>
                <w:sz w:val="24"/>
                <w:szCs w:val="24"/>
              </w:rPr>
            </w:pPr>
            <w:r>
              <w:rPr>
                <w:rFonts w:hint="eastAsia" w:ascii="宋体" w:hAnsi="宋体" w:cs="宋体"/>
                <w:sz w:val="24"/>
                <w:szCs w:val="24"/>
              </w:rPr>
              <w:t>质保期及售后服务</w:t>
            </w:r>
          </w:p>
          <w:p>
            <w:pPr>
              <w:pStyle w:val="25"/>
              <w:spacing w:after="0" w:line="340" w:lineRule="exact"/>
              <w:jc w:val="center"/>
              <w:rPr>
                <w:rFonts w:ascii="宋体" w:hAnsi="宋体" w:cs="宋体"/>
                <w:sz w:val="24"/>
                <w:szCs w:val="24"/>
              </w:rPr>
            </w:pPr>
            <w:r>
              <w:rPr>
                <w:rFonts w:hint="eastAsia" w:ascii="宋体" w:hAnsi="宋体" w:cs="宋体"/>
                <w:sz w:val="24"/>
                <w:szCs w:val="24"/>
              </w:rPr>
              <w:t>（5分）</w:t>
            </w:r>
          </w:p>
        </w:tc>
        <w:tc>
          <w:tcPr>
            <w:tcW w:w="5199" w:type="dxa"/>
            <w:vAlign w:val="center"/>
          </w:tcPr>
          <w:p>
            <w:pPr>
              <w:pStyle w:val="25"/>
              <w:spacing w:after="0" w:line="340" w:lineRule="exact"/>
              <w:rPr>
                <w:rFonts w:ascii="宋体" w:hAnsi="宋体" w:cs="宋体"/>
                <w:sz w:val="24"/>
                <w:szCs w:val="24"/>
              </w:rPr>
            </w:pPr>
            <w:r>
              <w:rPr>
                <w:rFonts w:hint="eastAsia" w:ascii="宋体" w:hAnsi="宋体" w:cs="宋体"/>
                <w:sz w:val="24"/>
                <w:szCs w:val="24"/>
              </w:rPr>
              <w:t>质保期满足或优于招标文件要求，售后服务措施得当，体系完整，项目所在地有相应的的售后服务能力酌情得1-5分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 w:hRule="atLeast"/>
        </w:trPr>
        <w:tc>
          <w:tcPr>
            <w:tcW w:w="750" w:type="dxa"/>
            <w:vAlign w:val="center"/>
          </w:tcPr>
          <w:p>
            <w:pPr>
              <w:spacing w:line="340" w:lineRule="exact"/>
              <w:jc w:val="center"/>
              <w:rPr>
                <w:rFonts w:ascii="宋体" w:hAnsi="宋体" w:cs="Calibri"/>
                <w:bCs/>
                <w:sz w:val="24"/>
                <w:szCs w:val="24"/>
              </w:rPr>
            </w:pPr>
            <w:r>
              <w:rPr>
                <w:rFonts w:hint="eastAsia" w:ascii="宋体" w:hAnsi="宋体" w:cs="Calibri"/>
                <w:bCs/>
                <w:sz w:val="24"/>
                <w:szCs w:val="24"/>
              </w:rPr>
              <w:t>2</w:t>
            </w:r>
          </w:p>
        </w:tc>
        <w:tc>
          <w:tcPr>
            <w:tcW w:w="1059" w:type="dxa"/>
            <w:vAlign w:val="center"/>
          </w:tcPr>
          <w:p>
            <w:pPr>
              <w:pStyle w:val="25"/>
              <w:spacing w:after="0" w:line="340" w:lineRule="exact"/>
              <w:jc w:val="center"/>
              <w:rPr>
                <w:rFonts w:ascii="宋体" w:hAnsi="宋体" w:cs="宋体"/>
                <w:sz w:val="24"/>
                <w:szCs w:val="24"/>
              </w:rPr>
            </w:pPr>
            <w:r>
              <w:rPr>
                <w:rFonts w:hint="eastAsia" w:ascii="宋体" w:hAnsi="宋体" w:cs="宋体"/>
                <w:sz w:val="24"/>
                <w:szCs w:val="24"/>
              </w:rPr>
              <w:t>商务标（</w:t>
            </w:r>
            <w:r>
              <w:rPr>
                <w:rFonts w:hint="eastAsia" w:ascii="宋体" w:hAnsi="宋体" w:cs="宋体"/>
                <w:sz w:val="24"/>
                <w:szCs w:val="24"/>
                <w:lang w:val="en-US" w:eastAsia="zh-CN"/>
              </w:rPr>
              <w:t>6</w:t>
            </w:r>
            <w:r>
              <w:rPr>
                <w:rFonts w:hint="eastAsia" w:ascii="宋体" w:hAnsi="宋体" w:cs="宋体"/>
                <w:sz w:val="24"/>
                <w:szCs w:val="24"/>
              </w:rPr>
              <w:t>0分）</w:t>
            </w:r>
          </w:p>
        </w:tc>
        <w:tc>
          <w:tcPr>
            <w:tcW w:w="7751" w:type="dxa"/>
            <w:gridSpan w:val="2"/>
            <w:vAlign w:val="center"/>
          </w:tcPr>
          <w:p>
            <w:pPr>
              <w:pStyle w:val="25"/>
              <w:spacing w:after="0" w:line="340" w:lineRule="exact"/>
              <w:rPr>
                <w:rFonts w:ascii="宋体" w:hAnsi="宋体" w:cs="宋体"/>
                <w:sz w:val="24"/>
                <w:szCs w:val="24"/>
              </w:rPr>
            </w:pPr>
            <w:r>
              <w:rPr>
                <w:rFonts w:hint="eastAsia" w:ascii="宋体" w:hAnsi="宋体" w:cs="宋体"/>
                <w:sz w:val="24"/>
                <w:szCs w:val="24"/>
              </w:rPr>
              <w:t>1.经初审合格的投标文件其投标报价为有效报价。满足招标文件要求且投标报价最低的投标报价为评标基准价，其价格分得满分（标准分）。</w:t>
            </w:r>
            <w:r>
              <w:rPr>
                <w:rFonts w:hint="eastAsia" w:ascii="宋体" w:hAnsi="宋体" w:cs="宋体"/>
                <w:sz w:val="24"/>
                <w:szCs w:val="24"/>
              </w:rPr>
              <w:br w:type="textWrapping"/>
            </w:r>
            <w:r>
              <w:rPr>
                <w:rFonts w:hint="eastAsia" w:ascii="宋体" w:hAnsi="宋体" w:cs="宋体"/>
                <w:sz w:val="24"/>
                <w:szCs w:val="24"/>
              </w:rPr>
              <w:t>2.其他投标方的价格得分统一按照下列公式计算：投标报价得分=(评标基准价／投标报价)×</w:t>
            </w:r>
            <w:r>
              <w:rPr>
                <w:rFonts w:hint="eastAsia" w:ascii="宋体" w:hAnsi="宋体" w:cs="宋体"/>
                <w:sz w:val="24"/>
                <w:szCs w:val="24"/>
                <w:lang w:val="en-US" w:eastAsia="zh-CN"/>
              </w:rPr>
              <w:t>60</w:t>
            </w:r>
            <w:r>
              <w:rPr>
                <w:rFonts w:hint="eastAsia" w:ascii="宋体" w:hAnsi="宋体" w:cs="宋体"/>
                <w:sz w:val="24"/>
                <w:szCs w:val="24"/>
              </w:rPr>
              <w:br w:type="textWrapping"/>
            </w:r>
            <w:r>
              <w:rPr>
                <w:rFonts w:hint="eastAsia" w:ascii="宋体" w:hAnsi="宋体" w:cs="宋体"/>
                <w:sz w:val="24"/>
                <w:szCs w:val="24"/>
              </w:rPr>
              <w:t>3.百分率、得分值小数点后保留二位，第三位四舍五入。</w:t>
            </w:r>
          </w:p>
        </w:tc>
      </w:tr>
    </w:tbl>
    <w:p>
      <w:pPr>
        <w:spacing w:line="360" w:lineRule="auto"/>
        <w:rPr>
          <w:rFonts w:ascii="宋体" w:hAnsi="宋体"/>
          <w:b/>
          <w:sz w:val="30"/>
          <w:szCs w:val="30"/>
        </w:rPr>
      </w:pPr>
      <w:r>
        <w:rPr>
          <w:rFonts w:hint="eastAsia" w:ascii="宋体" w:hAnsi="宋体"/>
          <w:b/>
          <w:sz w:val="30"/>
          <w:szCs w:val="30"/>
        </w:rPr>
        <w:t>评分细则：</w:t>
      </w:r>
    </w:p>
    <w:p>
      <w:pPr>
        <w:spacing w:line="360" w:lineRule="auto"/>
        <w:ind w:firstLine="116" w:firstLineChars="48"/>
        <w:rPr>
          <w:rFonts w:ascii="宋体" w:hAnsi="宋体"/>
          <w:bCs/>
          <w:sz w:val="24"/>
          <w:szCs w:val="24"/>
        </w:rPr>
      </w:pPr>
      <w:r>
        <w:rPr>
          <w:rFonts w:hint="eastAsia" w:ascii="宋体" w:hAnsi="宋体"/>
          <w:b/>
          <w:bCs/>
          <w:sz w:val="24"/>
          <w:szCs w:val="24"/>
        </w:rPr>
        <w:t xml:space="preserve">注： </w:t>
      </w:r>
      <w:r>
        <w:rPr>
          <w:rFonts w:hint="eastAsia" w:ascii="宋体" w:hAnsi="宋体"/>
          <w:bCs/>
          <w:sz w:val="24"/>
          <w:szCs w:val="24"/>
        </w:rPr>
        <w:t xml:space="preserve"> 1）</w:t>
      </w:r>
      <w:r>
        <w:rPr>
          <w:rFonts w:hint="eastAsia" w:ascii="宋体" w:hAnsi="宋体" w:cs="宋体"/>
          <w:kern w:val="0"/>
          <w:sz w:val="24"/>
        </w:rPr>
        <w:t>投标方综合评审得分取所有评委对该投标方计分的算术平均值。</w:t>
      </w:r>
    </w:p>
    <w:p>
      <w:pPr>
        <w:tabs>
          <w:tab w:val="left" w:pos="4111"/>
        </w:tabs>
        <w:spacing w:line="360" w:lineRule="auto"/>
        <w:ind w:firstLine="191"/>
        <w:rPr>
          <w:rFonts w:ascii="宋体" w:hAnsi="宋体"/>
          <w:sz w:val="24"/>
          <w:szCs w:val="24"/>
        </w:rPr>
      </w:pPr>
      <w:r>
        <w:rPr>
          <w:rFonts w:hint="eastAsia" w:ascii="宋体" w:hAnsi="宋体"/>
          <w:sz w:val="24"/>
          <w:szCs w:val="24"/>
        </w:rPr>
        <w:t xml:space="preserve">1、投标文件有下列情形之一的，由评标委员会按不响应招标文件或无效投标处理： </w:t>
      </w:r>
    </w:p>
    <w:p>
      <w:pPr>
        <w:spacing w:line="360" w:lineRule="auto"/>
        <w:ind w:firstLine="480" w:firstLineChars="200"/>
        <w:rPr>
          <w:rFonts w:ascii="宋体" w:hAnsi="宋体"/>
          <w:sz w:val="24"/>
          <w:szCs w:val="24"/>
        </w:rPr>
      </w:pPr>
      <w:r>
        <w:rPr>
          <w:rFonts w:hint="eastAsia" w:ascii="宋体" w:hAnsi="宋体"/>
          <w:sz w:val="24"/>
          <w:szCs w:val="24"/>
        </w:rPr>
        <w:t>1）样品不满足招标文件规定的；</w:t>
      </w:r>
    </w:p>
    <w:p>
      <w:pPr>
        <w:spacing w:line="360" w:lineRule="auto"/>
        <w:ind w:firstLine="480" w:firstLineChars="200"/>
        <w:rPr>
          <w:rFonts w:ascii="宋体" w:hAnsi="宋体"/>
          <w:sz w:val="24"/>
          <w:szCs w:val="24"/>
        </w:rPr>
      </w:pPr>
      <w:r>
        <w:rPr>
          <w:rFonts w:hint="eastAsia" w:ascii="宋体" w:hAnsi="宋体"/>
          <w:sz w:val="24"/>
          <w:szCs w:val="24"/>
        </w:rPr>
        <w:t>2）无投标方盖章或无法定代表人或法定代表人授权的委托代理人签字或盖章的；</w:t>
      </w:r>
    </w:p>
    <w:p>
      <w:pPr>
        <w:spacing w:line="360" w:lineRule="auto"/>
        <w:ind w:firstLine="480" w:firstLineChars="200"/>
        <w:rPr>
          <w:rFonts w:ascii="宋体" w:hAnsi="宋体"/>
          <w:sz w:val="24"/>
          <w:szCs w:val="24"/>
        </w:rPr>
      </w:pPr>
      <w:r>
        <w:rPr>
          <w:rFonts w:hint="eastAsia" w:ascii="宋体" w:hAnsi="宋体"/>
          <w:sz w:val="24"/>
          <w:szCs w:val="24"/>
        </w:rPr>
        <w:t>3）未按规定格式密封或填写，内容不全或者关键内容字迹模糊，无法辨认的；</w:t>
      </w:r>
    </w:p>
    <w:p>
      <w:pPr>
        <w:spacing w:line="360" w:lineRule="auto"/>
        <w:ind w:firstLine="480" w:firstLineChars="200"/>
        <w:rPr>
          <w:rFonts w:ascii="宋体" w:hAnsi="宋体"/>
          <w:sz w:val="24"/>
          <w:szCs w:val="24"/>
        </w:rPr>
      </w:pPr>
      <w:r>
        <w:rPr>
          <w:rFonts w:hint="eastAsia" w:ascii="宋体" w:hAnsi="宋体"/>
          <w:sz w:val="24"/>
          <w:szCs w:val="24"/>
        </w:rPr>
        <w:t>4）投标方递交两份或多份内容不同的报价文件，或者在一份报价文件中对同一采购项目报有两个或多个报价，且未声明哪一个有效，按招标文件规定提交备选方案的除外；</w:t>
      </w:r>
    </w:p>
    <w:p>
      <w:pPr>
        <w:spacing w:line="360" w:lineRule="auto"/>
        <w:ind w:firstLine="480" w:firstLineChars="200"/>
        <w:rPr>
          <w:rFonts w:ascii="宋体" w:hAnsi="宋体"/>
          <w:sz w:val="24"/>
          <w:szCs w:val="24"/>
        </w:rPr>
      </w:pPr>
      <w:r>
        <w:rPr>
          <w:rFonts w:hint="eastAsia" w:ascii="宋体" w:hAnsi="宋体"/>
          <w:sz w:val="24"/>
          <w:szCs w:val="24"/>
        </w:rPr>
        <w:t>5）投标方名称或组织结构与资格审查不一致的；</w:t>
      </w:r>
    </w:p>
    <w:p>
      <w:pPr>
        <w:spacing w:line="360" w:lineRule="auto"/>
        <w:ind w:firstLine="480" w:firstLineChars="200"/>
        <w:rPr>
          <w:rFonts w:ascii="宋体" w:hAnsi="宋体"/>
          <w:sz w:val="24"/>
          <w:szCs w:val="24"/>
        </w:rPr>
      </w:pPr>
      <w:r>
        <w:rPr>
          <w:rFonts w:hint="eastAsia" w:ascii="宋体" w:hAnsi="宋体"/>
          <w:sz w:val="24"/>
          <w:szCs w:val="24"/>
        </w:rPr>
        <w:t>6）不同投标方的投标文件内容存在非正常一致的；</w:t>
      </w:r>
    </w:p>
    <w:p>
      <w:pPr>
        <w:spacing w:line="360" w:lineRule="auto"/>
        <w:ind w:firstLine="480" w:firstLineChars="200"/>
        <w:rPr>
          <w:rFonts w:ascii="宋体" w:hAnsi="宋体"/>
          <w:sz w:val="24"/>
          <w:szCs w:val="24"/>
        </w:rPr>
      </w:pPr>
      <w:r>
        <w:rPr>
          <w:rFonts w:hint="eastAsia" w:ascii="宋体" w:hAnsi="宋体"/>
          <w:sz w:val="24"/>
          <w:szCs w:val="24"/>
        </w:rPr>
        <w:t>7）不同投标方的投标文件相互混装的；</w:t>
      </w:r>
    </w:p>
    <w:p>
      <w:pPr>
        <w:spacing w:line="360" w:lineRule="auto"/>
        <w:ind w:firstLine="480" w:firstLineChars="200"/>
        <w:rPr>
          <w:rFonts w:ascii="宋体" w:hAnsi="宋体"/>
          <w:sz w:val="24"/>
          <w:szCs w:val="24"/>
        </w:rPr>
      </w:pPr>
      <w:r>
        <w:rPr>
          <w:rFonts w:hint="eastAsia" w:ascii="宋体" w:hAnsi="宋体"/>
          <w:sz w:val="24"/>
          <w:szCs w:val="24"/>
        </w:rPr>
        <w:t>8）不同投标方委托同一人投标的；</w:t>
      </w:r>
    </w:p>
    <w:p>
      <w:pPr>
        <w:spacing w:line="360" w:lineRule="auto"/>
        <w:ind w:firstLine="480" w:firstLineChars="200"/>
        <w:rPr>
          <w:rFonts w:ascii="宋体" w:hAnsi="宋体"/>
          <w:sz w:val="24"/>
          <w:szCs w:val="24"/>
        </w:rPr>
      </w:pPr>
      <w:r>
        <w:rPr>
          <w:rFonts w:hint="eastAsia" w:ascii="宋体" w:hAnsi="宋体"/>
          <w:sz w:val="24"/>
          <w:szCs w:val="24"/>
        </w:rPr>
        <w:t>9）不同投标方使用同一个人或者企业资金交纳投标保证金的；</w:t>
      </w:r>
    </w:p>
    <w:p>
      <w:pPr>
        <w:spacing w:line="360" w:lineRule="auto"/>
        <w:ind w:firstLine="480" w:firstLineChars="200"/>
        <w:rPr>
          <w:rFonts w:ascii="宋体" w:hAnsi="宋体"/>
          <w:sz w:val="24"/>
          <w:szCs w:val="24"/>
        </w:rPr>
      </w:pPr>
      <w:r>
        <w:rPr>
          <w:rFonts w:hint="eastAsia" w:ascii="宋体" w:hAnsi="宋体"/>
          <w:sz w:val="24"/>
          <w:szCs w:val="24"/>
        </w:rPr>
        <w:t>10）不响应招标文件供货时间、质量要求、质保期等实质性内容的；</w:t>
      </w:r>
    </w:p>
    <w:p>
      <w:pPr>
        <w:spacing w:line="360" w:lineRule="auto"/>
        <w:ind w:firstLine="480" w:firstLineChars="200"/>
        <w:rPr>
          <w:rFonts w:ascii="宋体" w:hAnsi="宋体"/>
          <w:sz w:val="24"/>
          <w:szCs w:val="24"/>
        </w:rPr>
      </w:pPr>
      <w:r>
        <w:rPr>
          <w:rFonts w:hint="eastAsia" w:ascii="宋体" w:hAnsi="宋体"/>
          <w:sz w:val="24"/>
          <w:szCs w:val="24"/>
        </w:rPr>
        <w:t xml:space="preserve">11) 提供虚假材料谋取中标的； </w:t>
      </w:r>
    </w:p>
    <w:p>
      <w:pPr>
        <w:spacing w:line="360" w:lineRule="auto"/>
        <w:ind w:firstLine="480" w:firstLineChars="200"/>
      </w:pPr>
      <w:r>
        <w:rPr>
          <w:rFonts w:hint="eastAsia" w:ascii="宋体" w:hAnsi="宋体"/>
          <w:sz w:val="24"/>
          <w:szCs w:val="24"/>
        </w:rPr>
        <w:t>12）其他任何有企图影响招标结果公正性的活动。</w:t>
      </w:r>
    </w:p>
    <w:p>
      <w:pPr>
        <w:pStyle w:val="2"/>
        <w:rPr>
          <w:rFonts w:ascii="宋体" w:hAnsi="宋体"/>
        </w:rPr>
        <w:sectPr>
          <w:footerReference r:id="rId5" w:type="first"/>
          <w:headerReference r:id="rId3" w:type="default"/>
          <w:footerReference r:id="rId4" w:type="default"/>
          <w:pgSz w:w="11907" w:h="16840"/>
          <w:pgMar w:top="1702" w:right="1275" w:bottom="1418" w:left="1418" w:header="851" w:footer="822" w:gutter="0"/>
          <w:cols w:space="720" w:num="1"/>
          <w:docGrid w:linePitch="290" w:charSpace="-3931"/>
        </w:sectPr>
      </w:pPr>
    </w:p>
    <w:bookmarkEnd w:id="90"/>
    <w:bookmarkEnd w:id="91"/>
    <w:p>
      <w:pPr>
        <w:pStyle w:val="2"/>
        <w:rPr>
          <w:rFonts w:ascii="宋体" w:hAnsi="宋体"/>
        </w:rPr>
      </w:pPr>
      <w:bookmarkStart w:id="95" w:name="_Toc24"/>
      <w:bookmarkStart w:id="96" w:name="_Toc22085"/>
      <w:bookmarkStart w:id="97" w:name="_Toc9637"/>
      <w:bookmarkStart w:id="98" w:name="_Toc49845975"/>
      <w:bookmarkStart w:id="99" w:name="_Toc27758105"/>
      <w:bookmarkStart w:id="100" w:name="_Toc445655500"/>
      <w:bookmarkStart w:id="101" w:name="_Toc26806107"/>
      <w:bookmarkStart w:id="102" w:name="_Toc26357123"/>
      <w:bookmarkStart w:id="103" w:name="_Toc27758112"/>
      <w:bookmarkStart w:id="104" w:name="_Toc518655787"/>
      <w:bookmarkStart w:id="105" w:name="_Toc31019"/>
      <w:r>
        <w:rPr>
          <w:rFonts w:hint="eastAsia" w:ascii="宋体" w:hAnsi="宋体"/>
        </w:rPr>
        <w:t>第四章  技术规格及技术要求</w:t>
      </w:r>
      <w:bookmarkEnd w:id="95"/>
      <w:bookmarkEnd w:id="96"/>
      <w:bookmarkEnd w:id="97"/>
    </w:p>
    <w:bookmarkEnd w:id="98"/>
    <w:bookmarkEnd w:id="99"/>
    <w:p>
      <w:pPr>
        <w:pStyle w:val="3"/>
      </w:pPr>
      <w:bookmarkStart w:id="106" w:name="_Toc2710"/>
      <w:bookmarkStart w:id="107" w:name="_Toc7145"/>
      <w:r>
        <w:rPr>
          <w:rFonts w:hint="eastAsia"/>
        </w:rPr>
        <w:t>一、标的物用途</w:t>
      </w:r>
      <w:bookmarkEnd w:id="106"/>
      <w:bookmarkEnd w:id="107"/>
    </w:p>
    <w:p>
      <w:pPr>
        <w:spacing w:line="360" w:lineRule="auto"/>
        <w:ind w:firstLine="480" w:firstLineChars="200"/>
      </w:pPr>
      <w:r>
        <w:rPr>
          <w:rFonts w:hint="eastAsia" w:asciiTheme="minorEastAsia" w:hAnsiTheme="minorEastAsia"/>
          <w:sz w:val="24"/>
          <w:szCs w:val="24"/>
        </w:rPr>
        <w:t>标的物适用于招标方所有皮卡车型后窗玻璃的涂胶、安装等。</w:t>
      </w:r>
    </w:p>
    <w:p>
      <w:pPr>
        <w:pStyle w:val="3"/>
      </w:pPr>
      <w:bookmarkStart w:id="108" w:name="_Toc18992"/>
      <w:bookmarkStart w:id="109" w:name="_Toc1575"/>
      <w:r>
        <w:rPr>
          <w:rFonts w:hint="eastAsia"/>
        </w:rPr>
        <w:t>二、标的物使用环境</w:t>
      </w:r>
      <w:bookmarkEnd w:id="108"/>
      <w:bookmarkEnd w:id="109"/>
    </w:p>
    <w:p>
      <w:pPr>
        <w:spacing w:line="360" w:lineRule="auto"/>
        <w:ind w:firstLine="480" w:firstLineChars="200"/>
        <w:rPr>
          <w:rFonts w:ascii="宋体" w:hAnsi="宋体"/>
          <w:bCs/>
          <w:sz w:val="24"/>
          <w:szCs w:val="24"/>
        </w:rPr>
      </w:pPr>
      <w:r>
        <w:rPr>
          <w:rFonts w:hint="eastAsia" w:ascii="宋体" w:hAnsi="宋体"/>
          <w:bCs/>
          <w:sz w:val="24"/>
          <w:szCs w:val="24"/>
        </w:rPr>
        <w:t>1.项目名称：</w:t>
      </w:r>
      <w:r>
        <w:rPr>
          <w:rFonts w:hint="eastAsia" w:ascii="宋体" w:hAnsi="宋体"/>
          <w:bCs/>
          <w:sz w:val="24"/>
        </w:rPr>
        <w:t>后窗简易涂胶机</w:t>
      </w:r>
      <w:r>
        <w:rPr>
          <w:rFonts w:hint="eastAsia" w:ascii="宋体" w:hAnsi="宋体"/>
          <w:bCs/>
          <w:sz w:val="24"/>
          <w:szCs w:val="24"/>
        </w:rPr>
        <w:t>项目</w:t>
      </w:r>
    </w:p>
    <w:p>
      <w:pPr>
        <w:spacing w:line="360" w:lineRule="auto"/>
        <w:ind w:firstLine="480" w:firstLineChars="200"/>
        <w:rPr>
          <w:rFonts w:ascii="宋体" w:hAnsi="宋体"/>
          <w:bCs/>
          <w:sz w:val="24"/>
          <w:szCs w:val="24"/>
        </w:rPr>
      </w:pPr>
      <w:r>
        <w:rPr>
          <w:rFonts w:hint="eastAsia" w:ascii="宋体" w:hAnsi="宋体"/>
          <w:bCs/>
          <w:sz w:val="24"/>
          <w:szCs w:val="24"/>
        </w:rPr>
        <w:t>2.</w:t>
      </w:r>
      <w:r>
        <w:rPr>
          <w:rFonts w:hint="eastAsia"/>
          <w:sz w:val="24"/>
          <w:szCs w:val="24"/>
        </w:rPr>
        <w:t>产能规划：</w:t>
      </w:r>
      <w:r>
        <w:rPr>
          <w:rFonts w:hint="eastAsia" w:ascii="宋体" w:hAnsi="宋体"/>
          <w:bCs/>
          <w:sz w:val="24"/>
          <w:szCs w:val="24"/>
        </w:rPr>
        <w:t>皮卡10万辆/年</w:t>
      </w:r>
    </w:p>
    <w:p>
      <w:pPr>
        <w:spacing w:line="360" w:lineRule="auto"/>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w:t>
      </w:r>
      <w:r>
        <w:rPr>
          <w:rFonts w:hint="eastAsia" w:ascii="宋体" w:hAnsi="宋体"/>
          <w:bCs/>
          <w:sz w:val="24"/>
          <w:szCs w:val="24"/>
        </w:rPr>
        <w:t>工作地点：山东济南</w:t>
      </w:r>
    </w:p>
    <w:p>
      <w:pPr>
        <w:spacing w:line="360" w:lineRule="auto"/>
        <w:ind w:firstLine="480" w:firstLineChars="200"/>
        <w:jc w:val="left"/>
        <w:rPr>
          <w:rFonts w:ascii="宋体" w:hAnsi="宋体"/>
          <w:sz w:val="24"/>
          <w:szCs w:val="24"/>
        </w:rPr>
      </w:pPr>
      <w:r>
        <w:rPr>
          <w:rFonts w:hint="eastAsia" w:ascii="宋体" w:hAnsi="宋体"/>
          <w:bCs/>
          <w:sz w:val="24"/>
          <w:szCs w:val="24"/>
        </w:rPr>
        <w:t>4</w:t>
      </w:r>
      <w:r>
        <w:rPr>
          <w:rFonts w:ascii="宋体" w:hAnsi="宋体"/>
          <w:bCs/>
          <w:sz w:val="24"/>
          <w:szCs w:val="24"/>
        </w:rPr>
        <w:t>.</w:t>
      </w:r>
      <w:r>
        <w:rPr>
          <w:rFonts w:hint="eastAsia" w:ascii="宋体" w:hAnsi="宋体"/>
          <w:bCs/>
          <w:sz w:val="24"/>
          <w:szCs w:val="24"/>
        </w:rPr>
        <w:t>工作制度：每班8小时，双班制，251天。极限工况：每班10小时，双班制，300天。</w:t>
      </w:r>
    </w:p>
    <w:p>
      <w:pPr>
        <w:spacing w:line="360" w:lineRule="auto"/>
        <w:ind w:firstLine="480"/>
        <w:rPr>
          <w:rFonts w:ascii="宋体" w:hAnsi="宋体"/>
          <w:sz w:val="24"/>
          <w:szCs w:val="24"/>
        </w:rPr>
      </w:pPr>
      <w:r>
        <w:rPr>
          <w:rFonts w:hint="eastAsia" w:ascii="宋体" w:hAnsi="宋体"/>
          <w:sz w:val="24"/>
          <w:szCs w:val="24"/>
        </w:rPr>
        <w:t>5.年时基数：设备年时基数6000小时</w:t>
      </w:r>
    </w:p>
    <w:p>
      <w:pPr>
        <w:spacing w:line="360" w:lineRule="auto"/>
        <w:ind w:firstLine="480" w:firstLineChars="200"/>
        <w:jc w:val="left"/>
        <w:rPr>
          <w:rFonts w:ascii="宋体" w:hAnsi="宋体"/>
          <w:bCs/>
          <w:sz w:val="24"/>
          <w:szCs w:val="24"/>
        </w:rPr>
      </w:pPr>
      <w:r>
        <w:rPr>
          <w:rFonts w:hint="eastAsia" w:ascii="宋体" w:hAnsi="宋体"/>
          <w:bCs/>
          <w:sz w:val="24"/>
          <w:szCs w:val="24"/>
        </w:rPr>
        <w:t>6</w:t>
      </w:r>
      <w:r>
        <w:rPr>
          <w:rFonts w:ascii="宋体" w:hAnsi="宋体"/>
          <w:bCs/>
          <w:sz w:val="24"/>
          <w:szCs w:val="24"/>
        </w:rPr>
        <w:t>.</w:t>
      </w:r>
      <w:r>
        <w:rPr>
          <w:rFonts w:hint="eastAsia" w:ascii="宋体" w:hAnsi="宋体"/>
          <w:bCs/>
          <w:sz w:val="24"/>
          <w:szCs w:val="24"/>
        </w:rPr>
        <w:t>使用地点区域自然环境：</w:t>
      </w:r>
    </w:p>
    <w:p>
      <w:pPr>
        <w:spacing w:line="360" w:lineRule="auto"/>
        <w:ind w:firstLine="480" w:firstLineChars="200"/>
        <w:jc w:val="left"/>
        <w:rPr>
          <w:rFonts w:ascii="宋体" w:hAnsi="宋体"/>
          <w:bCs/>
          <w:sz w:val="24"/>
          <w:szCs w:val="24"/>
        </w:rPr>
      </w:pPr>
      <w:r>
        <w:rPr>
          <w:rFonts w:hint="eastAsia" w:ascii="宋体" w:hAnsi="宋体"/>
          <w:bCs/>
          <w:sz w:val="24"/>
          <w:szCs w:val="24"/>
        </w:rPr>
        <w:t>6</w:t>
      </w:r>
      <w:r>
        <w:rPr>
          <w:rFonts w:ascii="宋体" w:hAnsi="宋体"/>
          <w:bCs/>
          <w:sz w:val="24"/>
          <w:szCs w:val="24"/>
        </w:rPr>
        <w:t>.1.</w:t>
      </w:r>
      <w:r>
        <w:rPr>
          <w:rFonts w:hint="eastAsia" w:ascii="宋体" w:hAnsi="宋体"/>
          <w:bCs/>
          <w:sz w:val="24"/>
          <w:szCs w:val="24"/>
        </w:rPr>
        <w:t>海拔高度：1000m以下</w:t>
      </w:r>
    </w:p>
    <w:p>
      <w:pPr>
        <w:spacing w:line="360" w:lineRule="auto"/>
        <w:ind w:firstLine="480" w:firstLineChars="200"/>
        <w:jc w:val="left"/>
        <w:rPr>
          <w:rFonts w:ascii="宋体" w:hAnsi="宋体"/>
          <w:bCs/>
          <w:sz w:val="24"/>
          <w:szCs w:val="24"/>
        </w:rPr>
      </w:pPr>
      <w:r>
        <w:rPr>
          <w:rFonts w:hint="eastAsia" w:ascii="宋体" w:hAnsi="宋体"/>
          <w:bCs/>
          <w:sz w:val="24"/>
          <w:szCs w:val="24"/>
        </w:rPr>
        <w:t>6</w:t>
      </w:r>
      <w:r>
        <w:rPr>
          <w:rFonts w:ascii="宋体" w:hAnsi="宋体"/>
          <w:bCs/>
          <w:sz w:val="24"/>
          <w:szCs w:val="24"/>
        </w:rPr>
        <w:t>.2.</w:t>
      </w:r>
      <w:r>
        <w:rPr>
          <w:rFonts w:hint="eastAsia" w:ascii="宋体" w:hAnsi="宋体"/>
          <w:bCs/>
          <w:sz w:val="24"/>
          <w:szCs w:val="24"/>
        </w:rPr>
        <w:t>室外温度：-20℃～40℃</w:t>
      </w:r>
    </w:p>
    <w:p>
      <w:pPr>
        <w:spacing w:line="360" w:lineRule="auto"/>
        <w:ind w:firstLine="480" w:firstLineChars="200"/>
        <w:jc w:val="left"/>
        <w:rPr>
          <w:rFonts w:ascii="宋体" w:hAnsi="宋体"/>
          <w:bCs/>
          <w:sz w:val="24"/>
          <w:szCs w:val="24"/>
        </w:rPr>
      </w:pPr>
      <w:r>
        <w:rPr>
          <w:rFonts w:hint="eastAsia" w:ascii="宋体" w:hAnsi="宋体"/>
          <w:bCs/>
          <w:sz w:val="24"/>
          <w:szCs w:val="24"/>
        </w:rPr>
        <w:t>6</w:t>
      </w:r>
      <w:r>
        <w:rPr>
          <w:rFonts w:ascii="宋体" w:hAnsi="宋体"/>
          <w:bCs/>
          <w:sz w:val="24"/>
          <w:szCs w:val="24"/>
        </w:rPr>
        <w:t>.3.</w:t>
      </w:r>
      <w:r>
        <w:rPr>
          <w:rFonts w:hint="eastAsia" w:ascii="宋体" w:hAnsi="宋体"/>
          <w:bCs/>
          <w:sz w:val="24"/>
          <w:szCs w:val="24"/>
        </w:rPr>
        <w:t>室内温度：-5℃～45℃</w:t>
      </w:r>
      <w:r>
        <w:rPr>
          <w:rFonts w:hint="eastAsia" w:ascii="宋体" w:hAnsi="宋体"/>
          <w:bCs/>
          <w:sz w:val="24"/>
          <w:szCs w:val="24"/>
        </w:rPr>
        <w:tab/>
      </w:r>
    </w:p>
    <w:p>
      <w:pPr>
        <w:spacing w:line="360" w:lineRule="auto"/>
        <w:ind w:firstLine="480" w:firstLineChars="200"/>
        <w:jc w:val="left"/>
        <w:rPr>
          <w:rFonts w:ascii="宋体" w:hAnsi="宋体"/>
          <w:bCs/>
          <w:sz w:val="24"/>
          <w:szCs w:val="24"/>
        </w:rPr>
      </w:pPr>
      <w:r>
        <w:rPr>
          <w:rFonts w:hint="eastAsia" w:ascii="宋体" w:hAnsi="宋体"/>
          <w:bCs/>
          <w:sz w:val="24"/>
          <w:szCs w:val="24"/>
        </w:rPr>
        <w:t>6</w:t>
      </w:r>
      <w:r>
        <w:rPr>
          <w:rFonts w:ascii="宋体" w:hAnsi="宋体"/>
          <w:bCs/>
          <w:sz w:val="24"/>
          <w:szCs w:val="24"/>
        </w:rPr>
        <w:t>.4.</w:t>
      </w:r>
      <w:r>
        <w:rPr>
          <w:rFonts w:hint="eastAsia" w:ascii="宋体" w:hAnsi="宋体"/>
          <w:bCs/>
          <w:sz w:val="24"/>
          <w:szCs w:val="24"/>
        </w:rPr>
        <w:t>环境湿度：在20℃时最大湿度为90%</w:t>
      </w:r>
    </w:p>
    <w:p>
      <w:pPr>
        <w:spacing w:line="360" w:lineRule="auto"/>
        <w:ind w:firstLine="480" w:firstLineChars="200"/>
        <w:jc w:val="left"/>
        <w:rPr>
          <w:rFonts w:ascii="宋体" w:hAnsi="宋体"/>
          <w:sz w:val="24"/>
          <w:szCs w:val="24"/>
        </w:rPr>
      </w:pPr>
      <w:r>
        <w:rPr>
          <w:rFonts w:hint="eastAsia" w:ascii="宋体" w:hAnsi="宋体"/>
          <w:bCs/>
          <w:sz w:val="24"/>
          <w:szCs w:val="24"/>
        </w:rPr>
        <w:t>7</w:t>
      </w:r>
      <w:r>
        <w:rPr>
          <w:rFonts w:ascii="宋体" w:hAnsi="宋体"/>
          <w:bCs/>
          <w:sz w:val="24"/>
          <w:szCs w:val="24"/>
        </w:rPr>
        <w:t>.</w:t>
      </w:r>
      <w:r>
        <w:rPr>
          <w:rFonts w:hint="eastAsia" w:ascii="宋体" w:hAnsi="宋体"/>
          <w:bCs/>
          <w:sz w:val="24"/>
          <w:szCs w:val="24"/>
        </w:rPr>
        <w:t>压缩空气压力：0.4～0.6Mpa</w:t>
      </w:r>
    </w:p>
    <w:p>
      <w:pPr>
        <w:spacing w:line="360" w:lineRule="auto"/>
        <w:ind w:firstLine="480" w:firstLineChars="200"/>
        <w:rPr>
          <w:rFonts w:ascii="宋体" w:hAnsi="宋体"/>
          <w:bCs/>
          <w:sz w:val="24"/>
          <w:szCs w:val="24"/>
        </w:rPr>
      </w:pPr>
      <w:r>
        <w:rPr>
          <w:rFonts w:hint="eastAsia" w:ascii="宋体" w:hAnsi="宋体"/>
          <w:bCs/>
          <w:sz w:val="24"/>
          <w:szCs w:val="24"/>
        </w:rPr>
        <w:t>8</w:t>
      </w:r>
      <w:r>
        <w:rPr>
          <w:rFonts w:ascii="宋体" w:hAnsi="宋体"/>
          <w:bCs/>
          <w:sz w:val="24"/>
          <w:szCs w:val="24"/>
        </w:rPr>
        <w:t>.</w:t>
      </w:r>
      <w:r>
        <w:rPr>
          <w:rFonts w:hint="eastAsia" w:ascii="宋体" w:hAnsi="宋体"/>
          <w:bCs/>
          <w:sz w:val="24"/>
          <w:szCs w:val="24"/>
        </w:rPr>
        <w:t>电源电压：</w:t>
      </w:r>
      <w:r>
        <w:rPr>
          <w:rFonts w:hint="eastAsia" w:asciiTheme="minorEastAsia" w:hAnsiTheme="minorEastAsia" w:cstheme="minorEastAsia"/>
          <w:sz w:val="24"/>
          <w:szCs w:val="24"/>
        </w:rPr>
        <w:t>三相五线制，符合中国制式，供电电压：AC380V±10%，供电频率：50Hz±2%，单相电：AC220V±10%，供电频率：50Hz±2%。</w:t>
      </w:r>
    </w:p>
    <w:p>
      <w:pPr>
        <w:pStyle w:val="3"/>
      </w:pPr>
      <w:bookmarkStart w:id="110" w:name="_Toc14298"/>
      <w:bookmarkStart w:id="111" w:name="_Toc8473"/>
      <w:r>
        <w:rPr>
          <w:rFonts w:hint="eastAsia"/>
        </w:rPr>
        <w:t>三、供货范围</w:t>
      </w:r>
      <w:bookmarkEnd w:id="110"/>
      <w:bookmarkEnd w:id="111"/>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本项目包含</w:t>
      </w:r>
      <w:r>
        <w:rPr>
          <w:rFonts w:hint="eastAsia" w:ascii="宋体" w:hAnsi="宋体"/>
          <w:bCs/>
          <w:sz w:val="24"/>
        </w:rPr>
        <w:t>后窗简易涂胶机</w:t>
      </w:r>
      <w:r>
        <w:rPr>
          <w:rFonts w:hint="eastAsia" w:asciiTheme="minorEastAsia" w:hAnsiTheme="minorEastAsia"/>
          <w:sz w:val="24"/>
          <w:szCs w:val="24"/>
        </w:rPr>
        <w:t>工作单元所涉及的设计、采购、制造、运输、装卸、安装、调试、验收及培训等，</w:t>
      </w:r>
      <w:r>
        <w:rPr>
          <w:rFonts w:hint="eastAsia" w:ascii="宋体" w:hAnsi="宋体"/>
          <w:bCs/>
          <w:sz w:val="24"/>
          <w:szCs w:val="24"/>
        </w:rPr>
        <w:t>并交付使用；同时包含安全相关设备的设计、制造、采购任务，并提供相关的售后服务。</w:t>
      </w:r>
      <w:r>
        <w:rPr>
          <w:rFonts w:hint="eastAsia" w:asciiTheme="minorEastAsia" w:hAnsiTheme="minorEastAsia"/>
          <w:sz w:val="24"/>
          <w:szCs w:val="24"/>
        </w:rPr>
        <w:t>最终的工艺安装图等技术文件,以及必须的备品备件清单。</w:t>
      </w:r>
    </w:p>
    <w:p>
      <w:pPr>
        <w:spacing w:line="360" w:lineRule="auto"/>
        <w:ind w:firstLine="480" w:firstLineChars="200"/>
        <w:jc w:val="left"/>
        <w:rPr>
          <w:rFonts w:asciiTheme="minorEastAsia" w:hAnsiTheme="minorEastAsia"/>
          <w:sz w:val="24"/>
          <w:szCs w:val="24"/>
        </w:rPr>
      </w:pPr>
    </w:p>
    <w:p>
      <w:pPr>
        <w:spacing w:line="360" w:lineRule="auto"/>
        <w:ind w:firstLine="480" w:firstLineChars="200"/>
        <w:jc w:val="left"/>
        <w:rPr>
          <w:rFonts w:asciiTheme="minorEastAsia" w:hAnsiTheme="minorEastAsia"/>
          <w:sz w:val="24"/>
          <w:szCs w:val="24"/>
        </w:rPr>
      </w:pPr>
    </w:p>
    <w:tbl>
      <w:tblPr>
        <w:tblStyle w:val="76"/>
        <w:tblW w:w="85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929"/>
        <w:gridCol w:w="750"/>
        <w:gridCol w:w="3423"/>
        <w:gridCol w:w="1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675" w:type="dxa"/>
            <w:vAlign w:val="center"/>
          </w:tcPr>
          <w:p>
            <w:pPr>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序号</w:t>
            </w:r>
          </w:p>
        </w:tc>
        <w:tc>
          <w:tcPr>
            <w:tcW w:w="1929" w:type="dxa"/>
            <w:tcBorders>
              <w:right w:val="single" w:color="auto" w:sz="4" w:space="0"/>
            </w:tcBorders>
            <w:vAlign w:val="center"/>
          </w:tcPr>
          <w:p>
            <w:pPr>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名称</w:t>
            </w:r>
          </w:p>
        </w:tc>
        <w:tc>
          <w:tcPr>
            <w:tcW w:w="750" w:type="dxa"/>
            <w:vAlign w:val="center"/>
          </w:tcPr>
          <w:p>
            <w:pPr>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数量</w:t>
            </w:r>
          </w:p>
        </w:tc>
        <w:tc>
          <w:tcPr>
            <w:tcW w:w="3423" w:type="dxa"/>
            <w:vAlign w:val="center"/>
          </w:tcPr>
          <w:p>
            <w:pPr>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说明</w:t>
            </w:r>
          </w:p>
        </w:tc>
        <w:tc>
          <w:tcPr>
            <w:tcW w:w="1805" w:type="dxa"/>
            <w:vAlign w:val="center"/>
          </w:tcPr>
          <w:p>
            <w:pPr>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675" w:type="dxa"/>
            <w:vAlign w:val="center"/>
          </w:tcPr>
          <w:p>
            <w:pPr>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p>
        </w:tc>
        <w:tc>
          <w:tcPr>
            <w:tcW w:w="1929" w:type="dxa"/>
            <w:tcBorders>
              <w:top w:val="single" w:color="auto" w:sz="4" w:space="0"/>
            </w:tcBorders>
            <w:vAlign w:val="center"/>
          </w:tcPr>
          <w:p>
            <w:pPr>
              <w:jc w:val="center"/>
              <w:rPr>
                <w:rFonts w:asciiTheme="minorEastAsia" w:hAnsiTheme="minorEastAsia" w:eastAsiaTheme="minorEastAsia" w:cstheme="minorEastAsia"/>
                <w:color w:val="000000"/>
                <w:kern w:val="0"/>
                <w:sz w:val="24"/>
                <w:szCs w:val="24"/>
              </w:rPr>
            </w:pPr>
            <w:r>
              <w:rPr>
                <w:rFonts w:hint="eastAsia" w:ascii="宋体" w:hAnsi="宋体"/>
                <w:sz w:val="24"/>
              </w:rPr>
              <w:t>供胶</w:t>
            </w:r>
            <w:r>
              <w:rPr>
                <w:rFonts w:hint="eastAsia" w:asciiTheme="minorEastAsia" w:hAnsiTheme="minorEastAsia" w:eastAsiaTheme="minorEastAsia" w:cstheme="minorEastAsia"/>
                <w:color w:val="000000"/>
                <w:sz w:val="24"/>
                <w:szCs w:val="24"/>
              </w:rPr>
              <w:t>系统</w:t>
            </w:r>
          </w:p>
        </w:tc>
        <w:tc>
          <w:tcPr>
            <w:tcW w:w="750" w:type="dxa"/>
            <w:tcBorders>
              <w:top w:val="single" w:color="auto" w:sz="4" w:space="0"/>
              <w:bottom w:val="single" w:color="auto" w:sz="4" w:space="0"/>
            </w:tcBorders>
            <w:vAlign w:val="center"/>
          </w:tcPr>
          <w:p>
            <w:pPr>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1套</w:t>
            </w:r>
          </w:p>
        </w:tc>
        <w:tc>
          <w:tcPr>
            <w:tcW w:w="3423" w:type="dxa"/>
            <w:tcBorders>
              <w:top w:val="single" w:color="auto" w:sz="4" w:space="0"/>
              <w:bottom w:val="single" w:color="auto" w:sz="4" w:space="0"/>
            </w:tcBorders>
            <w:vAlign w:val="center"/>
          </w:tcPr>
          <w:p>
            <w:pPr>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包含</w:t>
            </w:r>
            <w:r>
              <w:rPr>
                <w:rFonts w:hint="eastAsia" w:ascii="宋体" w:hAnsi="宋体"/>
                <w:sz w:val="24"/>
              </w:rPr>
              <w:t>供胶泵，升降机构，压盘，胶管管路等附属件</w:t>
            </w:r>
          </w:p>
        </w:tc>
        <w:tc>
          <w:tcPr>
            <w:tcW w:w="1805" w:type="dxa"/>
            <w:tcBorders>
              <w:top w:val="single" w:color="auto" w:sz="4" w:space="0"/>
            </w:tcBorders>
            <w:vAlign w:val="center"/>
          </w:tcPr>
          <w:p>
            <w:pPr>
              <w:jc w:val="center"/>
              <w:rPr>
                <w:rFonts w:asciiTheme="minorEastAsia" w:hAnsiTheme="minorEastAsia" w:eastAsiaTheme="minorEastAsia" w:cstheme="minorEastAsia"/>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675" w:type="dxa"/>
            <w:vAlign w:val="center"/>
          </w:tcPr>
          <w:p>
            <w:pPr>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p>
        </w:tc>
        <w:tc>
          <w:tcPr>
            <w:tcW w:w="1929" w:type="dxa"/>
            <w:tcBorders>
              <w:top w:val="single" w:color="auto" w:sz="4" w:space="0"/>
            </w:tcBorders>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胶枪</w:t>
            </w:r>
          </w:p>
        </w:tc>
        <w:tc>
          <w:tcPr>
            <w:tcW w:w="750" w:type="dxa"/>
            <w:tcBorders>
              <w:top w:val="single" w:color="auto" w:sz="4" w:space="0"/>
              <w:bottom w:val="single" w:color="auto" w:sz="4" w:space="0"/>
            </w:tcBorders>
            <w:vAlign w:val="center"/>
          </w:tcPr>
          <w:p>
            <w:pPr>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2套</w:t>
            </w:r>
          </w:p>
        </w:tc>
        <w:tc>
          <w:tcPr>
            <w:tcW w:w="3423" w:type="dxa"/>
            <w:tcBorders>
              <w:top w:val="single" w:color="auto" w:sz="4" w:space="0"/>
              <w:bottom w:val="single" w:color="auto" w:sz="4" w:space="0"/>
            </w:tcBorders>
            <w:vAlign w:val="center"/>
          </w:tcPr>
          <w:p>
            <w:pPr>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与供胶系统相匹配的胶枪、胶嘴</w:t>
            </w:r>
          </w:p>
        </w:tc>
        <w:tc>
          <w:tcPr>
            <w:tcW w:w="1805" w:type="dxa"/>
            <w:tcBorders>
              <w:top w:val="single" w:color="auto" w:sz="4" w:space="0"/>
            </w:tcBorders>
            <w:vAlign w:val="center"/>
          </w:tcPr>
          <w:p>
            <w:pPr>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需配备一把充电手动涂胶枪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675" w:type="dxa"/>
            <w:vAlign w:val="center"/>
          </w:tcPr>
          <w:p>
            <w:pPr>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p>
        </w:tc>
        <w:tc>
          <w:tcPr>
            <w:tcW w:w="1929" w:type="dxa"/>
            <w:tcBorders>
              <w:top w:val="single" w:color="auto" w:sz="4" w:space="0"/>
            </w:tcBorders>
            <w:vAlign w:val="center"/>
          </w:tcPr>
          <w:p>
            <w:pPr>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旋转台</w:t>
            </w:r>
          </w:p>
        </w:tc>
        <w:tc>
          <w:tcPr>
            <w:tcW w:w="750" w:type="dxa"/>
            <w:tcBorders>
              <w:top w:val="single" w:color="auto" w:sz="4" w:space="0"/>
              <w:bottom w:val="single" w:color="auto" w:sz="4" w:space="0"/>
            </w:tcBorders>
            <w:vAlign w:val="center"/>
          </w:tcPr>
          <w:p>
            <w:pPr>
              <w:jc w:val="center"/>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1套</w:t>
            </w:r>
          </w:p>
        </w:tc>
        <w:tc>
          <w:tcPr>
            <w:tcW w:w="3423" w:type="dxa"/>
            <w:tcBorders>
              <w:top w:val="single" w:color="auto" w:sz="4" w:space="0"/>
              <w:bottom w:val="single" w:color="auto" w:sz="4" w:space="0"/>
            </w:tcBorders>
            <w:vAlign w:val="center"/>
          </w:tcPr>
          <w:p>
            <w:pPr>
              <w:widowControl/>
              <w:jc w:val="left"/>
              <w:rPr>
                <w:rFonts w:asciiTheme="minorEastAsia" w:hAnsiTheme="minorEastAsia" w:eastAsiaTheme="minorEastAsia" w:cstheme="minorEastAsia"/>
                <w:kern w:val="0"/>
                <w:sz w:val="24"/>
                <w:szCs w:val="24"/>
              </w:rPr>
            </w:pPr>
            <w:r>
              <w:rPr>
                <w:rFonts w:hint="eastAsia" w:ascii="宋体" w:hAnsi="宋体" w:cs="宋体"/>
                <w:sz w:val="24"/>
              </w:rPr>
              <w:t>用于完成后窗玻璃的定位、旋转等工作，包括工作台、旋转电机、底座等</w:t>
            </w:r>
          </w:p>
        </w:tc>
        <w:tc>
          <w:tcPr>
            <w:tcW w:w="1805" w:type="dxa"/>
            <w:tcBorders>
              <w:top w:val="single" w:color="auto" w:sz="4" w:space="0"/>
            </w:tcBorders>
            <w:vAlign w:val="center"/>
          </w:tcPr>
          <w:p>
            <w:pPr>
              <w:jc w:val="center"/>
              <w:rPr>
                <w:rFonts w:asciiTheme="minorEastAsia" w:hAnsiTheme="minorEastAsia" w:eastAsiaTheme="minorEastAsia" w:cstheme="minorEastAsia"/>
                <w:kern w:val="0"/>
                <w:sz w:val="24"/>
                <w:szCs w:val="24"/>
              </w:rPr>
            </w:pPr>
          </w:p>
        </w:tc>
      </w:tr>
    </w:tbl>
    <w:p>
      <w:pPr>
        <w:pStyle w:val="3"/>
      </w:pPr>
      <w:bookmarkStart w:id="112" w:name="_Toc11193"/>
      <w:bookmarkStart w:id="113" w:name="_Toc29024"/>
      <w:r>
        <w:rPr>
          <w:rFonts w:hint="eastAsia"/>
        </w:rPr>
        <w:t>四、工程界面</w:t>
      </w:r>
      <w:bookmarkEnd w:id="112"/>
      <w:bookmarkEnd w:id="113"/>
    </w:p>
    <w:p>
      <w:pPr>
        <w:spacing w:line="360" w:lineRule="auto"/>
        <w:rPr>
          <w:rFonts w:ascii="宋体" w:hAnsi="宋体"/>
          <w:sz w:val="24"/>
          <w:szCs w:val="24"/>
        </w:rPr>
      </w:pPr>
      <w:r>
        <w:rPr>
          <w:rFonts w:hint="eastAsia" w:ascii="宋体" w:hAnsi="宋体"/>
          <w:sz w:val="24"/>
          <w:szCs w:val="24"/>
        </w:rPr>
        <w:t>1.招标方提供厂房及吊点，吊点设置位置、高度及规格型号见厂房建筑图纸；</w:t>
      </w:r>
      <w:r>
        <w:rPr>
          <w:rFonts w:hint="eastAsia" w:asciiTheme="minorEastAsia" w:hAnsiTheme="minorEastAsia"/>
          <w:sz w:val="24"/>
          <w:szCs w:val="24"/>
        </w:rPr>
        <w:t>投标方负责吊点以下悬挂钢结构，</w:t>
      </w:r>
      <w:r>
        <w:rPr>
          <w:rFonts w:hint="eastAsia" w:ascii="宋体" w:hAnsi="宋体"/>
          <w:sz w:val="24"/>
          <w:szCs w:val="24"/>
        </w:rPr>
        <w:t>包括吊点联接装置、吊杆、一次、二次辅梁、安全护栏、安全网等</w:t>
      </w:r>
      <w:r>
        <w:rPr>
          <w:rFonts w:hint="eastAsia" w:asciiTheme="minorEastAsia" w:hAnsiTheme="minorEastAsia"/>
          <w:sz w:val="24"/>
          <w:szCs w:val="24"/>
        </w:rPr>
        <w:t>的设计、制作、安装。投标方的设计图纸应经招标方审核。</w:t>
      </w:r>
    </w:p>
    <w:p>
      <w:pPr>
        <w:spacing w:line="360" w:lineRule="auto"/>
        <w:rPr>
          <w:rFonts w:ascii="宋体" w:hAnsi="宋体"/>
          <w:sz w:val="24"/>
          <w:szCs w:val="24"/>
        </w:rPr>
      </w:pPr>
      <w:r>
        <w:rPr>
          <w:rFonts w:hint="eastAsia" w:ascii="宋体" w:hAnsi="宋体"/>
          <w:sz w:val="24"/>
          <w:szCs w:val="24"/>
        </w:rPr>
        <w:t>2.基础，基础和二次浇注、预埋件等由招标方负责，具体要求由投标方在土建需求提供资料前提出。</w:t>
      </w:r>
    </w:p>
    <w:p>
      <w:pPr>
        <w:spacing w:line="360" w:lineRule="auto"/>
        <w:rPr>
          <w:rFonts w:ascii="宋体" w:hAnsi="宋体"/>
          <w:sz w:val="24"/>
          <w:szCs w:val="24"/>
        </w:rPr>
      </w:pPr>
      <w:r>
        <w:rPr>
          <w:rFonts w:hint="eastAsia" w:ascii="宋体" w:hAnsi="宋体"/>
          <w:sz w:val="24"/>
          <w:szCs w:val="24"/>
        </w:rPr>
        <w:t>3.气源划分，气源一次侧与二次侧的范围界定：根据设备需要，招标方在车间主管网上预留气源接口并带有阀门；阀门后所有的气路设施由投标方负责，投标方需在提供资料时提出预留气源接口位置。</w:t>
      </w:r>
    </w:p>
    <w:p>
      <w:pPr>
        <w:spacing w:line="360" w:lineRule="auto"/>
        <w:rPr>
          <w:rFonts w:ascii="宋体" w:hAnsi="宋体"/>
          <w:sz w:val="24"/>
          <w:szCs w:val="24"/>
        </w:rPr>
      </w:pPr>
      <w:r>
        <w:rPr>
          <w:rFonts w:hint="eastAsia" w:ascii="宋体" w:hAnsi="宋体"/>
          <w:sz w:val="24"/>
          <w:szCs w:val="24"/>
        </w:rPr>
        <w:t xml:space="preserve">4.电源划分，招标方负责提供母线，投标方负责从母线接电进主控柜（包含但不限于插接箱、配电柜、桥架、电缆）；负责每条主线和分装线边小功率设备的线边配电柜（带电表及通讯上传功能）接线及柜内各元器件连接；负责线边配电柜到线边两侧工位上的接电盒（具体图纸会签时确定）；负责接电盒内各元器件；负责提供输送设备、工艺设备、照明、风扇、插座用电等。  </w:t>
      </w:r>
    </w:p>
    <w:p>
      <w:pPr>
        <w:spacing w:line="360" w:lineRule="auto"/>
        <w:rPr>
          <w:rFonts w:ascii="宋体" w:hAnsi="宋体"/>
          <w:bCs/>
          <w:sz w:val="24"/>
          <w:szCs w:val="24"/>
        </w:rPr>
      </w:pPr>
      <w:r>
        <w:rPr>
          <w:rFonts w:hint="eastAsia" w:ascii="宋体" w:hAnsi="宋体"/>
          <w:sz w:val="24"/>
          <w:szCs w:val="24"/>
        </w:rPr>
        <w:t>5.照明划分，招标方负责车间照明、应急照明、疏散指示灯。投标方负责工位照明、设备照明。</w:t>
      </w:r>
    </w:p>
    <w:p>
      <w:pPr>
        <w:spacing w:line="360" w:lineRule="auto"/>
        <w:jc w:val="left"/>
        <w:rPr>
          <w:rFonts w:asciiTheme="minorEastAsia" w:hAnsiTheme="minorEastAsia"/>
          <w:sz w:val="24"/>
          <w:szCs w:val="24"/>
        </w:rPr>
      </w:pPr>
      <w:r>
        <w:rPr>
          <w:rFonts w:hint="eastAsia" w:ascii="宋体" w:hAnsi="宋体"/>
          <w:bCs/>
          <w:sz w:val="24"/>
          <w:szCs w:val="24"/>
        </w:rPr>
        <w:t>6.工艺接口，</w:t>
      </w:r>
      <w:r>
        <w:rPr>
          <w:rFonts w:hint="eastAsia" w:asciiTheme="minorEastAsia" w:hAnsiTheme="minorEastAsia"/>
          <w:sz w:val="24"/>
          <w:szCs w:val="24"/>
        </w:rPr>
        <w:t>各设备具体布置情况详见重汽轻卡二期总装平面布置图。平面布置图仅提出各设备布置位置及输送流向，投标方应细化各设备设计方案后，作为投标依据。</w:t>
      </w:r>
    </w:p>
    <w:p>
      <w:pPr>
        <w:spacing w:line="360" w:lineRule="auto"/>
        <w:jc w:val="left"/>
        <w:rPr>
          <w:rFonts w:asciiTheme="minorEastAsia" w:hAnsiTheme="minorEastAsia"/>
          <w:sz w:val="24"/>
          <w:szCs w:val="24"/>
        </w:rPr>
      </w:pPr>
      <w:r>
        <w:rPr>
          <w:rFonts w:hint="eastAsia" w:asciiTheme="minorEastAsia" w:hAnsiTheme="minorEastAsia"/>
          <w:sz w:val="24"/>
          <w:szCs w:val="24"/>
        </w:rPr>
        <w:t>7.网络界面，招标方负责车间内一次侧网络布置，</w:t>
      </w:r>
      <w:r>
        <w:rPr>
          <w:rFonts w:hint="eastAsia" w:ascii="宋体" w:hAnsi="宋体"/>
          <w:sz w:val="24"/>
          <w:szCs w:val="24"/>
        </w:rPr>
        <w:t>投标方提出预留网络需求必须经过招标方审核，</w:t>
      </w:r>
      <w:r>
        <w:rPr>
          <w:rFonts w:hint="eastAsia" w:asciiTheme="minorEastAsia" w:hAnsiTheme="minorEastAsia"/>
          <w:sz w:val="24"/>
          <w:szCs w:val="24"/>
        </w:rPr>
        <w:t>投标方负责二次侧网络布置、连接和调试。</w:t>
      </w:r>
    </w:p>
    <w:p>
      <w:pPr>
        <w:pStyle w:val="3"/>
      </w:pPr>
      <w:bookmarkStart w:id="114" w:name="_Toc4771"/>
      <w:bookmarkStart w:id="115" w:name="_Toc6453"/>
      <w:r>
        <w:rPr>
          <w:rFonts w:hint="eastAsia"/>
        </w:rPr>
        <w:t>五、标的物技术要求</w:t>
      </w:r>
      <w:bookmarkEnd w:id="114"/>
      <w:bookmarkEnd w:id="115"/>
    </w:p>
    <w:p>
      <w:pPr>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1.基本要求</w:t>
      </w:r>
    </w:p>
    <w:p>
      <w:pPr>
        <w:spacing w:line="360" w:lineRule="auto"/>
        <w:rPr>
          <w:rFonts w:ascii="宋体" w:hAnsi="宋体"/>
          <w:bCs/>
          <w:sz w:val="24"/>
        </w:rPr>
      </w:pPr>
      <w:r>
        <w:rPr>
          <w:rFonts w:hint="eastAsia" w:ascii="宋体" w:hAnsi="宋体"/>
          <w:bCs/>
          <w:sz w:val="24"/>
        </w:rPr>
        <w:t>1.1投标方所供的货物，必须符合中国最新版的法律、法规和相关标准、规范的要求，符合项目所在地政府有关特殊要求。</w:t>
      </w:r>
    </w:p>
    <w:p>
      <w:pPr>
        <w:spacing w:line="360" w:lineRule="auto"/>
        <w:rPr>
          <w:rFonts w:ascii="宋体" w:hAnsi="宋体"/>
          <w:bCs/>
          <w:sz w:val="24"/>
        </w:rPr>
      </w:pPr>
      <w:r>
        <w:rPr>
          <w:rFonts w:hint="eastAsia" w:ascii="宋体" w:hAnsi="宋体"/>
          <w:bCs/>
          <w:sz w:val="24"/>
        </w:rPr>
        <w:t>1.2投标方所供货物涉及的、招标方有权使用的专利权技术以及知识产权保护的其它技术等，应保证招标方不因此受到任何侵权指控以及实际损失。</w:t>
      </w:r>
    </w:p>
    <w:p>
      <w:pPr>
        <w:spacing w:line="360" w:lineRule="auto"/>
        <w:rPr>
          <w:rFonts w:ascii="宋体" w:hAnsi="宋体"/>
          <w:bCs/>
          <w:sz w:val="24"/>
        </w:rPr>
      </w:pPr>
      <w:r>
        <w:rPr>
          <w:rFonts w:hint="eastAsia" w:ascii="宋体" w:hAnsi="宋体"/>
          <w:bCs/>
          <w:sz w:val="24"/>
        </w:rPr>
        <w:t>1.3投标方应保证所供货物的先进性、可靠性、经济性和实用性，并为全新货物（或设备）。</w:t>
      </w:r>
    </w:p>
    <w:p>
      <w:pPr>
        <w:spacing w:line="360" w:lineRule="auto"/>
        <w:rPr>
          <w:rFonts w:ascii="宋体" w:hAnsi="宋体"/>
          <w:bCs/>
          <w:sz w:val="24"/>
        </w:rPr>
      </w:pPr>
      <w:r>
        <w:rPr>
          <w:rFonts w:hint="eastAsia" w:ascii="宋体" w:hAnsi="宋体"/>
          <w:bCs/>
          <w:sz w:val="24"/>
        </w:rPr>
        <w:t>1.4投标方应满足招标方提出的各项技术要求，必要时应当免费提供技术承诺或担保。</w:t>
      </w:r>
    </w:p>
    <w:p>
      <w:pPr>
        <w:spacing w:line="360" w:lineRule="auto"/>
        <w:rPr>
          <w:rFonts w:ascii="宋体" w:hAnsi="宋体"/>
          <w:bCs/>
          <w:sz w:val="24"/>
        </w:rPr>
      </w:pPr>
      <w:r>
        <w:rPr>
          <w:rFonts w:hint="eastAsia" w:ascii="宋体" w:hAnsi="宋体"/>
          <w:bCs/>
          <w:sz w:val="24"/>
        </w:rPr>
        <w:t>1.5投标方应保证所供货物（或设备）为中国公布的非淘汰货物（或设备），并为中国指定或规定的主管部门认可的环保型和节能型货物（或设备）。</w:t>
      </w:r>
    </w:p>
    <w:p>
      <w:pPr>
        <w:spacing w:line="360" w:lineRule="auto"/>
        <w:rPr>
          <w:rFonts w:ascii="宋体" w:hAnsi="宋体"/>
          <w:bCs/>
          <w:sz w:val="24"/>
        </w:rPr>
      </w:pPr>
      <w:r>
        <w:rPr>
          <w:rFonts w:hint="eastAsia" w:ascii="宋体" w:hAnsi="宋体"/>
          <w:bCs/>
          <w:sz w:val="24"/>
        </w:rPr>
        <w:t>1.6投标方应保证所供货物（或生产线）的完整性和成套性，能保证货物（或生产线）的正常运行、使用。</w:t>
      </w:r>
    </w:p>
    <w:p>
      <w:pPr>
        <w:spacing w:line="360" w:lineRule="auto"/>
        <w:rPr>
          <w:sz w:val="28"/>
          <w:szCs w:val="28"/>
        </w:rPr>
      </w:pPr>
      <w:r>
        <w:rPr>
          <w:rFonts w:hint="eastAsia" w:ascii="宋体" w:hAnsi="宋体"/>
          <w:bCs/>
          <w:sz w:val="24"/>
        </w:rPr>
        <w:t>1.7投标方应对招标方采购的货物（或生产线）所涉及的技术、产能等信息负有保密义务，特殊项目应当无条件签署保密协议。</w:t>
      </w:r>
    </w:p>
    <w:p>
      <w:pPr>
        <w:pStyle w:val="4"/>
        <w:spacing w:after="0" w:line="415" w:lineRule="auto"/>
      </w:pPr>
      <w:bookmarkStart w:id="116" w:name="_Toc20649"/>
      <w:bookmarkStart w:id="117" w:name="_Toc15874"/>
      <w:r>
        <w:rPr>
          <w:rFonts w:hint="eastAsia"/>
        </w:rPr>
        <w:t>2.通用技术要求</w:t>
      </w:r>
      <w:bookmarkEnd w:id="116"/>
      <w:bookmarkEnd w:id="117"/>
    </w:p>
    <w:p>
      <w:pPr>
        <w:pStyle w:val="211"/>
        <w:spacing w:line="360" w:lineRule="auto"/>
        <w:ind w:left="61" w:leftChars="29" w:firstLine="0" w:firstLineChars="0"/>
        <w:jc w:val="left"/>
        <w:rPr>
          <w:rFonts w:asciiTheme="minorEastAsia" w:hAnsiTheme="minorEastAsia"/>
          <w:sz w:val="24"/>
          <w:szCs w:val="24"/>
        </w:rPr>
      </w:pPr>
      <w:r>
        <w:rPr>
          <w:rFonts w:hint="eastAsia" w:asciiTheme="minorEastAsia" w:hAnsiTheme="minorEastAsia"/>
          <w:sz w:val="24"/>
          <w:szCs w:val="24"/>
        </w:rPr>
        <w:t>2.1满足</w:t>
      </w:r>
      <w:r>
        <w:rPr>
          <w:rFonts w:hint="eastAsia" w:ascii="宋体" w:hAnsi="宋体"/>
          <w:sz w:val="24"/>
          <w:szCs w:val="24"/>
        </w:rPr>
        <w:t>内饰装配线节拍2min/辆</w:t>
      </w:r>
      <w:r>
        <w:rPr>
          <w:rFonts w:hint="eastAsia" w:asciiTheme="minorEastAsia" w:hAnsiTheme="minorEastAsia"/>
          <w:sz w:val="24"/>
          <w:szCs w:val="24"/>
        </w:rPr>
        <w:t>。</w:t>
      </w:r>
    </w:p>
    <w:p>
      <w:pPr>
        <w:pStyle w:val="211"/>
        <w:spacing w:line="360" w:lineRule="auto"/>
        <w:ind w:left="301" w:leftChars="29" w:hanging="240" w:hangingChars="100"/>
        <w:jc w:val="left"/>
        <w:rPr>
          <w:rFonts w:asciiTheme="minorEastAsia" w:hAnsiTheme="minorEastAsia"/>
          <w:sz w:val="24"/>
          <w:szCs w:val="24"/>
        </w:rPr>
      </w:pPr>
      <w:r>
        <w:rPr>
          <w:rFonts w:hint="eastAsia" w:asciiTheme="minorEastAsia" w:hAnsiTheme="minorEastAsia"/>
          <w:sz w:val="24"/>
          <w:szCs w:val="24"/>
        </w:rPr>
        <w:t>2.2投标方需近三年内具备至少两条皮卡或轻卡或重卡玻璃涂胶设备的成功案例。</w:t>
      </w:r>
    </w:p>
    <w:p>
      <w:pPr>
        <w:pStyle w:val="211"/>
        <w:spacing w:line="360" w:lineRule="auto"/>
        <w:ind w:left="61" w:leftChars="29" w:firstLine="0" w:firstLineChars="0"/>
        <w:jc w:val="left"/>
        <w:rPr>
          <w:rFonts w:asciiTheme="minorEastAsia" w:hAnsiTheme="minorEastAsia"/>
          <w:sz w:val="24"/>
          <w:szCs w:val="24"/>
        </w:rPr>
      </w:pPr>
      <w:r>
        <w:rPr>
          <w:rFonts w:hint="eastAsia" w:asciiTheme="minorEastAsia" w:hAnsiTheme="minorEastAsia"/>
          <w:sz w:val="24"/>
          <w:szCs w:val="24"/>
        </w:rPr>
        <w:t>2.3关于后窗简易涂胶设备同内饰装配线部分的对接，投标方必须无条件服从招标方的安排。</w:t>
      </w:r>
    </w:p>
    <w:p>
      <w:pPr>
        <w:pStyle w:val="211"/>
        <w:spacing w:line="360" w:lineRule="auto"/>
        <w:ind w:left="61" w:leftChars="29" w:firstLine="0" w:firstLineChars="0"/>
        <w:jc w:val="left"/>
        <w:rPr>
          <w:rFonts w:asciiTheme="minorEastAsia" w:hAnsiTheme="minorEastAsia"/>
          <w:sz w:val="24"/>
          <w:szCs w:val="24"/>
        </w:rPr>
      </w:pPr>
      <w:r>
        <w:rPr>
          <w:rFonts w:hint="eastAsia" w:asciiTheme="minorEastAsia" w:hAnsiTheme="minorEastAsia"/>
          <w:sz w:val="24"/>
          <w:szCs w:val="24"/>
        </w:rPr>
        <w:t>2.4涂胶工作单元要考虑维修维护方便，投标文件中说明。</w:t>
      </w:r>
    </w:p>
    <w:p>
      <w:pPr>
        <w:pStyle w:val="5"/>
        <w:rPr>
          <w:rFonts w:eastAsiaTheme="majorEastAsia"/>
        </w:rPr>
      </w:pPr>
      <w:r>
        <w:rPr>
          <w:rFonts w:hint="eastAsia" w:asciiTheme="majorEastAsia" w:hAnsiTheme="majorEastAsia" w:eastAsiaTheme="majorEastAsia" w:cstheme="majorEastAsia"/>
        </w:rPr>
        <w:t>3.</w:t>
      </w:r>
      <w:r>
        <w:rPr>
          <w:rFonts w:hint="eastAsia"/>
        </w:rPr>
        <w:t>全生命周期费用技术要求</w:t>
      </w:r>
    </w:p>
    <w:p>
      <w:pPr>
        <w:spacing w:line="360" w:lineRule="auto"/>
        <w:rPr>
          <w:rFonts w:asciiTheme="minorEastAsia" w:hAnsiTheme="minorEastAsia" w:eastAsiaTheme="minorEastAsia" w:cstheme="minorEastAsia"/>
          <w:sz w:val="24"/>
          <w:szCs w:val="24"/>
        </w:rPr>
      </w:pPr>
      <w:r>
        <w:rPr>
          <w:rFonts w:hint="eastAsia" w:ascii="宋体" w:hAnsi="宋体"/>
          <w:sz w:val="24"/>
        </w:rPr>
        <w:t>3.1</w:t>
      </w:r>
      <w:r>
        <w:rPr>
          <w:rFonts w:hint="eastAsia"/>
          <w:sz w:val="24"/>
          <w:szCs w:val="24"/>
        </w:rPr>
        <w:t>投标方应测算设备的全生</w:t>
      </w:r>
      <w:r>
        <w:rPr>
          <w:rFonts w:hint="eastAsia" w:asciiTheme="minorEastAsia" w:hAnsiTheme="minorEastAsia" w:eastAsiaTheme="minorEastAsia" w:cstheme="minorEastAsia"/>
          <w:sz w:val="24"/>
          <w:szCs w:val="24"/>
        </w:rPr>
        <w:t>命周期费用（LCC）、运行维持费用及费用分解构成，并在投标文件中列出。</w:t>
      </w:r>
    </w:p>
    <w:p>
      <w:pPr>
        <w:spacing w:line="360" w:lineRule="auto"/>
        <w:rPr>
          <w:sz w:val="24"/>
          <w:szCs w:val="24"/>
        </w:rPr>
      </w:pPr>
      <w:r>
        <w:rPr>
          <w:rFonts w:hint="eastAsia" w:asciiTheme="minorEastAsia" w:hAnsiTheme="minorEastAsia" w:eastAsiaTheme="minorEastAsia" w:cstheme="minorEastAsia"/>
          <w:sz w:val="24"/>
        </w:rPr>
        <w:t>3.2</w:t>
      </w:r>
      <w:r>
        <w:rPr>
          <w:rFonts w:hint="eastAsia" w:asciiTheme="minorEastAsia" w:hAnsiTheme="minorEastAsia" w:eastAsiaTheme="minorEastAsia" w:cstheme="minorEastAsia"/>
          <w:sz w:val="24"/>
          <w:szCs w:val="24"/>
        </w:rPr>
        <w:t>全生命周期费用（LCC）主要</w:t>
      </w:r>
      <w:r>
        <w:rPr>
          <w:rFonts w:hint="eastAsia"/>
          <w:sz w:val="24"/>
          <w:szCs w:val="24"/>
        </w:rPr>
        <w:t>指设备的维持费用，包括设备在设计使用寿命内的备品备件投入，日常维护（维保）费用，大（项）修费用，和正常使用的能源费用，按年列出。</w:t>
      </w:r>
    </w:p>
    <w:p>
      <w:pPr>
        <w:pStyle w:val="5"/>
        <w:rPr>
          <w:rFonts w:asciiTheme="majorEastAsia" w:hAnsiTheme="majorEastAsia" w:eastAsiaTheme="majorEastAsia" w:cstheme="majorEastAsia"/>
        </w:rPr>
      </w:pPr>
      <w:r>
        <w:rPr>
          <w:rFonts w:hint="eastAsia" w:asciiTheme="majorEastAsia" w:hAnsiTheme="majorEastAsia" w:eastAsiaTheme="majorEastAsia" w:cstheme="majorEastAsia"/>
        </w:rPr>
        <w:t>4.备件供给技术要求</w:t>
      </w:r>
    </w:p>
    <w:p>
      <w:pPr>
        <w:spacing w:line="360" w:lineRule="auto"/>
        <w:rPr>
          <w:sz w:val="24"/>
          <w:szCs w:val="24"/>
        </w:rPr>
      </w:pPr>
      <w:r>
        <w:rPr>
          <w:rFonts w:hint="eastAsia" w:ascii="宋体" w:hAnsi="宋体"/>
          <w:sz w:val="24"/>
        </w:rPr>
        <w:t>4.1</w:t>
      </w:r>
      <w:r>
        <w:rPr>
          <w:rFonts w:hint="eastAsia"/>
          <w:sz w:val="24"/>
          <w:szCs w:val="24"/>
        </w:rPr>
        <w:t>投标方应保证备品备件长期稳定的供货。对主要设备或与主设备功能相同的兼容性替代品，其备品的供货期至少是设备验收后十五年或该设备退出市场后五年(二者之中取时间长的一种)。当投标方决定中断所提供的备品备件供应时，应预先告知招标方，以便招标方增加这些备品备件储备。</w:t>
      </w:r>
    </w:p>
    <w:p>
      <w:pPr>
        <w:spacing w:line="360" w:lineRule="auto"/>
        <w:rPr>
          <w:sz w:val="24"/>
          <w:szCs w:val="24"/>
        </w:rPr>
      </w:pPr>
      <w:r>
        <w:rPr>
          <w:rFonts w:hint="eastAsia" w:ascii="宋体" w:hAnsi="宋体"/>
          <w:sz w:val="24"/>
        </w:rPr>
        <w:t>4.2</w:t>
      </w:r>
      <w:r>
        <w:rPr>
          <w:rFonts w:hint="eastAsia"/>
          <w:sz w:val="24"/>
          <w:szCs w:val="24"/>
        </w:rPr>
        <w:t>投标方应提供有关备品备件的保管资料，如：存放期限、温度、湿度、是否需干燥剂等。</w:t>
      </w:r>
    </w:p>
    <w:p>
      <w:pPr>
        <w:spacing w:line="360" w:lineRule="auto"/>
        <w:rPr>
          <w:sz w:val="24"/>
          <w:szCs w:val="24"/>
        </w:rPr>
      </w:pPr>
      <w:r>
        <w:rPr>
          <w:rFonts w:hint="eastAsia" w:ascii="宋体" w:hAnsi="宋体"/>
          <w:sz w:val="24"/>
        </w:rPr>
        <w:t>4.3</w:t>
      </w:r>
      <w:r>
        <w:rPr>
          <w:rFonts w:hint="eastAsia"/>
          <w:sz w:val="24"/>
          <w:szCs w:val="24"/>
        </w:rPr>
        <w:t>招标方件所指备品备件、易损件和专用耗材，是招标方为保证设备质保期之后正常运行一年所自备自用的备品备件、易损件和专用耗材；质保期内需更换的备品备件、易损件和专用耗材等均应包含在总价内，招标方不承担质保期内费用。</w:t>
      </w:r>
    </w:p>
    <w:p>
      <w:pPr>
        <w:spacing w:line="360" w:lineRule="auto"/>
        <w:rPr>
          <w:sz w:val="24"/>
          <w:szCs w:val="24"/>
        </w:rPr>
      </w:pPr>
      <w:r>
        <w:rPr>
          <w:rFonts w:hint="eastAsia" w:ascii="宋体" w:hAnsi="宋体"/>
          <w:sz w:val="24"/>
        </w:rPr>
        <w:t>4.4</w:t>
      </w:r>
      <w:r>
        <w:rPr>
          <w:rFonts w:hint="eastAsia"/>
          <w:sz w:val="24"/>
          <w:szCs w:val="24"/>
        </w:rPr>
        <w:t>投标方应免费提供满足设备正常运行一年所需的备品备件、易损件和专用耗材，并附详细清单（包括名称、型号、规格、单位、数量、生产厂家、单价、总价等条目）。</w:t>
      </w:r>
    </w:p>
    <w:p>
      <w:pPr>
        <w:spacing w:line="360" w:lineRule="auto"/>
        <w:rPr>
          <w:sz w:val="24"/>
          <w:szCs w:val="24"/>
        </w:rPr>
      </w:pPr>
      <w:r>
        <w:rPr>
          <w:rFonts w:hint="eastAsia" w:ascii="宋体" w:hAnsi="宋体"/>
          <w:sz w:val="24"/>
        </w:rPr>
        <w:t>4.5</w:t>
      </w:r>
      <w:r>
        <w:rPr>
          <w:rFonts w:hint="eastAsia"/>
          <w:sz w:val="24"/>
          <w:szCs w:val="24"/>
        </w:rPr>
        <w:t>设备的维修</w:t>
      </w:r>
      <w:r>
        <w:rPr>
          <w:rFonts w:hint="eastAsia" w:asciiTheme="minorEastAsia" w:hAnsiTheme="minorEastAsia" w:eastAsiaTheme="minorEastAsia" w:cstheme="minorEastAsia"/>
          <w:sz w:val="24"/>
          <w:szCs w:val="24"/>
        </w:rPr>
        <w:t>BOM。</w:t>
      </w:r>
    </w:p>
    <w:p>
      <w:pPr>
        <w:spacing w:line="360" w:lineRule="auto"/>
        <w:rPr>
          <w:sz w:val="24"/>
          <w:szCs w:val="24"/>
        </w:rPr>
      </w:pPr>
      <w:r>
        <w:rPr>
          <w:rFonts w:hint="eastAsia" w:ascii="宋体" w:hAnsi="宋体"/>
          <w:sz w:val="24"/>
        </w:rPr>
        <w:t>4.6</w:t>
      </w:r>
      <w:r>
        <w:rPr>
          <w:rFonts w:hint="eastAsia"/>
          <w:sz w:val="24"/>
          <w:szCs w:val="24"/>
        </w:rPr>
        <w:t>投标方应提供易损件和专用耗材的制造图纸及其技术要求等资料。</w:t>
      </w:r>
    </w:p>
    <w:p>
      <w:pPr>
        <w:pStyle w:val="5"/>
        <w:rPr>
          <w:rFonts w:asciiTheme="majorEastAsia" w:hAnsiTheme="majorEastAsia" w:eastAsiaTheme="majorEastAsia" w:cstheme="majorEastAsia"/>
        </w:rPr>
      </w:pPr>
      <w:r>
        <w:rPr>
          <w:rFonts w:hint="eastAsia" w:asciiTheme="majorEastAsia" w:hAnsiTheme="majorEastAsia" w:eastAsiaTheme="majorEastAsia" w:cstheme="majorEastAsia"/>
        </w:rPr>
        <w:t>5.技术资料要求</w:t>
      </w:r>
    </w:p>
    <w:p>
      <w:pPr>
        <w:spacing w:line="360" w:lineRule="auto"/>
        <w:rPr>
          <w:rFonts w:ascii="宋体" w:hAnsi="宋体"/>
          <w:sz w:val="24"/>
          <w:szCs w:val="24"/>
        </w:rPr>
      </w:pPr>
      <w:r>
        <w:rPr>
          <w:rFonts w:hint="eastAsia" w:ascii="宋体" w:hAnsi="宋体"/>
          <w:sz w:val="24"/>
          <w:szCs w:val="24"/>
        </w:rPr>
        <w:t>5.1硬件资料，投标方提供的资料应包括涉及所有系统部件的安装、运行、注意事项和维护方法的详细说明，此外还应包括所购设备的完整设备清单和详细指南。与设备清单相对应的设备项目代号应在所有相关图纸上表示出来，投标方还应根据要求提供其设备代号与市场上可买到的该设备型号间的参照表。</w:t>
      </w:r>
    </w:p>
    <w:p>
      <w:pPr>
        <w:spacing w:line="360" w:lineRule="auto"/>
        <w:rPr>
          <w:rFonts w:ascii="宋体" w:hAnsi="宋体" w:eastAsiaTheme="minorEastAsia"/>
          <w:sz w:val="24"/>
          <w:szCs w:val="24"/>
        </w:rPr>
      </w:pPr>
      <w:r>
        <w:rPr>
          <w:rFonts w:hint="eastAsia" w:ascii="宋体" w:hAnsi="宋体"/>
          <w:sz w:val="24"/>
          <w:szCs w:val="24"/>
        </w:rPr>
        <w:t>5.</w:t>
      </w:r>
      <w:r>
        <w:rPr>
          <w:rFonts w:ascii="宋体" w:hAnsi="宋体"/>
          <w:sz w:val="24"/>
          <w:szCs w:val="24"/>
        </w:rPr>
        <w:t>2</w:t>
      </w:r>
      <w:r>
        <w:rPr>
          <w:rFonts w:hint="eastAsia" w:ascii="宋体" w:hAnsi="宋体"/>
          <w:sz w:val="24"/>
          <w:szCs w:val="24"/>
        </w:rPr>
        <w:t>投标方至少应提供下列手册和图纸：设备竣工图（包括总图、基础图、装配图、机械原理图、气动、液压原理图等）。</w:t>
      </w:r>
    </w:p>
    <w:p>
      <w:pPr>
        <w:spacing w:line="360" w:lineRule="auto"/>
        <w:rPr>
          <w:rFonts w:ascii="宋体" w:hAnsi="宋体"/>
          <w:sz w:val="24"/>
          <w:szCs w:val="24"/>
        </w:rPr>
      </w:pPr>
      <w:r>
        <w:rPr>
          <w:rFonts w:hint="eastAsia" w:ascii="宋体" w:hAnsi="宋体"/>
          <w:sz w:val="24"/>
          <w:szCs w:val="24"/>
        </w:rPr>
        <w:t>5.</w:t>
      </w:r>
      <w:r>
        <w:rPr>
          <w:rFonts w:ascii="宋体" w:hAnsi="宋体"/>
          <w:sz w:val="24"/>
          <w:szCs w:val="24"/>
        </w:rPr>
        <w:t>3</w:t>
      </w:r>
      <w:r>
        <w:rPr>
          <w:rFonts w:hint="eastAsia" w:ascii="宋体" w:hAnsi="宋体"/>
          <w:sz w:val="24"/>
          <w:szCs w:val="24"/>
        </w:rPr>
        <w:t>设备硬件手册，设备操作手册（含安全操作规程、操作和安全事项的使用说明书）。设备维护手册（含润滑图表、含有易损件的检查更换指南、易损件使用时间）。设备组态手册。仪器仪表检定证书和使用维修说明书。构成设备所有部件的原理图。内部布置图。符合招标方要求格式的外部连接图，图上应有电缆编号和端子编号。每只控制柜、操作台的总布置图，这些图中应标明各模件和组装件的编号，并包括正视图、后视图、开孔图、总尺寸及开门所需的净空距离。所有控制和调整装置在维护时所需的校验曲线。所有卖方外购设备手册。安装步骤、包括装配细节、设备散热和设备重量等。材料清册，包括备件、易损件和耗材清单。产品合格证。开箱记录等随机文件材料。施工文件。用于说明采购件名称、型号、规格、厂家等的采购件明细表。设备出厂所必须的精度检验证书、性能测试记录和报告。设备分支动力管线的设计竣工图。</w:t>
      </w:r>
    </w:p>
    <w:p>
      <w:pPr>
        <w:pStyle w:val="5"/>
        <w:rPr>
          <w:rFonts w:asciiTheme="majorEastAsia" w:hAnsiTheme="majorEastAsia" w:eastAsiaTheme="majorEastAsia" w:cstheme="majorEastAsia"/>
        </w:rPr>
      </w:pPr>
      <w:r>
        <w:rPr>
          <w:rFonts w:hint="eastAsia" w:asciiTheme="majorEastAsia" w:hAnsiTheme="majorEastAsia" w:eastAsiaTheme="majorEastAsia" w:cstheme="majorEastAsia"/>
        </w:rPr>
        <w:t>6.设备设计使用寿命（年限）</w:t>
      </w:r>
    </w:p>
    <w:p>
      <w:pPr>
        <w:spacing w:line="360" w:lineRule="auto"/>
        <w:jc w:val="left"/>
        <w:rPr>
          <w:rFonts w:ascii="宋体" w:hAnsi="宋体"/>
          <w:sz w:val="24"/>
          <w:szCs w:val="24"/>
        </w:rPr>
      </w:pPr>
      <w:r>
        <w:rPr>
          <w:rFonts w:hint="eastAsia" w:ascii="宋体" w:hAnsi="宋体"/>
          <w:sz w:val="24"/>
          <w:szCs w:val="24"/>
        </w:rPr>
        <w:t>设备设计使用寿命不应低于20年。</w:t>
      </w:r>
    </w:p>
    <w:p>
      <w:pPr>
        <w:pStyle w:val="5"/>
        <w:rPr>
          <w:rFonts w:asciiTheme="majorEastAsia" w:hAnsiTheme="majorEastAsia" w:eastAsiaTheme="majorEastAsia" w:cstheme="majorEastAsia"/>
        </w:rPr>
      </w:pPr>
      <w:r>
        <w:rPr>
          <w:rFonts w:hint="eastAsia" w:asciiTheme="majorEastAsia" w:hAnsiTheme="majorEastAsia" w:eastAsiaTheme="majorEastAsia" w:cstheme="majorEastAsia"/>
        </w:rPr>
        <w:t>7</w:t>
      </w:r>
      <w:r>
        <w:rPr>
          <w:rFonts w:hint="eastAsia" w:asciiTheme="majorEastAsia" w:hAnsiTheme="majorEastAsia" w:cstheme="majorEastAsia"/>
        </w:rPr>
        <w:t>.</w:t>
      </w:r>
      <w:r>
        <w:rPr>
          <w:rFonts w:hint="eastAsia" w:asciiTheme="majorEastAsia" w:hAnsiTheme="majorEastAsia" w:eastAsiaTheme="majorEastAsia" w:cstheme="majorEastAsia"/>
        </w:rPr>
        <w:t>易维修性技术要求</w:t>
      </w:r>
    </w:p>
    <w:p>
      <w:pPr>
        <w:spacing w:line="360" w:lineRule="auto"/>
        <w:jc w:val="left"/>
        <w:rPr>
          <w:rFonts w:ascii="宋体" w:hAnsi="宋体"/>
          <w:sz w:val="24"/>
          <w:szCs w:val="24"/>
        </w:rPr>
      </w:pPr>
      <w:r>
        <w:rPr>
          <w:rFonts w:hint="eastAsia" w:ascii="宋体" w:hAnsi="宋体"/>
          <w:sz w:val="24"/>
          <w:szCs w:val="24"/>
        </w:rPr>
        <w:t>7.</w:t>
      </w:r>
      <w:r>
        <w:rPr>
          <w:rFonts w:ascii="宋体" w:hAnsi="宋体"/>
          <w:sz w:val="24"/>
          <w:szCs w:val="24"/>
        </w:rPr>
        <w:t>1</w:t>
      </w:r>
      <w:r>
        <w:rPr>
          <w:rFonts w:hint="eastAsia" w:ascii="宋体" w:hAnsi="宋体"/>
          <w:sz w:val="24"/>
          <w:szCs w:val="24"/>
        </w:rPr>
        <w:t>投标方对设备可维修性进行描述，设备在设计、制造、布局、安装时应充分考虑了后续维修的易维修性、可修复性和维修作业的安全、可操作性。</w:t>
      </w:r>
    </w:p>
    <w:p>
      <w:pPr>
        <w:spacing w:line="360" w:lineRule="auto"/>
        <w:jc w:val="left"/>
        <w:rPr>
          <w:rFonts w:ascii="宋体" w:hAnsi="宋体"/>
          <w:sz w:val="24"/>
          <w:szCs w:val="24"/>
        </w:rPr>
      </w:pPr>
      <w:r>
        <w:rPr>
          <w:rFonts w:hint="eastAsia" w:ascii="宋体" w:hAnsi="宋体"/>
          <w:sz w:val="24"/>
          <w:szCs w:val="24"/>
        </w:rPr>
        <w:t>7.</w:t>
      </w:r>
      <w:r>
        <w:rPr>
          <w:rFonts w:ascii="宋体" w:hAnsi="宋体"/>
          <w:sz w:val="24"/>
          <w:szCs w:val="24"/>
        </w:rPr>
        <w:t>2</w:t>
      </w:r>
      <w:r>
        <w:rPr>
          <w:rFonts w:hint="eastAsia" w:ascii="宋体" w:hAnsi="宋体"/>
          <w:sz w:val="24"/>
          <w:szCs w:val="24"/>
        </w:rPr>
        <w:t>在正式提交的设备资料中应当包含设备的维修BOM。</w:t>
      </w:r>
    </w:p>
    <w:p>
      <w:pPr>
        <w:spacing w:line="360" w:lineRule="auto"/>
        <w:jc w:val="left"/>
        <w:rPr>
          <w:rFonts w:ascii="宋体" w:hAnsi="宋体"/>
          <w:b/>
          <w:bCs/>
          <w:sz w:val="24"/>
          <w:szCs w:val="24"/>
        </w:rPr>
      </w:pPr>
      <w:r>
        <w:rPr>
          <w:rFonts w:hint="eastAsia" w:ascii="宋体" w:hAnsi="宋体"/>
          <w:sz w:val="24"/>
          <w:szCs w:val="24"/>
        </w:rPr>
        <w:t>7.</w:t>
      </w:r>
      <w:r>
        <w:rPr>
          <w:rFonts w:ascii="宋体" w:hAnsi="宋体"/>
          <w:sz w:val="24"/>
          <w:szCs w:val="24"/>
        </w:rPr>
        <w:t>3</w:t>
      </w:r>
      <w:r>
        <w:rPr>
          <w:rFonts w:hint="eastAsia" w:ascii="宋体" w:hAnsi="宋体"/>
          <w:sz w:val="24"/>
          <w:szCs w:val="24"/>
        </w:rPr>
        <w:t>投标方在投标文件中应说明设备在维保方面的信息，包含但不限于：易损件清单、耗材清单、定期维保项目清单等，上述清单应包含单价。</w:t>
      </w:r>
    </w:p>
    <w:p>
      <w:pPr>
        <w:pStyle w:val="5"/>
        <w:rPr>
          <w:b w:val="0"/>
        </w:rPr>
      </w:pPr>
      <w:r>
        <w:rPr>
          <w:rFonts w:hint="eastAsia"/>
          <w:b w:val="0"/>
        </w:rPr>
        <w:t>8</w:t>
      </w:r>
      <w:r>
        <w:rPr>
          <w:rFonts w:hint="eastAsia" w:asciiTheme="majorEastAsia" w:hAnsiTheme="majorEastAsia" w:cstheme="majorEastAsia"/>
        </w:rPr>
        <w:t>.</w:t>
      </w:r>
      <w:r>
        <w:rPr>
          <w:rFonts w:hint="eastAsia"/>
          <w:b w:val="0"/>
        </w:rPr>
        <w:t>设备配置明细表</w:t>
      </w:r>
    </w:p>
    <w:tbl>
      <w:tblPr>
        <w:tblStyle w:val="7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2768"/>
        <w:gridCol w:w="1603"/>
        <w:gridCol w:w="1649"/>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016" w:type="dxa"/>
            <w:vAlign w:val="center"/>
          </w:tcPr>
          <w:p>
            <w:pPr>
              <w:widowControl/>
              <w:jc w:val="center"/>
              <w:rPr>
                <w:rFonts w:ascii="宋体" w:hAnsi="宋体"/>
                <w:color w:val="000000"/>
                <w:kern w:val="0"/>
                <w:szCs w:val="18"/>
              </w:rPr>
            </w:pPr>
            <w:r>
              <w:rPr>
                <w:rFonts w:hint="eastAsia" w:ascii="宋体" w:hAnsi="宋体"/>
                <w:color w:val="000000"/>
                <w:kern w:val="0"/>
                <w:szCs w:val="18"/>
              </w:rPr>
              <w:t>序号</w:t>
            </w:r>
          </w:p>
        </w:tc>
        <w:tc>
          <w:tcPr>
            <w:tcW w:w="2768" w:type="dxa"/>
            <w:vAlign w:val="center"/>
          </w:tcPr>
          <w:p>
            <w:pPr>
              <w:widowControl/>
              <w:jc w:val="center"/>
              <w:rPr>
                <w:rFonts w:ascii="宋体" w:hAnsi="宋体"/>
                <w:color w:val="000000"/>
                <w:kern w:val="0"/>
                <w:szCs w:val="18"/>
              </w:rPr>
            </w:pPr>
            <w:r>
              <w:rPr>
                <w:rFonts w:hint="eastAsia" w:ascii="宋体" w:hAnsi="宋体"/>
                <w:color w:val="000000"/>
                <w:kern w:val="0"/>
                <w:szCs w:val="18"/>
              </w:rPr>
              <w:t>名称</w:t>
            </w:r>
          </w:p>
        </w:tc>
        <w:tc>
          <w:tcPr>
            <w:tcW w:w="1603" w:type="dxa"/>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数量</w:t>
            </w:r>
          </w:p>
        </w:tc>
        <w:tc>
          <w:tcPr>
            <w:tcW w:w="1649" w:type="dxa"/>
            <w:vAlign w:val="center"/>
          </w:tcPr>
          <w:p>
            <w:pPr>
              <w:widowControl/>
              <w:jc w:val="center"/>
              <w:rPr>
                <w:rFonts w:ascii="宋体" w:hAnsi="宋体"/>
                <w:kern w:val="0"/>
                <w:szCs w:val="18"/>
              </w:rPr>
            </w:pPr>
            <w:r>
              <w:rPr>
                <w:rFonts w:hint="eastAsia" w:ascii="宋体" w:hAnsi="宋体" w:cs="宋体"/>
                <w:color w:val="000000"/>
                <w:kern w:val="0"/>
                <w:szCs w:val="18"/>
              </w:rPr>
              <w:t>品牌</w:t>
            </w:r>
          </w:p>
        </w:tc>
        <w:tc>
          <w:tcPr>
            <w:tcW w:w="1492" w:type="dxa"/>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b/>
                <w:color w:val="000000"/>
                <w:kern w:val="0"/>
                <w:szCs w:val="18"/>
              </w:rPr>
            </w:pPr>
            <w:r>
              <w:rPr>
                <w:rFonts w:ascii="宋体" w:hAnsi="宋体"/>
                <w:b/>
                <w:color w:val="000000"/>
                <w:kern w:val="0"/>
                <w:szCs w:val="18"/>
              </w:rPr>
              <w:t>1</w:t>
            </w:r>
          </w:p>
        </w:tc>
        <w:tc>
          <w:tcPr>
            <w:tcW w:w="2768" w:type="dxa"/>
            <w:shd w:val="clear" w:color="000000" w:fill="FFFFFF"/>
            <w:noWrap/>
            <w:vAlign w:val="center"/>
          </w:tcPr>
          <w:p>
            <w:pPr>
              <w:widowControl/>
              <w:jc w:val="center"/>
              <w:rPr>
                <w:rFonts w:ascii="宋体" w:hAnsi="宋体" w:cs="宋体"/>
                <w:b/>
                <w:color w:val="000000"/>
                <w:kern w:val="0"/>
                <w:szCs w:val="18"/>
              </w:rPr>
            </w:pPr>
            <w:r>
              <w:rPr>
                <w:rFonts w:hint="eastAsia" w:ascii="宋体" w:hAnsi="宋体" w:cs="宋体"/>
                <w:b/>
                <w:color w:val="000000"/>
                <w:kern w:val="0"/>
                <w:szCs w:val="18"/>
              </w:rPr>
              <w:t>供胶泵模组</w:t>
            </w:r>
          </w:p>
        </w:tc>
        <w:tc>
          <w:tcPr>
            <w:tcW w:w="1603" w:type="dxa"/>
            <w:shd w:val="clear" w:color="000000" w:fill="FFFFFF"/>
            <w:noWrap/>
            <w:vAlign w:val="center"/>
          </w:tcPr>
          <w:p>
            <w:pPr>
              <w:widowControl/>
              <w:jc w:val="center"/>
              <w:rPr>
                <w:rFonts w:ascii="宋体" w:hAnsi="宋体" w:cs="宋体"/>
                <w:color w:val="000000"/>
                <w:kern w:val="0"/>
                <w:szCs w:val="18"/>
              </w:rPr>
            </w:pPr>
          </w:p>
        </w:tc>
        <w:tc>
          <w:tcPr>
            <w:tcW w:w="1649" w:type="dxa"/>
            <w:shd w:val="clear" w:color="000000" w:fill="FFFFFF"/>
            <w:vAlign w:val="center"/>
          </w:tcPr>
          <w:p>
            <w:pPr>
              <w:widowControl/>
              <w:jc w:val="center"/>
              <w:rPr>
                <w:rFonts w:ascii="宋体" w:hAnsi="宋体" w:cs="宋体"/>
                <w:color w:val="000000"/>
                <w:kern w:val="0"/>
                <w:szCs w:val="18"/>
              </w:rPr>
            </w:pP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1.1</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供胶泵</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1</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G</w:t>
            </w:r>
            <w:r>
              <w:rPr>
                <w:rFonts w:ascii="宋体" w:hAnsi="宋体" w:cs="宋体"/>
                <w:color w:val="000000"/>
                <w:kern w:val="0"/>
                <w:szCs w:val="18"/>
              </w:rPr>
              <w:t>RACO</w:t>
            </w:r>
          </w:p>
        </w:tc>
        <w:tc>
          <w:tcPr>
            <w:tcW w:w="1492"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C</w:t>
            </w:r>
            <w:r>
              <w:rPr>
                <w:rFonts w:ascii="宋体" w:hAnsi="宋体" w:cs="宋体"/>
                <w:color w:val="000000"/>
                <w:kern w:val="0"/>
                <w:szCs w:val="18"/>
              </w:rPr>
              <w:t>M2L79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1</w:t>
            </w:r>
            <w:r>
              <w:rPr>
                <w:rFonts w:ascii="宋体" w:hAnsi="宋体"/>
                <w:color w:val="000000"/>
                <w:kern w:val="0"/>
                <w:szCs w:val="18"/>
              </w:rPr>
              <w:t>.</w:t>
            </w:r>
            <w:r>
              <w:rPr>
                <w:rFonts w:hint="eastAsia" w:ascii="宋体" w:hAnsi="宋体"/>
                <w:color w:val="000000"/>
                <w:kern w:val="0"/>
                <w:szCs w:val="18"/>
              </w:rPr>
              <w:t>2</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运桶小车</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1</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国优</w:t>
            </w: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1</w:t>
            </w:r>
            <w:r>
              <w:rPr>
                <w:rFonts w:ascii="宋体" w:hAnsi="宋体"/>
                <w:color w:val="000000"/>
                <w:kern w:val="0"/>
                <w:szCs w:val="18"/>
              </w:rPr>
              <w:t>.</w:t>
            </w:r>
            <w:r>
              <w:rPr>
                <w:rFonts w:hint="eastAsia" w:ascii="宋体" w:hAnsi="宋体"/>
                <w:color w:val="000000"/>
                <w:kern w:val="0"/>
                <w:szCs w:val="18"/>
              </w:rPr>
              <w:t>3</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加热胶管胶泵出口</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1</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G</w:t>
            </w:r>
            <w:r>
              <w:rPr>
                <w:rFonts w:ascii="宋体" w:hAnsi="宋体" w:cs="宋体"/>
                <w:color w:val="000000"/>
                <w:kern w:val="0"/>
                <w:szCs w:val="18"/>
              </w:rPr>
              <w:t>RACO</w:t>
            </w: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1</w:t>
            </w:r>
            <w:r>
              <w:rPr>
                <w:rFonts w:ascii="宋体" w:hAnsi="宋体"/>
                <w:color w:val="000000"/>
                <w:kern w:val="0"/>
                <w:szCs w:val="18"/>
              </w:rPr>
              <w:t>.</w:t>
            </w:r>
            <w:r>
              <w:rPr>
                <w:rFonts w:hint="eastAsia" w:ascii="宋体" w:hAnsi="宋体"/>
                <w:color w:val="000000"/>
                <w:kern w:val="0"/>
                <w:szCs w:val="18"/>
              </w:rPr>
              <w:t>4</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单向阀</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2</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国优</w:t>
            </w: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1</w:t>
            </w:r>
            <w:r>
              <w:rPr>
                <w:rFonts w:ascii="宋体" w:hAnsi="宋体"/>
                <w:color w:val="000000"/>
                <w:kern w:val="0"/>
                <w:szCs w:val="18"/>
              </w:rPr>
              <w:t>.</w:t>
            </w:r>
            <w:r>
              <w:rPr>
                <w:rFonts w:hint="eastAsia" w:ascii="宋体" w:hAnsi="宋体"/>
                <w:color w:val="000000"/>
                <w:kern w:val="0"/>
                <w:szCs w:val="18"/>
              </w:rPr>
              <w:t>5</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高压四通阀</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1</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国优</w:t>
            </w: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b/>
                <w:color w:val="000000"/>
                <w:kern w:val="0"/>
                <w:szCs w:val="18"/>
              </w:rPr>
            </w:pPr>
            <w:r>
              <w:rPr>
                <w:rFonts w:hint="eastAsia" w:ascii="宋体" w:hAnsi="宋体"/>
                <w:b/>
                <w:color w:val="000000"/>
                <w:kern w:val="0"/>
                <w:szCs w:val="18"/>
              </w:rPr>
              <w:t>2</w:t>
            </w:r>
          </w:p>
        </w:tc>
        <w:tc>
          <w:tcPr>
            <w:tcW w:w="2768" w:type="dxa"/>
            <w:shd w:val="clear" w:color="000000" w:fill="FFFFFF"/>
            <w:noWrap/>
            <w:vAlign w:val="center"/>
          </w:tcPr>
          <w:p>
            <w:pPr>
              <w:widowControl/>
              <w:jc w:val="center"/>
              <w:rPr>
                <w:rFonts w:ascii="宋体" w:hAnsi="宋体" w:cs="宋体"/>
                <w:b/>
                <w:color w:val="000000"/>
                <w:kern w:val="0"/>
                <w:szCs w:val="18"/>
              </w:rPr>
            </w:pPr>
            <w:r>
              <w:rPr>
                <w:rFonts w:hint="eastAsia" w:ascii="宋体" w:hAnsi="宋体" w:cs="宋体"/>
                <w:b/>
                <w:color w:val="000000"/>
                <w:kern w:val="0"/>
                <w:szCs w:val="18"/>
              </w:rPr>
              <w:t>供胶部分</w:t>
            </w:r>
          </w:p>
        </w:tc>
        <w:tc>
          <w:tcPr>
            <w:tcW w:w="1603" w:type="dxa"/>
            <w:shd w:val="clear" w:color="000000" w:fill="FFFFFF"/>
            <w:noWrap/>
            <w:vAlign w:val="center"/>
          </w:tcPr>
          <w:p>
            <w:pPr>
              <w:widowControl/>
              <w:jc w:val="center"/>
              <w:rPr>
                <w:rFonts w:ascii="宋体" w:hAnsi="宋体" w:cs="宋体"/>
                <w:color w:val="000000"/>
                <w:kern w:val="0"/>
                <w:szCs w:val="18"/>
              </w:rPr>
            </w:pPr>
          </w:p>
        </w:tc>
        <w:tc>
          <w:tcPr>
            <w:tcW w:w="1649" w:type="dxa"/>
            <w:shd w:val="clear" w:color="000000" w:fill="FFFFFF"/>
            <w:vAlign w:val="center"/>
          </w:tcPr>
          <w:p>
            <w:pPr>
              <w:widowControl/>
              <w:jc w:val="center"/>
              <w:rPr>
                <w:rFonts w:ascii="宋体" w:hAnsi="宋体" w:cs="宋体"/>
                <w:color w:val="000000"/>
                <w:kern w:val="0"/>
                <w:szCs w:val="18"/>
              </w:rPr>
            </w:pP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2</w:t>
            </w:r>
            <w:r>
              <w:rPr>
                <w:rFonts w:ascii="宋体" w:hAnsi="宋体"/>
                <w:color w:val="000000"/>
                <w:kern w:val="0"/>
                <w:szCs w:val="18"/>
              </w:rPr>
              <w:t>.</w:t>
            </w:r>
            <w:r>
              <w:rPr>
                <w:rFonts w:hint="eastAsia" w:ascii="宋体" w:hAnsi="宋体"/>
                <w:color w:val="000000"/>
                <w:kern w:val="0"/>
                <w:szCs w:val="18"/>
              </w:rPr>
              <w:t>1</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加热胶管</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1</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G</w:t>
            </w:r>
            <w:r>
              <w:rPr>
                <w:rFonts w:ascii="宋体" w:hAnsi="宋体" w:cs="宋体"/>
                <w:color w:val="000000"/>
                <w:kern w:val="0"/>
                <w:szCs w:val="18"/>
              </w:rPr>
              <w:t>RACO</w:t>
            </w: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2</w:t>
            </w:r>
            <w:r>
              <w:rPr>
                <w:rFonts w:ascii="宋体" w:hAnsi="宋体"/>
                <w:color w:val="000000"/>
                <w:kern w:val="0"/>
                <w:szCs w:val="18"/>
              </w:rPr>
              <w:t>.</w:t>
            </w:r>
            <w:r>
              <w:rPr>
                <w:rFonts w:hint="eastAsia" w:ascii="宋体" w:hAnsi="宋体"/>
                <w:color w:val="000000"/>
                <w:kern w:val="0"/>
                <w:szCs w:val="18"/>
              </w:rPr>
              <w:t>2</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硬管</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1</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国优</w:t>
            </w: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2</w:t>
            </w:r>
            <w:r>
              <w:rPr>
                <w:rFonts w:ascii="宋体" w:hAnsi="宋体"/>
                <w:color w:val="000000"/>
                <w:kern w:val="0"/>
                <w:szCs w:val="18"/>
              </w:rPr>
              <w:t>.</w:t>
            </w:r>
            <w:r>
              <w:rPr>
                <w:rFonts w:hint="eastAsia" w:ascii="宋体" w:hAnsi="宋体"/>
                <w:color w:val="000000"/>
                <w:kern w:val="0"/>
                <w:szCs w:val="18"/>
              </w:rPr>
              <w:t>3</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旋转胶枪</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2</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G</w:t>
            </w:r>
            <w:r>
              <w:rPr>
                <w:rFonts w:ascii="宋体" w:hAnsi="宋体" w:cs="宋体"/>
                <w:color w:val="000000"/>
                <w:kern w:val="0"/>
                <w:szCs w:val="18"/>
              </w:rPr>
              <w:t>RACO</w:t>
            </w: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2</w:t>
            </w:r>
            <w:r>
              <w:rPr>
                <w:rFonts w:ascii="宋体" w:hAnsi="宋体"/>
                <w:color w:val="000000"/>
                <w:kern w:val="0"/>
                <w:szCs w:val="18"/>
              </w:rPr>
              <w:t>.</w:t>
            </w:r>
            <w:r>
              <w:rPr>
                <w:rFonts w:hint="eastAsia" w:ascii="宋体" w:hAnsi="宋体"/>
                <w:color w:val="000000"/>
                <w:kern w:val="0"/>
                <w:szCs w:val="18"/>
              </w:rPr>
              <w:t>4</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胶嘴</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6</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国优</w:t>
            </w: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016" w:type="dxa"/>
            <w:shd w:val="clear" w:color="000000" w:fill="FFFFFF"/>
            <w:noWrap/>
            <w:vAlign w:val="center"/>
          </w:tcPr>
          <w:p>
            <w:pPr>
              <w:widowControl/>
              <w:jc w:val="center"/>
              <w:rPr>
                <w:rFonts w:ascii="宋体" w:hAnsi="宋体"/>
                <w:b/>
                <w:color w:val="000000"/>
                <w:kern w:val="0"/>
                <w:szCs w:val="18"/>
              </w:rPr>
            </w:pPr>
            <w:r>
              <w:rPr>
                <w:rFonts w:hint="eastAsia" w:ascii="宋体" w:hAnsi="宋体"/>
                <w:b/>
                <w:color w:val="000000"/>
                <w:kern w:val="0"/>
                <w:szCs w:val="18"/>
              </w:rPr>
              <w:t>3</w:t>
            </w:r>
          </w:p>
        </w:tc>
        <w:tc>
          <w:tcPr>
            <w:tcW w:w="2768" w:type="dxa"/>
            <w:shd w:val="clear" w:color="000000" w:fill="FFFFFF"/>
            <w:noWrap/>
            <w:vAlign w:val="center"/>
          </w:tcPr>
          <w:p>
            <w:pPr>
              <w:widowControl/>
              <w:jc w:val="center"/>
              <w:rPr>
                <w:rFonts w:ascii="宋体" w:hAnsi="宋体" w:cs="宋体"/>
                <w:b/>
                <w:color w:val="000000"/>
                <w:kern w:val="0"/>
                <w:szCs w:val="18"/>
              </w:rPr>
            </w:pPr>
            <w:r>
              <w:rPr>
                <w:rFonts w:hint="eastAsia" w:ascii="宋体" w:hAnsi="宋体" w:cs="宋体"/>
                <w:b/>
                <w:color w:val="000000"/>
                <w:kern w:val="0"/>
                <w:szCs w:val="18"/>
              </w:rPr>
              <w:t>手动涂胶</w:t>
            </w:r>
          </w:p>
        </w:tc>
        <w:tc>
          <w:tcPr>
            <w:tcW w:w="1603" w:type="dxa"/>
            <w:shd w:val="clear" w:color="000000" w:fill="FFFFFF"/>
            <w:noWrap/>
            <w:vAlign w:val="center"/>
          </w:tcPr>
          <w:p>
            <w:pPr>
              <w:widowControl/>
              <w:jc w:val="center"/>
              <w:rPr>
                <w:rFonts w:ascii="宋体" w:hAnsi="宋体" w:cs="宋体"/>
                <w:color w:val="000000"/>
                <w:kern w:val="0"/>
                <w:szCs w:val="18"/>
              </w:rPr>
            </w:pPr>
          </w:p>
        </w:tc>
        <w:tc>
          <w:tcPr>
            <w:tcW w:w="1649" w:type="dxa"/>
            <w:shd w:val="clear" w:color="000000" w:fill="FFFFFF"/>
            <w:vAlign w:val="center"/>
          </w:tcPr>
          <w:p>
            <w:pPr>
              <w:widowControl/>
              <w:jc w:val="center"/>
              <w:rPr>
                <w:rFonts w:ascii="宋体" w:hAnsi="宋体" w:cs="宋体"/>
                <w:color w:val="000000"/>
                <w:kern w:val="0"/>
                <w:szCs w:val="18"/>
              </w:rPr>
            </w:pP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3</w:t>
            </w:r>
            <w:r>
              <w:rPr>
                <w:rFonts w:ascii="宋体" w:hAnsi="宋体"/>
                <w:color w:val="000000"/>
                <w:kern w:val="0"/>
                <w:szCs w:val="18"/>
              </w:rPr>
              <w:t>.1</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充电手动涂胶枪</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1</w:t>
            </w:r>
          </w:p>
        </w:tc>
        <w:tc>
          <w:tcPr>
            <w:tcW w:w="1649" w:type="dxa"/>
            <w:shd w:val="clear" w:color="000000" w:fill="FFFFFF"/>
            <w:vAlign w:val="center"/>
          </w:tcPr>
          <w:p>
            <w:pPr>
              <w:widowControl/>
              <w:jc w:val="center"/>
              <w:rPr>
                <w:rFonts w:ascii="宋体" w:hAnsi="宋体" w:cs="宋体"/>
                <w:color w:val="000000"/>
                <w:kern w:val="0"/>
                <w:szCs w:val="18"/>
                <w:highlight w:val="red"/>
              </w:rPr>
            </w:pPr>
            <w:r>
              <w:rPr>
                <w:rFonts w:hint="eastAsia" w:ascii="宋体" w:hAnsi="宋体" w:cs="宋体"/>
                <w:color w:val="000000"/>
                <w:kern w:val="0"/>
                <w:szCs w:val="18"/>
              </w:rPr>
              <w:t>博世/美沃奇</w:t>
            </w: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3</w:t>
            </w:r>
            <w:r>
              <w:rPr>
                <w:rFonts w:ascii="宋体" w:hAnsi="宋体"/>
                <w:color w:val="000000"/>
                <w:kern w:val="0"/>
                <w:szCs w:val="18"/>
              </w:rPr>
              <w:t>.2</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充电插座</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1</w:t>
            </w:r>
          </w:p>
        </w:tc>
        <w:tc>
          <w:tcPr>
            <w:tcW w:w="1649" w:type="dxa"/>
            <w:shd w:val="clear" w:color="000000" w:fill="FFFFFF"/>
            <w:vAlign w:val="center"/>
          </w:tcPr>
          <w:p>
            <w:pPr>
              <w:widowControl/>
              <w:jc w:val="center"/>
              <w:rPr>
                <w:rFonts w:ascii="宋体" w:hAnsi="宋体" w:cs="宋体"/>
                <w:color w:val="000000"/>
                <w:kern w:val="0"/>
                <w:szCs w:val="18"/>
                <w:highlight w:val="red"/>
              </w:rPr>
            </w:pPr>
            <w:r>
              <w:rPr>
                <w:rFonts w:hint="eastAsia" w:ascii="宋体" w:hAnsi="宋体" w:cs="宋体"/>
                <w:color w:val="000000"/>
                <w:kern w:val="0"/>
                <w:szCs w:val="18"/>
              </w:rPr>
              <w:t>博世/美沃奇</w:t>
            </w: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b/>
                <w:color w:val="000000"/>
                <w:kern w:val="0"/>
                <w:szCs w:val="18"/>
              </w:rPr>
            </w:pPr>
            <w:r>
              <w:rPr>
                <w:rFonts w:hint="eastAsia" w:ascii="宋体" w:hAnsi="宋体"/>
                <w:b/>
                <w:color w:val="000000"/>
                <w:kern w:val="0"/>
                <w:szCs w:val="18"/>
              </w:rPr>
              <w:t>4</w:t>
            </w:r>
          </w:p>
        </w:tc>
        <w:tc>
          <w:tcPr>
            <w:tcW w:w="2768" w:type="dxa"/>
            <w:shd w:val="clear" w:color="000000" w:fill="FFFFFF"/>
            <w:noWrap/>
            <w:vAlign w:val="center"/>
          </w:tcPr>
          <w:p>
            <w:pPr>
              <w:widowControl/>
              <w:jc w:val="center"/>
              <w:rPr>
                <w:rFonts w:ascii="宋体" w:hAnsi="宋体" w:cs="宋体"/>
                <w:b/>
                <w:color w:val="000000"/>
                <w:kern w:val="0"/>
                <w:szCs w:val="18"/>
              </w:rPr>
            </w:pPr>
            <w:r>
              <w:rPr>
                <w:rFonts w:hint="eastAsia" w:ascii="宋体" w:hAnsi="宋体" w:cs="宋体"/>
                <w:b/>
                <w:color w:val="000000"/>
                <w:kern w:val="0"/>
                <w:szCs w:val="18"/>
              </w:rPr>
              <w:t>空气部分</w:t>
            </w:r>
          </w:p>
        </w:tc>
        <w:tc>
          <w:tcPr>
            <w:tcW w:w="1603" w:type="dxa"/>
            <w:shd w:val="clear" w:color="000000" w:fill="FFFFFF"/>
            <w:noWrap/>
            <w:vAlign w:val="center"/>
          </w:tcPr>
          <w:p>
            <w:pPr>
              <w:widowControl/>
              <w:jc w:val="center"/>
              <w:rPr>
                <w:rFonts w:ascii="宋体" w:hAnsi="宋体" w:cs="宋体"/>
                <w:color w:val="000000"/>
                <w:kern w:val="0"/>
                <w:szCs w:val="18"/>
              </w:rPr>
            </w:pPr>
          </w:p>
        </w:tc>
        <w:tc>
          <w:tcPr>
            <w:tcW w:w="1649" w:type="dxa"/>
            <w:shd w:val="clear" w:color="000000" w:fill="FFFFFF"/>
            <w:vAlign w:val="center"/>
          </w:tcPr>
          <w:p>
            <w:pPr>
              <w:widowControl/>
              <w:jc w:val="center"/>
              <w:rPr>
                <w:rFonts w:ascii="宋体" w:hAnsi="宋体" w:cs="宋体"/>
                <w:color w:val="000000"/>
                <w:kern w:val="0"/>
                <w:szCs w:val="18"/>
              </w:rPr>
            </w:pP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4</w:t>
            </w:r>
            <w:r>
              <w:rPr>
                <w:rFonts w:ascii="宋体" w:hAnsi="宋体"/>
                <w:color w:val="000000"/>
                <w:kern w:val="0"/>
                <w:szCs w:val="18"/>
              </w:rPr>
              <w:t>.1</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镀锌管</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1</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国优</w:t>
            </w: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4</w:t>
            </w:r>
            <w:r>
              <w:rPr>
                <w:rFonts w:ascii="宋体" w:hAnsi="宋体"/>
                <w:color w:val="000000"/>
                <w:kern w:val="0"/>
                <w:szCs w:val="18"/>
              </w:rPr>
              <w:t>.2</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球阀</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2</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国优</w:t>
            </w: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4</w:t>
            </w:r>
            <w:r>
              <w:rPr>
                <w:rFonts w:ascii="宋体" w:hAnsi="宋体"/>
                <w:color w:val="000000"/>
                <w:kern w:val="0"/>
                <w:szCs w:val="18"/>
              </w:rPr>
              <w:t>.3</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空气两联件</w:t>
            </w:r>
          </w:p>
        </w:tc>
        <w:tc>
          <w:tcPr>
            <w:tcW w:w="1603" w:type="dxa"/>
            <w:shd w:val="clear" w:color="000000" w:fill="FFFFFF"/>
            <w:noWrap/>
            <w:vAlign w:val="center"/>
          </w:tcPr>
          <w:p>
            <w:pPr>
              <w:widowControl/>
              <w:jc w:val="center"/>
              <w:rPr>
                <w:rFonts w:ascii="宋体" w:hAnsi="宋体" w:cs="宋体"/>
                <w:color w:val="000000"/>
                <w:kern w:val="0"/>
                <w:szCs w:val="18"/>
              </w:rPr>
            </w:pPr>
            <w:r>
              <w:rPr>
                <w:rFonts w:ascii="宋体" w:hAnsi="宋体" w:cs="宋体"/>
                <w:color w:val="000000"/>
                <w:kern w:val="0"/>
                <w:szCs w:val="18"/>
              </w:rPr>
              <w:t>1</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国优</w:t>
            </w: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4</w:t>
            </w:r>
            <w:r>
              <w:rPr>
                <w:rFonts w:ascii="宋体" w:hAnsi="宋体"/>
                <w:color w:val="000000"/>
                <w:kern w:val="0"/>
                <w:szCs w:val="18"/>
              </w:rPr>
              <w:t>.4</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空气软管</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2</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国优</w:t>
            </w: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b/>
                <w:color w:val="000000"/>
                <w:kern w:val="0"/>
                <w:szCs w:val="18"/>
              </w:rPr>
            </w:pPr>
            <w:r>
              <w:rPr>
                <w:rFonts w:hint="eastAsia" w:ascii="宋体" w:hAnsi="宋体"/>
                <w:b/>
                <w:color w:val="000000"/>
                <w:kern w:val="0"/>
                <w:szCs w:val="18"/>
              </w:rPr>
              <w:t>5</w:t>
            </w:r>
          </w:p>
        </w:tc>
        <w:tc>
          <w:tcPr>
            <w:tcW w:w="2768" w:type="dxa"/>
            <w:shd w:val="clear" w:color="000000" w:fill="FFFFFF"/>
            <w:noWrap/>
            <w:vAlign w:val="center"/>
          </w:tcPr>
          <w:p>
            <w:pPr>
              <w:widowControl/>
              <w:jc w:val="center"/>
              <w:rPr>
                <w:rFonts w:ascii="宋体" w:hAnsi="宋体" w:cs="宋体"/>
                <w:b/>
                <w:color w:val="000000"/>
                <w:kern w:val="0"/>
                <w:szCs w:val="18"/>
              </w:rPr>
            </w:pPr>
            <w:r>
              <w:rPr>
                <w:rFonts w:hint="eastAsia" w:ascii="宋体" w:hAnsi="宋体" w:cs="宋体"/>
                <w:b/>
                <w:color w:val="000000"/>
                <w:kern w:val="0"/>
                <w:szCs w:val="18"/>
              </w:rPr>
              <w:t>电气部分</w:t>
            </w:r>
          </w:p>
        </w:tc>
        <w:tc>
          <w:tcPr>
            <w:tcW w:w="1603" w:type="dxa"/>
            <w:shd w:val="clear" w:color="000000" w:fill="FFFFFF"/>
            <w:noWrap/>
            <w:vAlign w:val="center"/>
          </w:tcPr>
          <w:p>
            <w:pPr>
              <w:widowControl/>
              <w:jc w:val="center"/>
              <w:rPr>
                <w:rFonts w:ascii="宋体" w:hAnsi="宋体" w:cs="宋体"/>
                <w:color w:val="000000"/>
                <w:kern w:val="0"/>
                <w:szCs w:val="18"/>
              </w:rPr>
            </w:pPr>
          </w:p>
        </w:tc>
        <w:tc>
          <w:tcPr>
            <w:tcW w:w="1649" w:type="dxa"/>
            <w:shd w:val="clear" w:color="000000" w:fill="FFFFFF"/>
            <w:vAlign w:val="center"/>
          </w:tcPr>
          <w:p>
            <w:pPr>
              <w:widowControl/>
              <w:jc w:val="center"/>
              <w:rPr>
                <w:rFonts w:ascii="宋体" w:hAnsi="宋体" w:cs="宋体"/>
                <w:color w:val="000000"/>
                <w:kern w:val="0"/>
                <w:szCs w:val="18"/>
              </w:rPr>
            </w:pP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5</w:t>
            </w:r>
            <w:r>
              <w:rPr>
                <w:rFonts w:ascii="宋体" w:hAnsi="宋体"/>
                <w:color w:val="000000"/>
                <w:kern w:val="0"/>
                <w:szCs w:val="18"/>
              </w:rPr>
              <w:t>.1</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温度控制柜、</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1</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国优</w:t>
            </w: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color w:val="000000"/>
                <w:kern w:val="0"/>
                <w:szCs w:val="18"/>
              </w:rPr>
            </w:pPr>
            <w:r>
              <w:rPr>
                <w:rFonts w:hint="eastAsia" w:ascii="宋体" w:hAnsi="宋体"/>
                <w:color w:val="000000"/>
                <w:kern w:val="0"/>
                <w:szCs w:val="18"/>
              </w:rPr>
              <w:t>5</w:t>
            </w:r>
            <w:r>
              <w:rPr>
                <w:rFonts w:ascii="宋体" w:hAnsi="宋体"/>
                <w:color w:val="000000"/>
                <w:kern w:val="0"/>
                <w:szCs w:val="18"/>
              </w:rPr>
              <w:t>.2</w:t>
            </w:r>
          </w:p>
        </w:tc>
        <w:tc>
          <w:tcPr>
            <w:tcW w:w="2768"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温控部分</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1</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国优</w:t>
            </w:r>
          </w:p>
        </w:tc>
        <w:tc>
          <w:tcPr>
            <w:tcW w:w="1492" w:type="dxa"/>
            <w:shd w:val="clear" w:color="000000" w:fill="FFFFFF"/>
            <w:vAlign w:val="center"/>
          </w:tcPr>
          <w:p>
            <w:pPr>
              <w:widowControl/>
              <w:jc w:val="center"/>
              <w:rPr>
                <w:rFonts w:ascii="宋体" w:hAnsi="宋体" w:cs="宋体"/>
                <w:color w:val="000000"/>
                <w:kern w:val="0"/>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b/>
                <w:color w:val="000000"/>
                <w:kern w:val="0"/>
                <w:szCs w:val="18"/>
              </w:rPr>
            </w:pPr>
            <w:r>
              <w:rPr>
                <w:rFonts w:hint="eastAsia" w:ascii="宋体" w:hAnsi="宋体"/>
                <w:b/>
                <w:color w:val="000000"/>
                <w:kern w:val="0"/>
                <w:szCs w:val="18"/>
              </w:rPr>
              <w:t>6</w:t>
            </w:r>
          </w:p>
        </w:tc>
        <w:tc>
          <w:tcPr>
            <w:tcW w:w="2768" w:type="dxa"/>
            <w:shd w:val="clear" w:color="000000" w:fill="FFFFFF"/>
            <w:noWrap/>
            <w:vAlign w:val="center"/>
          </w:tcPr>
          <w:p>
            <w:pPr>
              <w:widowControl/>
              <w:jc w:val="center"/>
              <w:rPr>
                <w:rFonts w:ascii="宋体" w:hAnsi="宋体" w:cs="宋体"/>
                <w:b/>
                <w:color w:val="000000"/>
                <w:kern w:val="0"/>
                <w:szCs w:val="18"/>
              </w:rPr>
            </w:pPr>
            <w:r>
              <w:rPr>
                <w:rFonts w:hint="eastAsia" w:ascii="宋体" w:hAnsi="宋体" w:cs="宋体"/>
                <w:b/>
              </w:rPr>
              <w:t>电气设备及元件</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按需</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西门子</w:t>
            </w:r>
          </w:p>
        </w:tc>
        <w:tc>
          <w:tcPr>
            <w:tcW w:w="1492" w:type="dxa"/>
            <w:shd w:val="clear" w:color="000000" w:fill="FFFFFF"/>
            <w:vAlign w:val="center"/>
          </w:tcPr>
          <w:p>
            <w:pPr>
              <w:widowControl/>
              <w:jc w:val="center"/>
              <w:rPr>
                <w:rFonts w:ascii="宋体" w:hAnsi="宋体" w:cs="宋体"/>
                <w:color w:val="000000"/>
                <w:kern w:val="0"/>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16" w:type="dxa"/>
            <w:shd w:val="clear" w:color="000000" w:fill="FFFFFF"/>
            <w:noWrap/>
            <w:vAlign w:val="center"/>
          </w:tcPr>
          <w:p>
            <w:pPr>
              <w:widowControl/>
              <w:jc w:val="center"/>
              <w:rPr>
                <w:rFonts w:ascii="宋体" w:hAnsi="宋体"/>
                <w:b/>
                <w:color w:val="000000"/>
                <w:kern w:val="0"/>
                <w:szCs w:val="18"/>
              </w:rPr>
            </w:pPr>
            <w:r>
              <w:rPr>
                <w:rFonts w:hint="eastAsia" w:ascii="宋体" w:hAnsi="宋体"/>
                <w:b/>
                <w:color w:val="000000"/>
                <w:kern w:val="0"/>
                <w:szCs w:val="18"/>
              </w:rPr>
              <w:t>7</w:t>
            </w:r>
          </w:p>
        </w:tc>
        <w:tc>
          <w:tcPr>
            <w:tcW w:w="2768" w:type="dxa"/>
            <w:shd w:val="clear" w:color="000000" w:fill="FFFFFF"/>
            <w:noWrap/>
            <w:vAlign w:val="center"/>
          </w:tcPr>
          <w:p>
            <w:pPr>
              <w:widowControl/>
              <w:jc w:val="center"/>
              <w:rPr>
                <w:rFonts w:ascii="宋体" w:hAnsi="宋体" w:cs="宋体"/>
                <w:b/>
              </w:rPr>
            </w:pPr>
            <w:r>
              <w:rPr>
                <w:rFonts w:hint="eastAsia" w:ascii="宋体" w:hAnsi="宋体" w:cs="宋体"/>
                <w:b/>
              </w:rPr>
              <w:t>电动气泵吸盘</w:t>
            </w:r>
          </w:p>
        </w:tc>
        <w:tc>
          <w:tcPr>
            <w:tcW w:w="1603" w:type="dxa"/>
            <w:shd w:val="clear" w:color="000000" w:fill="FFFFFF"/>
            <w:noWrap/>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2套</w:t>
            </w:r>
          </w:p>
        </w:tc>
        <w:tc>
          <w:tcPr>
            <w:tcW w:w="1649" w:type="dxa"/>
            <w:shd w:val="clear" w:color="000000" w:fill="FFFFFF"/>
            <w:vAlign w:val="center"/>
          </w:tcPr>
          <w:p>
            <w:pPr>
              <w:widowControl/>
              <w:jc w:val="center"/>
              <w:rPr>
                <w:rFonts w:ascii="宋体" w:hAnsi="宋体" w:cs="宋体"/>
                <w:color w:val="000000"/>
                <w:kern w:val="0"/>
                <w:szCs w:val="18"/>
              </w:rPr>
            </w:pPr>
            <w:r>
              <w:rPr>
                <w:rFonts w:hint="eastAsia" w:ascii="宋体" w:hAnsi="宋体" w:cs="宋体"/>
                <w:color w:val="000000"/>
                <w:kern w:val="0"/>
                <w:szCs w:val="18"/>
              </w:rPr>
              <w:t>格勒堡</w:t>
            </w:r>
          </w:p>
        </w:tc>
        <w:tc>
          <w:tcPr>
            <w:tcW w:w="1492" w:type="dxa"/>
            <w:shd w:val="clear" w:color="000000" w:fill="FFFFFF"/>
            <w:vAlign w:val="center"/>
          </w:tcPr>
          <w:p>
            <w:pPr>
              <w:widowControl/>
              <w:jc w:val="center"/>
              <w:rPr>
                <w:rFonts w:ascii="宋体" w:hAnsi="宋体" w:cs="宋体"/>
                <w:color w:val="000000"/>
                <w:kern w:val="0"/>
                <w:szCs w:val="18"/>
                <w:highlight w:val="yellow"/>
              </w:rPr>
            </w:pPr>
          </w:p>
        </w:tc>
      </w:tr>
    </w:tbl>
    <w:p>
      <w:pPr>
        <w:spacing w:line="360" w:lineRule="auto"/>
        <w:rPr>
          <w:rFonts w:ascii="宋体" w:hAnsi="宋体"/>
          <w:sz w:val="24"/>
          <w:szCs w:val="24"/>
        </w:rPr>
      </w:pPr>
    </w:p>
    <w:p>
      <w:pPr>
        <w:spacing w:line="360" w:lineRule="auto"/>
        <w:rPr>
          <w:rFonts w:ascii="宋体" w:hAnsi="宋体" w:eastAsiaTheme="minorEastAsia"/>
          <w:sz w:val="24"/>
          <w:szCs w:val="24"/>
        </w:rPr>
      </w:pPr>
      <w:r>
        <w:rPr>
          <w:rFonts w:hint="eastAsia" w:ascii="宋体" w:hAnsi="宋体"/>
          <w:sz w:val="24"/>
          <w:szCs w:val="24"/>
        </w:rPr>
        <w:t>8.1投标方在投标文件中应说明所用配置具体产品品牌、规格、型号、参数、数量、产地等，包含但不限于配置表内容，如有其余必要配置，请协助加以补充。</w:t>
      </w:r>
    </w:p>
    <w:p>
      <w:pPr>
        <w:spacing w:line="360" w:lineRule="auto"/>
        <w:rPr>
          <w:rFonts w:ascii="宋体" w:hAnsi="宋体"/>
          <w:sz w:val="24"/>
          <w:szCs w:val="24"/>
        </w:rPr>
      </w:pPr>
      <w:r>
        <w:rPr>
          <w:rFonts w:hint="eastAsia" w:ascii="宋体" w:hAnsi="宋体"/>
          <w:sz w:val="24"/>
          <w:szCs w:val="24"/>
        </w:rPr>
        <w:t>8.2设备表面漆面颜色符合《Q-ZZ 30070 设备设施颜色标识》规定，外观无明显缺陷。</w:t>
      </w:r>
    </w:p>
    <w:p>
      <w:pPr>
        <w:spacing w:line="360" w:lineRule="auto"/>
        <w:rPr>
          <w:sz w:val="24"/>
          <w:szCs w:val="24"/>
        </w:rPr>
      </w:pPr>
      <w:r>
        <w:rPr>
          <w:rFonts w:hint="eastAsia" w:ascii="宋体" w:hAnsi="宋体"/>
          <w:sz w:val="24"/>
          <w:szCs w:val="24"/>
        </w:rPr>
        <w:t>8.3</w:t>
      </w:r>
      <w:r>
        <w:rPr>
          <w:rFonts w:hint="eastAsia"/>
          <w:sz w:val="24"/>
          <w:szCs w:val="24"/>
        </w:rPr>
        <w:t>合同签订后，招标方将组织工艺会签、图纸会签、制造过程监造等，一旦发现投标方质量、周期不满足要求时，招标方有权终止合同，所造成的一切损失，由投标方负责。</w:t>
      </w:r>
    </w:p>
    <w:p>
      <w:pPr>
        <w:spacing w:line="360" w:lineRule="auto"/>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9.设备技术要求</w:t>
      </w:r>
    </w:p>
    <w:p>
      <w:pPr>
        <w:spacing w:line="360" w:lineRule="auto"/>
        <w:rPr>
          <w:rFonts w:ascii="宋体" w:hAnsi="宋体"/>
          <w:sz w:val="24"/>
          <w:szCs w:val="24"/>
        </w:rPr>
      </w:pPr>
      <w:r>
        <w:rPr>
          <w:rFonts w:hint="eastAsia" w:ascii="宋体" w:hAnsi="宋体"/>
          <w:sz w:val="24"/>
          <w:szCs w:val="24"/>
        </w:rPr>
        <w:t>9.1工艺流程</w:t>
      </w:r>
    </w:p>
    <w:p>
      <w:pPr>
        <w:spacing w:line="360" w:lineRule="auto"/>
        <w:rPr>
          <w:rFonts w:ascii="宋体" w:hAnsi="宋体"/>
          <w:sz w:val="24"/>
          <w:szCs w:val="24"/>
        </w:rPr>
      </w:pPr>
      <w:r>
        <w:rPr>
          <w:rFonts w:hint="eastAsia" w:ascii="宋体" w:hAnsi="宋体"/>
          <w:sz w:val="24"/>
          <w:szCs w:val="24"/>
        </w:rPr>
        <w:t>9</w:t>
      </w:r>
      <w:r>
        <w:rPr>
          <w:rFonts w:ascii="宋体" w:hAnsi="宋体"/>
          <w:sz w:val="24"/>
          <w:szCs w:val="24"/>
        </w:rPr>
        <w:t>.1.1</w:t>
      </w:r>
      <w:r>
        <w:rPr>
          <w:rFonts w:hint="eastAsia" w:ascii="宋体" w:hAnsi="宋体"/>
          <w:sz w:val="24"/>
          <w:szCs w:val="24"/>
        </w:rPr>
        <w:t>该设备用于辅助完成皮卡车型驾驶室后窗玻璃底涂、涂胶、安装等。</w:t>
      </w:r>
    </w:p>
    <w:p>
      <w:pPr>
        <w:spacing w:line="360" w:lineRule="auto"/>
        <w:rPr>
          <w:rFonts w:ascii="宋体" w:hAnsi="宋体"/>
          <w:sz w:val="24"/>
          <w:szCs w:val="24"/>
        </w:rPr>
      </w:pPr>
      <w:r>
        <w:rPr>
          <w:rFonts w:hint="eastAsia" w:ascii="宋体" w:hAnsi="宋体"/>
          <w:sz w:val="24"/>
          <w:szCs w:val="24"/>
        </w:rPr>
        <w:t>9.1.2本涂胶和安装设备布置在内饰装配线。具体位置参考重汽轻卡二期总装平面布置图，该设备主要由一套供胶泵、一套双立柱升降机构、一套玻璃旋转台、胶枪及其他附属产品构成。</w:t>
      </w:r>
    </w:p>
    <w:p>
      <w:pPr>
        <w:spacing w:line="360" w:lineRule="auto"/>
        <w:rPr>
          <w:rFonts w:asciiTheme="minorEastAsia" w:hAnsiTheme="minorEastAsia" w:eastAsiaTheme="minorEastAsia" w:cstheme="minorEastAsia"/>
          <w:color w:val="000000"/>
          <w:sz w:val="24"/>
          <w:szCs w:val="28"/>
        </w:rPr>
      </w:pPr>
      <w:r>
        <w:rPr>
          <w:rFonts w:hint="eastAsia" w:ascii="宋体" w:hAnsi="宋体"/>
          <w:sz w:val="24"/>
          <w:szCs w:val="24"/>
        </w:rPr>
        <w:t>9.1.3玻璃由人工搬运放置在玻璃旋转台上，完成底涂及打胶工作后利用吸盘将玻璃安装在驾驶室对应位置即可</w:t>
      </w:r>
      <w:r>
        <w:rPr>
          <w:rFonts w:hint="eastAsia" w:asciiTheme="minorEastAsia" w:hAnsiTheme="minorEastAsia" w:eastAsiaTheme="minorEastAsia" w:cstheme="minorEastAsia"/>
          <w:color w:val="000000"/>
          <w:sz w:val="24"/>
          <w:szCs w:val="28"/>
        </w:rPr>
        <w:t>。</w:t>
      </w:r>
    </w:p>
    <w:p>
      <w:pPr>
        <w:spacing w:line="360" w:lineRule="auto"/>
        <w:rPr>
          <w:rFonts w:ascii="宋体" w:hAnsi="宋体"/>
          <w:sz w:val="24"/>
          <w:szCs w:val="24"/>
        </w:rPr>
      </w:pPr>
      <w:r>
        <w:rPr>
          <w:rFonts w:hint="eastAsia" w:ascii="宋体" w:hAnsi="宋体"/>
          <w:sz w:val="24"/>
          <w:szCs w:val="24"/>
        </w:rPr>
        <w:t>9.2供胶系统技术要求</w:t>
      </w:r>
    </w:p>
    <w:p>
      <w:pPr>
        <w:spacing w:line="360" w:lineRule="auto"/>
        <w:rPr>
          <w:rFonts w:ascii="宋体" w:hAnsi="宋体"/>
          <w:sz w:val="24"/>
          <w:szCs w:val="24"/>
        </w:rPr>
      </w:pPr>
      <w:r>
        <w:rPr>
          <w:rFonts w:hint="eastAsia" w:ascii="宋体" w:hAnsi="宋体"/>
          <w:sz w:val="24"/>
          <w:szCs w:val="24"/>
        </w:rPr>
        <w:t>9</w:t>
      </w:r>
      <w:r>
        <w:rPr>
          <w:rFonts w:ascii="宋体" w:hAnsi="宋体"/>
          <w:sz w:val="24"/>
          <w:szCs w:val="24"/>
        </w:rPr>
        <w:t>.2.1</w:t>
      </w:r>
      <w:r>
        <w:rPr>
          <w:rFonts w:hint="eastAsia" w:ascii="宋体" w:hAnsi="宋体"/>
          <w:sz w:val="24"/>
          <w:szCs w:val="24"/>
        </w:rPr>
        <w:t>胶泵：</w:t>
      </w:r>
    </w:p>
    <w:p>
      <w:pPr>
        <w:spacing w:line="360" w:lineRule="auto"/>
        <w:rPr>
          <w:rFonts w:eastAsiaTheme="minorEastAsia"/>
          <w:sz w:val="24"/>
        </w:rPr>
      </w:pPr>
      <w:r>
        <w:rPr>
          <w:rFonts w:hint="eastAsia" w:asciiTheme="minorEastAsia" w:hAnsiTheme="minorEastAsia" w:cstheme="minorEastAsia"/>
          <w:sz w:val="24"/>
        </w:rPr>
        <w:t>1)</w:t>
      </w:r>
      <w:r>
        <w:rPr>
          <w:rFonts w:hint="eastAsia"/>
          <w:sz w:val="24"/>
        </w:rPr>
        <w:t>每一台涂胶泵配备一套低液位报警、空气过滤装置及压力表。</w:t>
      </w:r>
    </w:p>
    <w:p>
      <w:pPr>
        <w:spacing w:line="360" w:lineRule="auto"/>
        <w:rPr>
          <w:rFonts w:eastAsiaTheme="minorEastAsia"/>
          <w:sz w:val="24"/>
        </w:rPr>
      </w:pPr>
      <w:r>
        <w:rPr>
          <w:rFonts w:hint="eastAsia" w:asciiTheme="minorEastAsia" w:hAnsiTheme="minorEastAsia" w:cstheme="minorEastAsia"/>
          <w:sz w:val="24"/>
        </w:rPr>
        <w:t>2)</w:t>
      </w:r>
      <w:r>
        <w:rPr>
          <w:rFonts w:hint="eastAsia"/>
          <w:sz w:val="24"/>
        </w:rPr>
        <w:t>胶泵为全程加热型胶泵、胶泵必须能够竖直固定到地面或者相应部位，当更换胶桶的时候或者涂胶系统工作的时候，胶泵不会发生任何位置移动或者晃动。</w:t>
      </w:r>
    </w:p>
    <w:p>
      <w:pPr>
        <w:spacing w:line="360" w:lineRule="auto"/>
        <w:rPr>
          <w:rFonts w:eastAsiaTheme="minorEastAsia"/>
          <w:sz w:val="24"/>
        </w:rPr>
      </w:pPr>
      <w:r>
        <w:rPr>
          <w:rFonts w:hint="eastAsia" w:asciiTheme="minorEastAsia" w:hAnsiTheme="minorEastAsia" w:cstheme="minorEastAsia"/>
          <w:sz w:val="24"/>
        </w:rPr>
        <w:t>3)</w:t>
      </w:r>
      <w:r>
        <w:rPr>
          <w:rFonts w:hint="eastAsia"/>
          <w:sz w:val="24"/>
        </w:rPr>
        <w:t>压盘自带检测功能，压盘在胶桶外时系统不运行，检测到压盘在胶桶内才可运行，压盘为密封加热压盘，压盘形式采用气动压盘式。</w:t>
      </w:r>
    </w:p>
    <w:p>
      <w:pPr>
        <w:spacing w:line="360" w:lineRule="auto"/>
        <w:rPr>
          <w:rFonts w:asciiTheme="minorEastAsia" w:hAnsiTheme="minorEastAsia" w:cstheme="minorEastAsia"/>
          <w:sz w:val="24"/>
        </w:rPr>
      </w:pPr>
      <w:r>
        <w:rPr>
          <w:rFonts w:hint="eastAsia" w:asciiTheme="minorEastAsia" w:hAnsiTheme="minorEastAsia" w:cstheme="minorEastAsia"/>
          <w:sz w:val="24"/>
        </w:rPr>
        <w:t>4)供胶主机的最大工作流量（60cycle/min）不小于3L/分钟。</w:t>
      </w:r>
    </w:p>
    <w:p>
      <w:pPr>
        <w:spacing w:line="360" w:lineRule="auto"/>
        <w:rPr>
          <w:rFonts w:asciiTheme="minorEastAsia" w:hAnsiTheme="minorEastAsia" w:cstheme="minorEastAsia"/>
          <w:sz w:val="24"/>
        </w:rPr>
      </w:pPr>
      <w:r>
        <w:rPr>
          <w:rFonts w:hint="eastAsia" w:asciiTheme="minorEastAsia" w:hAnsiTheme="minorEastAsia" w:cstheme="minorEastAsia"/>
          <w:sz w:val="24"/>
        </w:rPr>
        <w:t>5)胶泵配备防空打保护器，防止胶泵空打。</w:t>
      </w:r>
    </w:p>
    <w:p>
      <w:pPr>
        <w:spacing w:line="360" w:lineRule="auto"/>
        <w:rPr>
          <w:rFonts w:asciiTheme="minorEastAsia" w:hAnsiTheme="minorEastAsia" w:cstheme="minorEastAsia"/>
          <w:sz w:val="24"/>
        </w:rPr>
      </w:pPr>
      <w:r>
        <w:rPr>
          <w:rFonts w:hint="eastAsia" w:asciiTheme="minorEastAsia" w:hAnsiTheme="minorEastAsia" w:cstheme="minorEastAsia"/>
          <w:sz w:val="24"/>
        </w:rPr>
        <w:t>6)加热泵采用HPS控制柜，带加热控制柜，与定量缸控制器进行通讯，三色指示灯报警。</w:t>
      </w:r>
    </w:p>
    <w:p>
      <w:pPr>
        <w:spacing w:line="360" w:lineRule="auto"/>
        <w:rPr>
          <w:rFonts w:ascii="宋体" w:hAnsi="宋体"/>
          <w:sz w:val="24"/>
          <w:szCs w:val="24"/>
        </w:rPr>
      </w:pPr>
      <w:r>
        <w:rPr>
          <w:rFonts w:hint="eastAsia" w:ascii="宋体" w:hAnsi="宋体"/>
          <w:sz w:val="24"/>
          <w:szCs w:val="24"/>
        </w:rPr>
        <w:t>9</w:t>
      </w:r>
      <w:r>
        <w:rPr>
          <w:rFonts w:ascii="宋体" w:hAnsi="宋体"/>
          <w:sz w:val="24"/>
          <w:szCs w:val="24"/>
        </w:rPr>
        <w:t>.2.2</w:t>
      </w:r>
      <w:r>
        <w:rPr>
          <w:rFonts w:hint="eastAsia" w:ascii="宋体" w:hAnsi="宋体"/>
          <w:sz w:val="24"/>
          <w:szCs w:val="24"/>
        </w:rPr>
        <w:t>胶管：</w:t>
      </w:r>
    </w:p>
    <w:p>
      <w:pPr>
        <w:spacing w:line="360" w:lineRule="auto"/>
        <w:rPr>
          <w:rFonts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w:t>
      </w:r>
      <w:r>
        <w:rPr>
          <w:rFonts w:hint="eastAsia" w:asciiTheme="minorEastAsia" w:hAnsiTheme="minorEastAsia" w:cstheme="minorEastAsia"/>
          <w:sz w:val="24"/>
        </w:rPr>
        <w:t>耐高压加热胶管为多层复合结构由耐磨供料层，加热层，保温层，保护层及传感器组成。在配管、软管上设置加热装置，可对粘接剂实现加热、保温。</w:t>
      </w:r>
    </w:p>
    <w:p>
      <w:pPr>
        <w:spacing w:line="360" w:lineRule="auto"/>
        <w:rPr>
          <w:rFonts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w:t>
      </w:r>
      <w:r>
        <w:rPr>
          <w:rFonts w:hint="eastAsia" w:asciiTheme="minorEastAsia" w:hAnsiTheme="minorEastAsia" w:cstheme="minorEastAsia"/>
          <w:sz w:val="24"/>
        </w:rPr>
        <w:t>各种胶软、硬管，供胶能力需能满足节拍要求，且都带加热器，温度可达</w:t>
      </w:r>
      <w:r>
        <w:rPr>
          <w:rFonts w:asciiTheme="minorEastAsia" w:hAnsiTheme="minorEastAsia" w:cstheme="minorEastAsia"/>
          <w:sz w:val="24"/>
        </w:rPr>
        <w:t>7</w:t>
      </w:r>
      <w:r>
        <w:rPr>
          <w:rFonts w:hint="eastAsia" w:asciiTheme="minorEastAsia" w:hAnsiTheme="minorEastAsia" w:cstheme="minorEastAsia"/>
          <w:sz w:val="24"/>
        </w:rPr>
        <w:t>0摄氏度,且可调。</w:t>
      </w:r>
    </w:p>
    <w:p>
      <w:pPr>
        <w:spacing w:line="360" w:lineRule="auto"/>
        <w:rPr>
          <w:rFonts w:asciiTheme="minorEastAsia" w:hAnsiTheme="minorEastAsia" w:cstheme="minorEastAsia"/>
          <w:sz w:val="24"/>
        </w:rPr>
      </w:pPr>
      <w:r>
        <w:rPr>
          <w:rFonts w:hint="eastAsia" w:asciiTheme="minorEastAsia" w:hAnsiTheme="minorEastAsia" w:cstheme="minorEastAsia"/>
          <w:sz w:val="24"/>
        </w:rPr>
        <w:t>3</w:t>
      </w:r>
      <w:r>
        <w:rPr>
          <w:rFonts w:asciiTheme="minorEastAsia" w:hAnsiTheme="minorEastAsia" w:cstheme="minorEastAsia"/>
          <w:sz w:val="24"/>
        </w:rPr>
        <w:t>)</w:t>
      </w:r>
      <w:r>
        <w:rPr>
          <w:rFonts w:hint="eastAsia" w:asciiTheme="minorEastAsia" w:hAnsiTheme="minorEastAsia" w:cstheme="minorEastAsia"/>
          <w:sz w:val="24"/>
        </w:rPr>
        <w:t>软管使用聚四氟乙烯管，并要求有良好的耐久性能，须合理固定并用平衡器悬挂，以防止管道弯折损坏。</w:t>
      </w:r>
    </w:p>
    <w:p>
      <w:pPr>
        <w:spacing w:line="360" w:lineRule="auto"/>
        <w:rPr>
          <w:rFonts w:ascii="宋体" w:hAnsi="宋体"/>
          <w:sz w:val="24"/>
          <w:szCs w:val="24"/>
        </w:rPr>
      </w:pPr>
      <w:r>
        <w:rPr>
          <w:rFonts w:hint="eastAsia" w:ascii="宋体" w:hAnsi="宋体"/>
          <w:sz w:val="24"/>
          <w:szCs w:val="24"/>
        </w:rPr>
        <w:t>9</w:t>
      </w:r>
      <w:r>
        <w:rPr>
          <w:rFonts w:ascii="宋体" w:hAnsi="宋体"/>
          <w:sz w:val="24"/>
          <w:szCs w:val="24"/>
        </w:rPr>
        <w:t>.2.3</w:t>
      </w:r>
      <w:r>
        <w:rPr>
          <w:rFonts w:hint="eastAsia" w:ascii="宋体" w:hAnsi="宋体"/>
          <w:sz w:val="24"/>
          <w:szCs w:val="24"/>
        </w:rPr>
        <w:t>涂胶枪：</w:t>
      </w:r>
    </w:p>
    <w:p>
      <w:pPr>
        <w:spacing w:line="360" w:lineRule="auto"/>
        <w:rPr>
          <w:rFonts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w:t>
      </w:r>
      <w:r>
        <w:rPr>
          <w:rFonts w:hint="eastAsia" w:asciiTheme="minorEastAsia" w:hAnsiTheme="minorEastAsia" w:cstheme="minorEastAsia"/>
          <w:sz w:val="24"/>
        </w:rPr>
        <w:t>涂胶枪部分具有快速断胶功能，避免单块玻璃打胶完成后继续出胶。</w:t>
      </w:r>
    </w:p>
    <w:p>
      <w:pPr>
        <w:spacing w:line="360" w:lineRule="auto"/>
        <w:rPr>
          <w:rFonts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w:t>
      </w:r>
      <w:r>
        <w:rPr>
          <w:rFonts w:hint="eastAsia" w:asciiTheme="minorEastAsia" w:hAnsiTheme="minorEastAsia" w:cstheme="minorEastAsia"/>
          <w:sz w:val="24"/>
        </w:rPr>
        <w:t>为保证胶形、轨迹符合要求,胶枪转动时胶管不得与胶枪一起转动，即入胶端需采用万向节等类似结构，确保胶枪可360°自由旋转。</w:t>
      </w:r>
    </w:p>
    <w:p>
      <w:pPr>
        <w:spacing w:line="360" w:lineRule="auto"/>
        <w:rPr>
          <w:rFonts w:asciiTheme="minorEastAsia" w:hAnsiTheme="minorEastAsia" w:cstheme="minorEastAsia"/>
          <w:sz w:val="24"/>
        </w:rPr>
      </w:pPr>
      <w:r>
        <w:rPr>
          <w:rFonts w:hint="eastAsia" w:asciiTheme="minorEastAsia" w:hAnsiTheme="minorEastAsia" w:cstheme="minorEastAsia"/>
          <w:sz w:val="24"/>
        </w:rPr>
        <w:t>3</w:t>
      </w:r>
      <w:r>
        <w:rPr>
          <w:rFonts w:asciiTheme="minorEastAsia" w:hAnsiTheme="minorEastAsia" w:cstheme="minorEastAsia"/>
          <w:sz w:val="24"/>
        </w:rPr>
        <w:t>)</w:t>
      </w:r>
      <w:r>
        <w:rPr>
          <w:rFonts w:hint="eastAsia" w:asciiTheme="minorEastAsia" w:hAnsiTheme="minorEastAsia" w:cstheme="minorEastAsia"/>
          <w:sz w:val="24"/>
        </w:rPr>
        <w:t>胶枪与胶嘴的连接设计合理，在固定处设置定位机构，方便胶嘴更换，并确保胶嘴开口的相对位置固定。</w:t>
      </w:r>
    </w:p>
    <w:p>
      <w:pPr>
        <w:spacing w:line="360" w:lineRule="auto"/>
        <w:rPr>
          <w:rFonts w:asciiTheme="minorEastAsia" w:hAnsiTheme="minorEastAsia" w:cstheme="minorEastAsia"/>
          <w:sz w:val="24"/>
        </w:rPr>
      </w:pPr>
      <w:r>
        <w:rPr>
          <w:rFonts w:hint="eastAsia" w:asciiTheme="minorEastAsia" w:hAnsiTheme="minorEastAsia" w:cstheme="minorEastAsia"/>
          <w:sz w:val="24"/>
        </w:rPr>
        <w:t>4</w:t>
      </w:r>
      <w:r>
        <w:rPr>
          <w:rFonts w:asciiTheme="minorEastAsia" w:hAnsiTheme="minorEastAsia" w:cstheme="minorEastAsia"/>
          <w:sz w:val="24"/>
        </w:rPr>
        <w:t>)</w:t>
      </w:r>
      <w:r>
        <w:rPr>
          <w:rFonts w:hint="eastAsia" w:asciiTheme="minorEastAsia" w:hAnsiTheme="minorEastAsia" w:cstheme="minorEastAsia"/>
          <w:sz w:val="24"/>
        </w:rPr>
        <w:t>投标方提供一套充电手动涂胶枪设备，用于供胶系统出现问题后手动进行挡风玻璃打胶，手动涂胶设备满足生产工艺要求。</w:t>
      </w:r>
    </w:p>
    <w:p>
      <w:pPr>
        <w:spacing w:line="360" w:lineRule="auto"/>
        <w:rPr>
          <w:rFonts w:asciiTheme="minorEastAsia" w:hAnsiTheme="minorEastAsia" w:cstheme="minorEastAsia"/>
          <w:sz w:val="24"/>
        </w:rPr>
      </w:pPr>
      <w:r>
        <w:rPr>
          <w:rFonts w:hint="eastAsia" w:asciiTheme="minorEastAsia" w:hAnsiTheme="minorEastAsia" w:cstheme="minorEastAsia"/>
          <w:sz w:val="24"/>
        </w:rPr>
        <w:t>5</w:t>
      </w:r>
      <w:r>
        <w:rPr>
          <w:rFonts w:asciiTheme="minorEastAsia" w:hAnsiTheme="minorEastAsia" w:cstheme="minorEastAsia"/>
          <w:sz w:val="24"/>
        </w:rPr>
        <w:t>)</w:t>
      </w:r>
      <w:r>
        <w:rPr>
          <w:rFonts w:hint="eastAsia" w:asciiTheme="minorEastAsia" w:hAnsiTheme="minorEastAsia" w:cstheme="minorEastAsia"/>
          <w:sz w:val="24"/>
        </w:rPr>
        <w:t>胶枪附近布置悬挂装置一套，避免胶管与胶枪散落。</w:t>
      </w:r>
    </w:p>
    <w:p>
      <w:pPr>
        <w:spacing w:line="360" w:lineRule="auto"/>
        <w:rPr>
          <w:rFonts w:ascii="宋体" w:hAnsi="宋体"/>
          <w:sz w:val="24"/>
          <w:szCs w:val="24"/>
        </w:rPr>
      </w:pPr>
      <w:r>
        <w:rPr>
          <w:rFonts w:hint="eastAsia" w:ascii="宋体" w:hAnsi="宋体"/>
          <w:sz w:val="24"/>
          <w:szCs w:val="24"/>
        </w:rPr>
        <w:t>9</w:t>
      </w:r>
      <w:r>
        <w:rPr>
          <w:rFonts w:ascii="宋体" w:hAnsi="宋体"/>
          <w:sz w:val="24"/>
          <w:szCs w:val="24"/>
        </w:rPr>
        <w:t>.2.4</w:t>
      </w:r>
      <w:r>
        <w:rPr>
          <w:rFonts w:hint="eastAsia" w:ascii="宋体" w:hAnsi="宋体"/>
          <w:sz w:val="24"/>
          <w:szCs w:val="24"/>
        </w:rPr>
        <w:t>涂胶嘴：</w:t>
      </w:r>
    </w:p>
    <w:p>
      <w:pPr>
        <w:spacing w:line="360" w:lineRule="auto"/>
        <w:rPr>
          <w:rFonts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w:t>
      </w:r>
      <w:r>
        <w:rPr>
          <w:rFonts w:hint="eastAsia" w:asciiTheme="minorEastAsia" w:hAnsiTheme="minorEastAsia" w:cstheme="minorEastAsia"/>
          <w:sz w:val="24"/>
        </w:rPr>
        <w:t>为保证胶条的质量，胶枪嘴需采用国际知名品牌。</w:t>
      </w:r>
    </w:p>
    <w:p>
      <w:pPr>
        <w:spacing w:line="360" w:lineRule="auto"/>
        <w:rPr>
          <w:rFonts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w:t>
      </w:r>
      <w:r>
        <w:rPr>
          <w:rFonts w:hint="eastAsia" w:asciiTheme="minorEastAsia" w:hAnsiTheme="minorEastAsia" w:cstheme="minorEastAsia"/>
          <w:sz w:val="24"/>
        </w:rPr>
        <w:t>专用胶嘴根据胶型的要求定制设计，胶嘴形状尺寸满足其对应胶型，同时符合工艺要求。</w:t>
      </w:r>
    </w:p>
    <w:p>
      <w:pPr>
        <w:spacing w:line="360" w:lineRule="auto"/>
        <w:rPr>
          <w:rFonts w:asciiTheme="minorEastAsia" w:hAnsiTheme="minorEastAsia" w:cstheme="minorEastAsia"/>
          <w:sz w:val="24"/>
        </w:rPr>
      </w:pPr>
      <w:r>
        <w:rPr>
          <w:rFonts w:hint="eastAsia" w:asciiTheme="minorEastAsia" w:hAnsiTheme="minorEastAsia" w:cstheme="minorEastAsia"/>
          <w:sz w:val="24"/>
        </w:rPr>
        <w:t>3</w:t>
      </w:r>
      <w:r>
        <w:rPr>
          <w:rFonts w:asciiTheme="minorEastAsia" w:hAnsiTheme="minorEastAsia" w:cstheme="minorEastAsia"/>
          <w:sz w:val="24"/>
        </w:rPr>
        <w:t>)</w:t>
      </w:r>
      <w:r>
        <w:rPr>
          <w:rFonts w:hint="eastAsia" w:asciiTheme="minorEastAsia" w:hAnsiTheme="minorEastAsia" w:cstheme="minorEastAsia"/>
          <w:sz w:val="24"/>
        </w:rPr>
        <w:t>胶嘴采用空气清胶，且内壁光洁度需达到不挂胶状态。</w:t>
      </w:r>
    </w:p>
    <w:p>
      <w:pPr>
        <w:spacing w:line="360" w:lineRule="auto"/>
        <w:rPr>
          <w:rFonts w:ascii="宋体" w:hAnsi="宋体"/>
          <w:sz w:val="24"/>
          <w:szCs w:val="24"/>
        </w:rPr>
      </w:pPr>
      <w:r>
        <w:rPr>
          <w:rFonts w:hint="eastAsia" w:ascii="宋体" w:hAnsi="宋体"/>
          <w:sz w:val="24"/>
          <w:szCs w:val="24"/>
        </w:rPr>
        <w:t>9</w:t>
      </w:r>
      <w:r>
        <w:rPr>
          <w:rFonts w:ascii="宋体" w:hAnsi="宋体"/>
          <w:sz w:val="24"/>
          <w:szCs w:val="24"/>
        </w:rPr>
        <w:t>.2.5</w:t>
      </w:r>
      <w:r>
        <w:rPr>
          <w:rFonts w:hint="eastAsia" w:ascii="宋体" w:hAnsi="宋体"/>
          <w:sz w:val="24"/>
          <w:szCs w:val="24"/>
        </w:rPr>
        <w:t>旋转台：</w:t>
      </w:r>
    </w:p>
    <w:p>
      <w:pPr>
        <w:spacing w:line="360" w:lineRule="auto"/>
        <w:rPr>
          <w:rFonts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w:t>
      </w:r>
      <w:r>
        <w:rPr>
          <w:rFonts w:hint="eastAsia" w:asciiTheme="minorEastAsia" w:hAnsiTheme="minorEastAsia" w:cstheme="minorEastAsia"/>
          <w:sz w:val="24"/>
        </w:rPr>
        <w:t>完成后窗玻璃的定位、旋转等工作，需包括工作台、旋转电机、底座等。</w:t>
      </w:r>
    </w:p>
    <w:p>
      <w:pPr>
        <w:spacing w:line="360" w:lineRule="auto"/>
        <w:rPr>
          <w:rFonts w:asciiTheme="minorEastAsia" w:hAnsiTheme="minorEastAsia" w:cstheme="minorEastAsia"/>
          <w:sz w:val="24"/>
        </w:rPr>
      </w:pPr>
      <w:r>
        <w:rPr>
          <w:rFonts w:hint="eastAsia" w:asciiTheme="minorEastAsia" w:hAnsiTheme="minorEastAsia" w:cstheme="minorEastAsia"/>
          <w:sz w:val="24"/>
        </w:rPr>
        <w:t>2</w:t>
      </w:r>
      <w:r>
        <w:rPr>
          <w:rFonts w:asciiTheme="minorEastAsia" w:hAnsiTheme="minorEastAsia" w:cstheme="minorEastAsia"/>
          <w:sz w:val="24"/>
        </w:rPr>
        <w:t>)</w:t>
      </w:r>
      <w:r>
        <w:rPr>
          <w:rFonts w:hint="eastAsia" w:asciiTheme="minorEastAsia" w:hAnsiTheme="minorEastAsia" w:cstheme="minorEastAsia"/>
          <w:sz w:val="24"/>
        </w:rPr>
        <w:t>旋转台为气动结构，控制方式采用脚踏开关进行操作。</w:t>
      </w:r>
    </w:p>
    <w:p>
      <w:pPr>
        <w:spacing w:line="360" w:lineRule="auto"/>
        <w:rPr>
          <w:rFonts w:asciiTheme="minorEastAsia" w:hAnsiTheme="minorEastAsia" w:cstheme="minorEastAsia"/>
          <w:sz w:val="24"/>
        </w:rPr>
      </w:pPr>
      <w:r>
        <w:rPr>
          <w:rFonts w:hint="eastAsia" w:asciiTheme="minorEastAsia" w:hAnsiTheme="minorEastAsia" w:cstheme="minorEastAsia"/>
          <w:sz w:val="24"/>
        </w:rPr>
        <w:t>3</w:t>
      </w:r>
      <w:r>
        <w:rPr>
          <w:rFonts w:asciiTheme="minorEastAsia" w:hAnsiTheme="minorEastAsia" w:cstheme="minorEastAsia"/>
          <w:sz w:val="24"/>
        </w:rPr>
        <w:t>)</w:t>
      </w:r>
      <w:r>
        <w:rPr>
          <w:rFonts w:hint="eastAsia" w:asciiTheme="minorEastAsia" w:hAnsiTheme="minorEastAsia" w:cstheme="minorEastAsia"/>
          <w:sz w:val="24"/>
        </w:rPr>
        <w:t>后窗玻璃呈梯形状，且无密封条，需根据玻璃上两处定位柱制作工装，确保打胶过程中胶与玻璃外边界距离一致。</w:t>
      </w:r>
    </w:p>
    <w:p>
      <w:pPr>
        <w:spacing w:line="360" w:lineRule="auto"/>
        <w:rPr>
          <w:rFonts w:asciiTheme="minorEastAsia" w:hAnsiTheme="minorEastAsia" w:cstheme="minorEastAsia"/>
          <w:sz w:val="24"/>
        </w:rPr>
      </w:pPr>
      <w:r>
        <w:rPr>
          <w:rFonts w:hint="eastAsia" w:asciiTheme="minorEastAsia" w:hAnsiTheme="minorEastAsia" w:cstheme="minorEastAsia"/>
          <w:sz w:val="24"/>
        </w:rPr>
        <w:t>4</w:t>
      </w:r>
      <w:r>
        <w:rPr>
          <w:rFonts w:asciiTheme="minorEastAsia" w:hAnsiTheme="minorEastAsia" w:cstheme="minorEastAsia"/>
          <w:sz w:val="24"/>
        </w:rPr>
        <w:t>)</w:t>
      </w:r>
      <w:r>
        <w:rPr>
          <w:rFonts w:hint="eastAsia" w:asciiTheme="minorEastAsia" w:hAnsiTheme="minorEastAsia" w:cstheme="minorEastAsia"/>
          <w:sz w:val="24"/>
        </w:rPr>
        <w:t>玻璃详细参数请查阅附件。</w:t>
      </w:r>
    </w:p>
    <w:p>
      <w:pPr>
        <w:spacing w:line="360" w:lineRule="auto"/>
        <w:rPr>
          <w:rFonts w:asciiTheme="minorEastAsia" w:hAnsiTheme="minorEastAsia" w:cstheme="minorEastAsia"/>
          <w:sz w:val="24"/>
        </w:rPr>
      </w:pPr>
      <w:r>
        <w:rPr>
          <w:rFonts w:hint="eastAsia" w:asciiTheme="minorEastAsia" w:hAnsiTheme="minorEastAsia" w:cstheme="minorEastAsia"/>
          <w:sz w:val="24"/>
        </w:rPr>
        <w:t>9.2.6吸盘</w:t>
      </w:r>
    </w:p>
    <w:p>
      <w:pPr>
        <w:spacing w:line="360" w:lineRule="auto"/>
        <w:rPr>
          <w:rFonts w:asciiTheme="minorEastAsia" w:hAnsiTheme="minorEastAsia" w:cstheme="minorEastAsia"/>
          <w:sz w:val="24"/>
        </w:rPr>
      </w:pPr>
      <w:r>
        <w:rPr>
          <w:rFonts w:hint="eastAsia" w:asciiTheme="minorEastAsia" w:hAnsiTheme="minorEastAsia" w:cstheme="minorEastAsia"/>
          <w:sz w:val="24"/>
        </w:rPr>
        <w:t>1</w:t>
      </w:r>
      <w:r>
        <w:rPr>
          <w:rFonts w:asciiTheme="minorEastAsia" w:hAnsiTheme="minorEastAsia" w:cstheme="minorEastAsia"/>
          <w:sz w:val="24"/>
        </w:rPr>
        <w:t>)安装玻璃过程中所用移动</w:t>
      </w:r>
      <w:r>
        <w:rPr>
          <w:rFonts w:hint="eastAsia" w:asciiTheme="minorEastAsia" w:hAnsiTheme="minorEastAsia" w:cstheme="minorEastAsia"/>
          <w:sz w:val="24"/>
        </w:rPr>
        <w:t>吸盘</w:t>
      </w:r>
      <w:r>
        <w:rPr>
          <w:rFonts w:asciiTheme="minorEastAsia" w:hAnsiTheme="minorEastAsia" w:cstheme="minorEastAsia"/>
          <w:sz w:val="24"/>
        </w:rPr>
        <w:t>应使用电动气泵吸盘，达到快吸快放</w:t>
      </w:r>
      <w:r>
        <w:rPr>
          <w:rFonts w:hint="eastAsia" w:asciiTheme="minorEastAsia" w:hAnsiTheme="minorEastAsia" w:cstheme="minorEastAsia"/>
          <w:sz w:val="24"/>
        </w:rPr>
        <w:t>效果。</w:t>
      </w:r>
    </w:p>
    <w:p>
      <w:pPr>
        <w:pStyle w:val="3"/>
      </w:pPr>
      <w:bookmarkStart w:id="118" w:name="_Toc25724"/>
      <w:bookmarkStart w:id="119" w:name="_Toc29346"/>
      <w:r>
        <w:rPr>
          <w:rFonts w:hint="eastAsia"/>
        </w:rPr>
        <w:t>六、备品、备件</w:t>
      </w:r>
      <w:bookmarkEnd w:id="118"/>
      <w:bookmarkEnd w:id="119"/>
    </w:p>
    <w:p>
      <w:pPr>
        <w:snapToGrid w:val="0"/>
        <w:spacing w:line="360" w:lineRule="auto"/>
        <w:ind w:firstLine="480" w:firstLineChars="200"/>
        <w:rPr>
          <w:rFonts w:hAnsi="宋体" w:eastAsiaTheme="minorEastAsia"/>
          <w:sz w:val="24"/>
        </w:rPr>
      </w:pPr>
      <w:r>
        <w:rPr>
          <w:rFonts w:hint="eastAsia" w:hAnsi="宋体"/>
          <w:sz w:val="24"/>
        </w:rPr>
        <w:t>投标方向招</w:t>
      </w:r>
      <w:r>
        <w:rPr>
          <w:rFonts w:hint="eastAsia" w:hAnsi="宋体"/>
          <w:sz w:val="24"/>
          <w:u w:val="single"/>
        </w:rPr>
        <w:t>标方提供备件</w:t>
      </w:r>
      <w:r>
        <w:rPr>
          <w:rFonts w:hint="eastAsia" w:hAnsi="宋体"/>
          <w:sz w:val="24"/>
        </w:rPr>
        <w:t>清单，由招标方确认最终选择哪些作为备品备件。</w:t>
      </w:r>
    </w:p>
    <w:p>
      <w:pPr>
        <w:pStyle w:val="3"/>
      </w:pPr>
      <w:bookmarkStart w:id="120" w:name="_Toc17080"/>
      <w:bookmarkStart w:id="121" w:name="_Toc29734"/>
      <w:r>
        <w:rPr>
          <w:rFonts w:hint="eastAsia"/>
        </w:rPr>
        <w:t>七、验收</w:t>
      </w:r>
      <w:bookmarkEnd w:id="120"/>
      <w:bookmarkEnd w:id="121"/>
    </w:p>
    <w:p>
      <w:pPr>
        <w:pStyle w:val="4"/>
      </w:pPr>
      <w:bookmarkStart w:id="122" w:name="_Toc13326"/>
      <w:bookmarkStart w:id="123" w:name="_Toc14331"/>
      <w:r>
        <w:rPr>
          <w:rFonts w:hint="eastAsia"/>
        </w:rPr>
        <w:t>1、预验收</w:t>
      </w:r>
      <w:bookmarkEnd w:id="122"/>
      <w:bookmarkEnd w:id="123"/>
    </w:p>
    <w:p>
      <w:pPr>
        <w:spacing w:line="360" w:lineRule="auto"/>
        <w:ind w:firstLine="480" w:firstLineChars="200"/>
        <w:rPr>
          <w:sz w:val="24"/>
          <w:szCs w:val="24"/>
        </w:rPr>
      </w:pPr>
      <w:r>
        <w:rPr>
          <w:rFonts w:hint="eastAsia" w:ascii="宋体" w:hAnsi="宋体"/>
          <w:sz w:val="24"/>
        </w:rPr>
        <w:t>1.1</w:t>
      </w:r>
      <w:r>
        <w:rPr>
          <w:rFonts w:hint="eastAsia"/>
          <w:sz w:val="24"/>
          <w:szCs w:val="24"/>
        </w:rPr>
        <w:t>设备制造完成后，投标方在设备制造地点进行自验收，验收通过后，通知招标方到制造地点进行项目预验收。</w:t>
      </w:r>
    </w:p>
    <w:p>
      <w:pPr>
        <w:spacing w:line="360" w:lineRule="auto"/>
        <w:ind w:firstLine="480" w:firstLineChars="200"/>
        <w:rPr>
          <w:sz w:val="24"/>
          <w:szCs w:val="24"/>
        </w:rPr>
      </w:pPr>
      <w:r>
        <w:rPr>
          <w:rFonts w:hint="eastAsia" w:ascii="宋体" w:hAnsi="宋体"/>
          <w:sz w:val="24"/>
        </w:rPr>
        <w:t>1.2</w:t>
      </w:r>
      <w:r>
        <w:rPr>
          <w:rFonts w:hint="eastAsia"/>
          <w:sz w:val="24"/>
          <w:szCs w:val="24"/>
        </w:rPr>
        <w:t>招标方负责提供相关产品件用于项目的预验收。</w:t>
      </w:r>
    </w:p>
    <w:p>
      <w:pPr>
        <w:spacing w:line="360" w:lineRule="auto"/>
        <w:ind w:firstLine="480" w:firstLineChars="200"/>
        <w:rPr>
          <w:sz w:val="24"/>
          <w:szCs w:val="24"/>
        </w:rPr>
      </w:pPr>
      <w:r>
        <w:rPr>
          <w:rFonts w:hint="eastAsia" w:ascii="宋体" w:hAnsi="宋体"/>
          <w:sz w:val="24"/>
        </w:rPr>
        <w:t>1.3</w:t>
      </w:r>
      <w:r>
        <w:rPr>
          <w:rFonts w:hint="eastAsia"/>
          <w:sz w:val="24"/>
          <w:szCs w:val="24"/>
        </w:rPr>
        <w:t>双方参加，检查线体设备各部件操作性、吊具的吊装操作性等。经招标方确认合格后方可包装、发运。</w:t>
      </w:r>
    </w:p>
    <w:p>
      <w:pPr>
        <w:spacing w:line="360" w:lineRule="auto"/>
        <w:ind w:firstLine="480" w:firstLineChars="200"/>
        <w:rPr>
          <w:sz w:val="24"/>
          <w:szCs w:val="24"/>
        </w:rPr>
      </w:pPr>
      <w:r>
        <w:rPr>
          <w:rFonts w:hint="eastAsia" w:ascii="宋体" w:hAnsi="宋体"/>
          <w:sz w:val="24"/>
        </w:rPr>
        <w:t>1.4</w:t>
      </w:r>
      <w:r>
        <w:rPr>
          <w:rFonts w:hint="eastAsia"/>
          <w:sz w:val="24"/>
          <w:szCs w:val="24"/>
        </w:rPr>
        <w:t>在线体设备的预验收过程中，由于投标方设计或制造等原因而出现的质量问题，招标方有权提出请投标方返修，然后再次检查直至合格。</w:t>
      </w:r>
    </w:p>
    <w:p>
      <w:pPr>
        <w:spacing w:line="360" w:lineRule="auto"/>
        <w:ind w:firstLine="480" w:firstLineChars="200"/>
        <w:rPr>
          <w:sz w:val="24"/>
          <w:szCs w:val="24"/>
        </w:rPr>
      </w:pPr>
      <w:r>
        <w:rPr>
          <w:rFonts w:hint="eastAsia" w:ascii="宋体" w:hAnsi="宋体"/>
          <w:sz w:val="24"/>
        </w:rPr>
        <w:t>1.5</w:t>
      </w:r>
      <w:r>
        <w:rPr>
          <w:rFonts w:hint="eastAsia"/>
          <w:sz w:val="24"/>
          <w:szCs w:val="24"/>
        </w:rPr>
        <w:t>预验收合格后，发运前双方需签署预验收记录，但预验收合格的记录不能替代最终验收报告。</w:t>
      </w:r>
    </w:p>
    <w:p>
      <w:pPr>
        <w:spacing w:line="360" w:lineRule="auto"/>
        <w:ind w:firstLine="480" w:firstLineChars="200"/>
        <w:rPr>
          <w:sz w:val="24"/>
          <w:szCs w:val="24"/>
        </w:rPr>
      </w:pPr>
      <w:r>
        <w:rPr>
          <w:rFonts w:hint="eastAsia" w:ascii="宋体" w:hAnsi="宋体"/>
          <w:sz w:val="24"/>
        </w:rPr>
        <w:t>1.6</w:t>
      </w:r>
      <w:r>
        <w:rPr>
          <w:rFonts w:hint="eastAsia"/>
          <w:sz w:val="24"/>
          <w:szCs w:val="24"/>
        </w:rPr>
        <w:t>预验收合格后的所有试件应经防腐处理后设备一起发交至招标方。</w:t>
      </w:r>
    </w:p>
    <w:p>
      <w:pPr>
        <w:pStyle w:val="4"/>
      </w:pPr>
      <w:bookmarkStart w:id="124" w:name="_Toc22348"/>
      <w:bookmarkStart w:id="125" w:name="_Toc1981"/>
      <w:r>
        <w:rPr>
          <w:rFonts w:hint="eastAsia"/>
        </w:rPr>
        <w:t>2、终验收</w:t>
      </w:r>
      <w:bookmarkEnd w:id="124"/>
      <w:bookmarkEnd w:id="125"/>
    </w:p>
    <w:p>
      <w:pPr>
        <w:spacing w:line="360" w:lineRule="auto"/>
        <w:ind w:firstLine="480" w:firstLineChars="200"/>
        <w:rPr>
          <w:sz w:val="24"/>
          <w:szCs w:val="24"/>
        </w:rPr>
      </w:pPr>
      <w:r>
        <w:rPr>
          <w:rFonts w:hint="eastAsia" w:ascii="宋体" w:hAnsi="宋体"/>
          <w:sz w:val="24"/>
        </w:rPr>
        <w:t>2.1</w:t>
      </w:r>
      <w:r>
        <w:rPr>
          <w:rFonts w:hint="eastAsia"/>
          <w:sz w:val="24"/>
          <w:szCs w:val="24"/>
        </w:rPr>
        <w:t>投标方派专家到招标方现场对线体设备进行安装调试和技术指导。所有设备由投标方负责安装、调试完成后，</w:t>
      </w:r>
      <w:r>
        <w:rPr>
          <w:rFonts w:hint="eastAsia" w:ascii="宋体" w:hAnsi="宋体"/>
          <w:sz w:val="24"/>
        </w:rPr>
        <w:t>整线连续运行无故障时间(MTBF)1200小时，</w:t>
      </w:r>
      <w:r>
        <w:rPr>
          <w:rFonts w:hint="eastAsia"/>
          <w:sz w:val="24"/>
          <w:szCs w:val="24"/>
        </w:rPr>
        <w:t>双方在生产地点进行最终验收。</w:t>
      </w:r>
    </w:p>
    <w:p>
      <w:pPr>
        <w:spacing w:line="360" w:lineRule="auto"/>
        <w:ind w:firstLine="480" w:firstLineChars="200"/>
        <w:rPr>
          <w:sz w:val="24"/>
          <w:szCs w:val="24"/>
        </w:rPr>
      </w:pPr>
      <w:r>
        <w:rPr>
          <w:rFonts w:hint="eastAsia" w:ascii="宋体" w:hAnsi="宋体"/>
          <w:sz w:val="24"/>
        </w:rPr>
        <w:t>2.2</w:t>
      </w:r>
      <w:r>
        <w:rPr>
          <w:rFonts w:hint="eastAsia"/>
          <w:sz w:val="24"/>
          <w:szCs w:val="24"/>
        </w:rPr>
        <w:t>最终验收期间若发现合同供货内容有质量问题或发现破损、缺陷和缺少零件，投标方应根据招标方要求免费更换零部件并解决问题，并且记录在终验收的报告中。</w:t>
      </w:r>
    </w:p>
    <w:p>
      <w:pPr>
        <w:spacing w:line="360" w:lineRule="auto"/>
        <w:ind w:firstLine="480" w:firstLineChars="200"/>
        <w:rPr>
          <w:sz w:val="24"/>
          <w:szCs w:val="24"/>
        </w:rPr>
      </w:pPr>
      <w:r>
        <w:rPr>
          <w:rFonts w:hint="eastAsia" w:ascii="宋体" w:hAnsi="宋体"/>
          <w:sz w:val="24"/>
        </w:rPr>
        <w:t>2.3</w:t>
      </w:r>
      <w:r>
        <w:rPr>
          <w:rFonts w:hint="eastAsia"/>
          <w:sz w:val="24"/>
          <w:szCs w:val="24"/>
        </w:rPr>
        <w:t>按合同要求验收，若投标方提供的标的内容、技术资料与合同中规定的内容有不符或缺少时，招标方有权要求更换及补偿。</w:t>
      </w:r>
    </w:p>
    <w:p>
      <w:pPr>
        <w:spacing w:line="360" w:lineRule="auto"/>
        <w:ind w:firstLine="480" w:firstLineChars="200"/>
        <w:rPr>
          <w:sz w:val="24"/>
          <w:szCs w:val="24"/>
        </w:rPr>
      </w:pPr>
      <w:r>
        <w:rPr>
          <w:rFonts w:hint="eastAsia" w:ascii="宋体" w:hAnsi="宋体"/>
          <w:sz w:val="24"/>
        </w:rPr>
        <w:t>2.4</w:t>
      </w:r>
      <w:r>
        <w:rPr>
          <w:rFonts w:hint="eastAsia"/>
          <w:sz w:val="24"/>
          <w:szCs w:val="24"/>
        </w:rPr>
        <w:t>检验线体设备的精度、线体设备运行的稳定程度，如发现与合同要求不符，投标方应负责解决。</w:t>
      </w:r>
    </w:p>
    <w:p>
      <w:pPr>
        <w:spacing w:line="360" w:lineRule="auto"/>
        <w:ind w:firstLine="480" w:firstLineChars="200"/>
        <w:rPr>
          <w:sz w:val="24"/>
          <w:szCs w:val="24"/>
        </w:rPr>
      </w:pPr>
      <w:r>
        <w:rPr>
          <w:rFonts w:hint="eastAsia" w:ascii="宋体" w:hAnsi="宋体"/>
          <w:sz w:val="24"/>
        </w:rPr>
        <w:t>2.5</w:t>
      </w:r>
      <w:r>
        <w:rPr>
          <w:rFonts w:hint="eastAsia"/>
          <w:sz w:val="24"/>
          <w:szCs w:val="24"/>
        </w:rPr>
        <w:t>终验收合格后，双方签署终验收合格报告。</w:t>
      </w:r>
    </w:p>
    <w:p>
      <w:pPr>
        <w:spacing w:line="360" w:lineRule="auto"/>
        <w:ind w:firstLine="480" w:firstLineChars="200"/>
        <w:rPr>
          <w:sz w:val="24"/>
          <w:szCs w:val="24"/>
        </w:rPr>
      </w:pPr>
      <w:r>
        <w:rPr>
          <w:rFonts w:hint="eastAsia" w:ascii="宋体" w:hAnsi="宋体"/>
          <w:sz w:val="24"/>
        </w:rPr>
        <w:t>2.6</w:t>
      </w:r>
      <w:r>
        <w:rPr>
          <w:rFonts w:hint="eastAsia"/>
          <w:sz w:val="24"/>
          <w:szCs w:val="24"/>
        </w:rPr>
        <w:t>投标方一旦中标，需向招标方提供的技术文件资料：</w:t>
      </w:r>
    </w:p>
    <w:p>
      <w:pPr>
        <w:spacing w:line="360" w:lineRule="auto"/>
        <w:ind w:firstLine="480" w:firstLineChars="200"/>
        <w:rPr>
          <w:sz w:val="24"/>
          <w:szCs w:val="24"/>
        </w:rPr>
      </w:pPr>
      <w:r>
        <w:rPr>
          <w:rFonts w:hint="eastAsia"/>
          <w:sz w:val="24"/>
          <w:szCs w:val="24"/>
        </w:rPr>
        <w:t>所有技术文件资料均为纸质文件2套和电子版文件（含3D和2D）1套，其中所有电子版文件必须使用国际通用软件以确保能在招标方的计算机中打开并进行编辑和修改。</w:t>
      </w:r>
    </w:p>
    <w:p>
      <w:pPr>
        <w:spacing w:line="360" w:lineRule="auto"/>
        <w:ind w:firstLine="480" w:firstLineChars="200"/>
        <w:rPr>
          <w:sz w:val="24"/>
          <w:szCs w:val="24"/>
        </w:rPr>
      </w:pPr>
      <w:r>
        <w:rPr>
          <w:rFonts w:hint="eastAsia" w:ascii="宋体" w:hAnsi="宋体"/>
          <w:sz w:val="24"/>
        </w:rPr>
        <w:t>2.6.1</w:t>
      </w:r>
      <w:r>
        <w:rPr>
          <w:rFonts w:hint="eastAsia"/>
          <w:sz w:val="24"/>
          <w:szCs w:val="24"/>
        </w:rPr>
        <w:t>工艺部分</w:t>
      </w:r>
    </w:p>
    <w:p>
      <w:pPr>
        <w:spacing w:line="360" w:lineRule="auto"/>
        <w:ind w:firstLine="480" w:firstLineChars="200"/>
        <w:rPr>
          <w:sz w:val="24"/>
          <w:szCs w:val="24"/>
        </w:rPr>
      </w:pPr>
      <w:r>
        <w:rPr>
          <w:rFonts w:hint="eastAsia"/>
          <w:sz w:val="24"/>
          <w:szCs w:val="24"/>
        </w:rPr>
        <w:t>A.工艺方案及相应的作业指导书；</w:t>
      </w:r>
    </w:p>
    <w:p>
      <w:pPr>
        <w:spacing w:line="360" w:lineRule="auto"/>
        <w:ind w:firstLine="480" w:firstLineChars="200"/>
        <w:rPr>
          <w:sz w:val="24"/>
          <w:szCs w:val="24"/>
        </w:rPr>
      </w:pPr>
      <w:r>
        <w:rPr>
          <w:rFonts w:hint="eastAsia"/>
          <w:sz w:val="24"/>
          <w:szCs w:val="24"/>
        </w:rPr>
        <w:t>B.质量检验方案及相应的作业指导书；</w:t>
      </w:r>
    </w:p>
    <w:p>
      <w:pPr>
        <w:spacing w:line="360" w:lineRule="auto"/>
        <w:ind w:firstLine="480" w:firstLineChars="200"/>
        <w:rPr>
          <w:sz w:val="24"/>
          <w:szCs w:val="24"/>
        </w:rPr>
      </w:pPr>
      <w:r>
        <w:rPr>
          <w:rFonts w:hint="eastAsia"/>
          <w:sz w:val="24"/>
          <w:szCs w:val="24"/>
        </w:rPr>
        <w:t>C.各线体设备附件的数量、规格明细及可供制造或采购的图纸、标准；</w:t>
      </w:r>
    </w:p>
    <w:p>
      <w:pPr>
        <w:spacing w:line="360" w:lineRule="auto"/>
        <w:ind w:firstLine="480" w:firstLineChars="200"/>
        <w:rPr>
          <w:sz w:val="24"/>
          <w:szCs w:val="24"/>
        </w:rPr>
      </w:pPr>
      <w:r>
        <w:rPr>
          <w:rFonts w:hint="eastAsia"/>
          <w:sz w:val="24"/>
          <w:szCs w:val="24"/>
        </w:rPr>
        <w:t>D.标的物的操作、使用和维修手册，以及液压、电气、润滑（气动）原理图；</w:t>
      </w:r>
    </w:p>
    <w:p>
      <w:pPr>
        <w:spacing w:line="360" w:lineRule="auto"/>
        <w:ind w:firstLine="480" w:firstLineChars="200"/>
        <w:rPr>
          <w:sz w:val="24"/>
          <w:szCs w:val="24"/>
        </w:rPr>
      </w:pPr>
      <w:r>
        <w:rPr>
          <w:rFonts w:hint="eastAsia"/>
          <w:sz w:val="24"/>
          <w:szCs w:val="24"/>
        </w:rPr>
        <w:t>E.提供设施消耗水、电、气的详细资料。保证设施正常运行、维护和保养所必需的其它参数和资料；</w:t>
      </w:r>
    </w:p>
    <w:p>
      <w:pPr>
        <w:spacing w:line="360" w:lineRule="auto"/>
        <w:ind w:firstLine="480" w:firstLineChars="200"/>
        <w:rPr>
          <w:sz w:val="24"/>
          <w:szCs w:val="24"/>
        </w:rPr>
      </w:pPr>
      <w:r>
        <w:rPr>
          <w:rFonts w:hint="eastAsia"/>
          <w:sz w:val="24"/>
          <w:szCs w:val="24"/>
        </w:rPr>
        <w:t>F.水、电、气的位置图及接点、接口指示图。</w:t>
      </w:r>
    </w:p>
    <w:p>
      <w:pPr>
        <w:spacing w:line="360" w:lineRule="auto"/>
        <w:ind w:firstLine="480" w:firstLineChars="200"/>
        <w:rPr>
          <w:sz w:val="24"/>
          <w:szCs w:val="24"/>
        </w:rPr>
      </w:pPr>
      <w:r>
        <w:rPr>
          <w:rFonts w:hint="eastAsia" w:ascii="宋体" w:hAnsi="宋体"/>
          <w:sz w:val="24"/>
        </w:rPr>
        <w:t>2.6.2</w:t>
      </w:r>
      <w:r>
        <w:rPr>
          <w:rFonts w:hint="eastAsia"/>
          <w:sz w:val="24"/>
          <w:szCs w:val="24"/>
        </w:rPr>
        <w:t>工装部分</w:t>
      </w:r>
    </w:p>
    <w:p>
      <w:pPr>
        <w:spacing w:line="360" w:lineRule="auto"/>
        <w:ind w:firstLine="480" w:firstLineChars="200"/>
        <w:rPr>
          <w:sz w:val="24"/>
          <w:szCs w:val="24"/>
        </w:rPr>
      </w:pPr>
      <w:r>
        <w:rPr>
          <w:rFonts w:hint="eastAsia"/>
          <w:sz w:val="24"/>
          <w:szCs w:val="24"/>
        </w:rPr>
        <w:t>A.工装图纸（包括总成图、分总成图、部件图、零件图、基础图以及适用的标准等技术文件），投标方专利部分图纸，可提供简图；工装图中的各定位孔应有坐标数据表；</w:t>
      </w:r>
    </w:p>
    <w:p>
      <w:pPr>
        <w:spacing w:line="360" w:lineRule="auto"/>
        <w:ind w:firstLine="480" w:firstLineChars="200"/>
        <w:rPr>
          <w:sz w:val="24"/>
          <w:szCs w:val="24"/>
        </w:rPr>
      </w:pPr>
      <w:r>
        <w:rPr>
          <w:rFonts w:hint="eastAsia"/>
          <w:sz w:val="24"/>
          <w:szCs w:val="24"/>
        </w:rPr>
        <w:t>B.线体设备附件等明细表、外购件明细表及相应的供应商联系地址和使用、维修说明书；</w:t>
      </w:r>
    </w:p>
    <w:p>
      <w:pPr>
        <w:spacing w:line="360" w:lineRule="auto"/>
        <w:ind w:firstLine="480" w:firstLineChars="200"/>
        <w:rPr>
          <w:sz w:val="24"/>
          <w:szCs w:val="24"/>
        </w:rPr>
      </w:pPr>
      <w:r>
        <w:rPr>
          <w:rFonts w:hint="eastAsia"/>
          <w:sz w:val="24"/>
          <w:szCs w:val="24"/>
        </w:rPr>
        <w:t>C.电器、压缩空气、循环水、润滑系统原理图，润滑点及相应的维护使用说明书（图）；</w:t>
      </w:r>
    </w:p>
    <w:p>
      <w:pPr>
        <w:spacing w:line="360" w:lineRule="auto"/>
        <w:ind w:firstLine="480" w:firstLineChars="200"/>
        <w:rPr>
          <w:sz w:val="24"/>
          <w:szCs w:val="24"/>
        </w:rPr>
      </w:pPr>
      <w:r>
        <w:rPr>
          <w:rFonts w:hint="eastAsia"/>
          <w:sz w:val="24"/>
          <w:szCs w:val="24"/>
        </w:rPr>
        <w:t>D.工装使用说明书；</w:t>
      </w:r>
    </w:p>
    <w:p>
      <w:pPr>
        <w:spacing w:line="360" w:lineRule="auto"/>
        <w:ind w:firstLine="480" w:firstLineChars="200"/>
        <w:rPr>
          <w:sz w:val="24"/>
          <w:szCs w:val="24"/>
        </w:rPr>
      </w:pPr>
      <w:r>
        <w:rPr>
          <w:rFonts w:hint="eastAsia"/>
          <w:sz w:val="24"/>
          <w:szCs w:val="24"/>
        </w:rPr>
        <w:t>E.线体设备附件检测数据记录，终验收前需再次进行全线工装检测，并提供相关记录；</w:t>
      </w:r>
    </w:p>
    <w:p>
      <w:pPr>
        <w:spacing w:line="360" w:lineRule="auto"/>
        <w:ind w:firstLine="480" w:firstLineChars="200"/>
        <w:rPr>
          <w:sz w:val="24"/>
          <w:szCs w:val="24"/>
        </w:rPr>
      </w:pPr>
      <w:r>
        <w:rPr>
          <w:rFonts w:hint="eastAsia"/>
          <w:sz w:val="24"/>
          <w:szCs w:val="24"/>
        </w:rPr>
        <w:t>F.线体设备所生产产品的检测记录（包括检测数据记录并进行说明）。</w:t>
      </w:r>
    </w:p>
    <w:p>
      <w:pPr>
        <w:pStyle w:val="3"/>
      </w:pPr>
      <w:bookmarkStart w:id="126" w:name="_Toc11548"/>
      <w:bookmarkStart w:id="127" w:name="_Toc6599"/>
      <w:r>
        <w:rPr>
          <w:rFonts w:hint="eastAsia"/>
        </w:rPr>
        <w:t>八、服务</w:t>
      </w:r>
      <w:bookmarkEnd w:id="126"/>
      <w:bookmarkEnd w:id="127"/>
    </w:p>
    <w:p>
      <w:pPr>
        <w:pStyle w:val="4"/>
      </w:pPr>
      <w:bookmarkStart w:id="128" w:name="_Toc28631"/>
      <w:bookmarkStart w:id="129" w:name="_Toc29652"/>
      <w:r>
        <w:rPr>
          <w:rFonts w:hint="eastAsia"/>
        </w:rPr>
        <w:t>1.</w:t>
      </w:r>
      <w:r>
        <w:rPr>
          <w:rFonts w:hint="eastAsia"/>
        </w:rPr>
        <w:tab/>
      </w:r>
      <w:r>
        <w:rPr>
          <w:rFonts w:hint="eastAsia"/>
        </w:rPr>
        <w:t>技术培训</w:t>
      </w:r>
      <w:bookmarkEnd w:id="128"/>
      <w:bookmarkEnd w:id="129"/>
    </w:p>
    <w:p>
      <w:pPr>
        <w:spacing w:line="360" w:lineRule="auto"/>
        <w:ind w:firstLine="480" w:firstLineChars="200"/>
        <w:rPr>
          <w:sz w:val="24"/>
          <w:szCs w:val="24"/>
        </w:rPr>
      </w:pPr>
      <w:r>
        <w:rPr>
          <w:rFonts w:hint="eastAsia" w:ascii="宋体" w:hAnsi="宋体"/>
          <w:sz w:val="24"/>
        </w:rPr>
        <w:t>1.1</w:t>
      </w:r>
      <w:r>
        <w:rPr>
          <w:rFonts w:hint="eastAsia"/>
          <w:sz w:val="24"/>
          <w:szCs w:val="24"/>
        </w:rPr>
        <w:t>在预验收和终验收期间，投标方应派有经验的专家对招标方相关人员进行理论和实际操作的培训，并提供成套培训资料，所有培训应是免费的。</w:t>
      </w:r>
    </w:p>
    <w:p>
      <w:pPr>
        <w:spacing w:line="360" w:lineRule="auto"/>
        <w:ind w:firstLine="480" w:firstLineChars="200"/>
        <w:rPr>
          <w:sz w:val="24"/>
          <w:szCs w:val="24"/>
        </w:rPr>
      </w:pPr>
      <w:r>
        <w:rPr>
          <w:rFonts w:hint="eastAsia" w:ascii="宋体" w:hAnsi="宋体"/>
          <w:sz w:val="24"/>
        </w:rPr>
        <w:t>1.2</w:t>
      </w:r>
      <w:r>
        <w:rPr>
          <w:rFonts w:hint="eastAsia"/>
          <w:sz w:val="24"/>
          <w:szCs w:val="24"/>
        </w:rPr>
        <w:t>培训结束后，投标方应保证招标方相关人员能正确、熟练地掌握标的物的操作和维护，并在各条线体正常运行时，能排除一般性故障。</w:t>
      </w:r>
    </w:p>
    <w:p>
      <w:pPr>
        <w:spacing w:line="360" w:lineRule="auto"/>
        <w:ind w:firstLine="480" w:firstLineChars="200"/>
        <w:rPr>
          <w:sz w:val="24"/>
          <w:szCs w:val="24"/>
        </w:rPr>
      </w:pPr>
      <w:r>
        <w:rPr>
          <w:rFonts w:hint="eastAsia" w:ascii="宋体" w:hAnsi="宋体"/>
          <w:sz w:val="24"/>
        </w:rPr>
        <w:t>1.3</w:t>
      </w:r>
      <w:r>
        <w:rPr>
          <w:rFonts w:hint="eastAsia"/>
          <w:sz w:val="24"/>
          <w:szCs w:val="24"/>
        </w:rPr>
        <w:t>培训期间的交流语言为中文，当采用其他语言时投标方应提供翻译。</w:t>
      </w:r>
    </w:p>
    <w:p>
      <w:pPr>
        <w:pStyle w:val="4"/>
      </w:pPr>
      <w:bookmarkStart w:id="130" w:name="_Toc23777"/>
      <w:bookmarkStart w:id="131" w:name="_Toc28367"/>
      <w:r>
        <w:rPr>
          <w:rFonts w:hint="eastAsia"/>
        </w:rPr>
        <w:t>2.</w:t>
      </w:r>
      <w:r>
        <w:rPr>
          <w:rFonts w:hint="eastAsia"/>
        </w:rPr>
        <w:tab/>
      </w:r>
      <w:r>
        <w:rPr>
          <w:rFonts w:hint="eastAsia"/>
        </w:rPr>
        <w:t>质量保证期及售后服务</w:t>
      </w:r>
      <w:bookmarkEnd w:id="130"/>
      <w:bookmarkEnd w:id="131"/>
    </w:p>
    <w:p>
      <w:pPr>
        <w:spacing w:line="360" w:lineRule="auto"/>
        <w:ind w:firstLine="480" w:firstLineChars="200"/>
        <w:rPr>
          <w:sz w:val="24"/>
          <w:szCs w:val="24"/>
        </w:rPr>
      </w:pPr>
      <w:r>
        <w:rPr>
          <w:rFonts w:hint="eastAsia" w:ascii="宋体" w:hAnsi="宋体"/>
          <w:sz w:val="24"/>
        </w:rPr>
        <w:t>2.1</w:t>
      </w:r>
      <w:r>
        <w:rPr>
          <w:rFonts w:hint="eastAsia"/>
          <w:sz w:val="24"/>
          <w:szCs w:val="24"/>
        </w:rPr>
        <w:t>质量保证期为标的最终验收合格后12个月。</w:t>
      </w:r>
    </w:p>
    <w:p>
      <w:pPr>
        <w:spacing w:line="360" w:lineRule="auto"/>
        <w:ind w:firstLine="480" w:firstLineChars="200"/>
        <w:rPr>
          <w:sz w:val="24"/>
          <w:szCs w:val="24"/>
        </w:rPr>
      </w:pPr>
      <w:r>
        <w:rPr>
          <w:rFonts w:hint="eastAsia" w:ascii="宋体" w:hAnsi="宋体"/>
          <w:sz w:val="24"/>
        </w:rPr>
        <w:t>2.2</w:t>
      </w:r>
      <w:r>
        <w:rPr>
          <w:rFonts w:hint="eastAsia"/>
          <w:sz w:val="24"/>
          <w:szCs w:val="24"/>
        </w:rPr>
        <w:t>在设备终验收后，投标方应派专业人员到招标方现场陪产6个月，提供技术服务，以确保各线体线稳定运行以及生产节拍、产品质量和精度，如生产线在陪产期间有重大故障发生，陪产看护期顺延，以故障排除之日起重新计算6个月陪产期。</w:t>
      </w:r>
    </w:p>
    <w:p>
      <w:pPr>
        <w:spacing w:line="360" w:lineRule="auto"/>
        <w:ind w:firstLine="480" w:firstLineChars="200"/>
        <w:rPr>
          <w:sz w:val="24"/>
          <w:szCs w:val="24"/>
        </w:rPr>
      </w:pPr>
      <w:r>
        <w:rPr>
          <w:rFonts w:hint="eastAsia" w:ascii="宋体" w:hAnsi="宋体"/>
          <w:sz w:val="24"/>
        </w:rPr>
        <w:t>2.3</w:t>
      </w:r>
      <w:r>
        <w:rPr>
          <w:rFonts w:hint="eastAsia"/>
          <w:sz w:val="24"/>
          <w:szCs w:val="24"/>
        </w:rPr>
        <w:t>质保期内维修使用的备品备件由投标方提供。</w:t>
      </w:r>
    </w:p>
    <w:p>
      <w:pPr>
        <w:spacing w:line="360" w:lineRule="auto"/>
        <w:ind w:firstLine="480" w:firstLineChars="200"/>
        <w:rPr>
          <w:sz w:val="24"/>
          <w:szCs w:val="24"/>
        </w:rPr>
      </w:pPr>
      <w:r>
        <w:rPr>
          <w:rFonts w:hint="eastAsia" w:ascii="宋体" w:hAnsi="宋体"/>
          <w:sz w:val="24"/>
        </w:rPr>
        <w:t>2.4</w:t>
      </w:r>
      <w:r>
        <w:rPr>
          <w:rFonts w:hint="eastAsia"/>
          <w:sz w:val="24"/>
          <w:szCs w:val="24"/>
        </w:rPr>
        <w:t>质保期过后，投标方提供备品备件的明细、品牌和参数，招标方根据实际需求采购。</w:t>
      </w:r>
    </w:p>
    <w:p>
      <w:pPr>
        <w:pStyle w:val="3"/>
      </w:pPr>
      <w:bookmarkStart w:id="132" w:name="_Toc26897"/>
      <w:bookmarkStart w:id="133" w:name="_Toc15715"/>
      <w:r>
        <w:rPr>
          <w:rFonts w:hint="eastAsia"/>
        </w:rPr>
        <w:t>九、交货期</w:t>
      </w:r>
      <w:bookmarkEnd w:id="132"/>
      <w:bookmarkEnd w:id="133"/>
    </w:p>
    <w:p>
      <w:pPr>
        <w:spacing w:line="360" w:lineRule="auto"/>
        <w:ind w:firstLine="480" w:firstLineChars="200"/>
        <w:rPr>
          <w:sz w:val="24"/>
          <w:szCs w:val="24"/>
        </w:rPr>
      </w:pPr>
      <w:r>
        <w:rPr>
          <w:rFonts w:hint="eastAsia"/>
          <w:sz w:val="24"/>
          <w:szCs w:val="24"/>
        </w:rPr>
        <w:t>投标方收到中标通知书后</w:t>
      </w:r>
      <w:r>
        <w:rPr>
          <w:rFonts w:hint="eastAsia"/>
          <w:sz w:val="24"/>
          <w:szCs w:val="24"/>
          <w:lang w:val="en-US" w:eastAsia="zh-CN"/>
        </w:rPr>
        <w:t>60</w:t>
      </w:r>
      <w:r>
        <w:rPr>
          <w:rFonts w:hint="eastAsia"/>
          <w:sz w:val="24"/>
          <w:szCs w:val="24"/>
        </w:rPr>
        <w:t>个日历日内所有设备完成预验收并发运至招标方指定地点。</w:t>
      </w:r>
    </w:p>
    <w:p>
      <w:pPr>
        <w:spacing w:line="360" w:lineRule="auto"/>
        <w:jc w:val="left"/>
        <w:rPr>
          <w:rFonts w:ascii="宋体" w:hAnsi="宋体"/>
          <w:bCs/>
          <w:color w:val="000000"/>
          <w:sz w:val="24"/>
          <w:szCs w:val="24"/>
          <w:u w:val="single"/>
        </w:rPr>
      </w:pPr>
    </w:p>
    <w:bookmarkEnd w:id="100"/>
    <w:bookmarkEnd w:id="101"/>
    <w:bookmarkEnd w:id="102"/>
    <w:bookmarkEnd w:id="103"/>
    <w:p>
      <w:pPr>
        <w:pStyle w:val="2"/>
        <w:jc w:val="both"/>
        <w:rPr>
          <w:rFonts w:hint="eastAsia" w:ascii="宋体" w:hAnsi="宋体"/>
        </w:rPr>
      </w:pPr>
    </w:p>
    <w:p>
      <w:pPr>
        <w:pStyle w:val="2"/>
        <w:rPr>
          <w:rFonts w:hint="eastAsia" w:ascii="宋体" w:hAnsi="宋体"/>
        </w:rPr>
      </w:pPr>
    </w:p>
    <w:p>
      <w:pPr>
        <w:pStyle w:val="4"/>
        <w:spacing w:before="120" w:after="120" w:line="360" w:lineRule="exact"/>
        <w:rPr>
          <w:rFonts w:ascii="宋体" w:hAnsi="宋体"/>
          <w:sz w:val="24"/>
          <w:szCs w:val="24"/>
        </w:rPr>
      </w:pPr>
    </w:p>
    <w:p>
      <w:pPr>
        <w:shd w:val="clear" w:color="auto" w:fill="FFFFFF"/>
        <w:spacing w:line="300" w:lineRule="auto"/>
        <w:ind w:left="420"/>
        <w:textAlignment w:val="top"/>
        <w:rPr>
          <w:rFonts w:ascii="宋体" w:hAnsi="宋体"/>
          <w:sz w:val="24"/>
          <w:szCs w:val="24"/>
        </w:rPr>
      </w:pPr>
    </w:p>
    <w:p/>
    <w:p>
      <w:pPr>
        <w:rPr>
          <w:rFonts w:ascii="宋体" w:hAnsi="宋体"/>
        </w:rPr>
      </w:pPr>
      <w:r>
        <w:br w:type="page"/>
      </w:r>
    </w:p>
    <w:p>
      <w:pPr>
        <w:ind w:right="0" w:firstLine="0"/>
        <w:jc w:val="center"/>
        <w:rPr>
          <w:rFonts w:ascii="楷体_GB2312" w:hAnsi="宋体" w:eastAsia="楷体_GB2312"/>
          <w:sz w:val="40"/>
          <w:u w:val="single"/>
        </w:rPr>
      </w:pPr>
      <w:r>
        <w:rPr>
          <w:rFonts w:ascii="楷体_GB2312" w:hAnsi="宋体" w:eastAsia="楷体_GB2312"/>
          <w:sz w:val="40"/>
          <w:u w:val="single"/>
        </w:rPr>
        <w:t>本合同模板作为参考</w:t>
      </w:r>
      <w:r>
        <w:rPr>
          <w:rFonts w:hint="eastAsia" w:ascii="楷体_GB2312" w:hAnsi="宋体" w:eastAsia="楷体_GB2312"/>
          <w:sz w:val="40"/>
          <w:u w:val="single"/>
        </w:rPr>
        <w:t>，</w:t>
      </w:r>
      <w:r>
        <w:rPr>
          <w:rFonts w:ascii="楷体_GB2312" w:hAnsi="宋体" w:eastAsia="楷体_GB2312"/>
          <w:sz w:val="40"/>
          <w:u w:val="single"/>
        </w:rPr>
        <w:t>以最终签订合同内容为准</w:t>
      </w:r>
    </w:p>
    <w:p>
      <w:pPr>
        <w:pStyle w:val="2"/>
        <w:rPr>
          <w:rFonts w:hint="eastAsia" w:ascii="宋体" w:hAnsi="宋体"/>
        </w:rPr>
      </w:pPr>
    </w:p>
    <w:p>
      <w:pPr>
        <w:pStyle w:val="2"/>
        <w:rPr>
          <w:rFonts w:ascii="宋体" w:hAnsi="宋体"/>
          <w:b w:val="0"/>
          <w:sz w:val="24"/>
          <w:szCs w:val="24"/>
        </w:rPr>
      </w:pPr>
      <w:bookmarkStart w:id="134" w:name="_Toc12715"/>
      <w:bookmarkStart w:id="135" w:name="_Toc16997"/>
      <w:r>
        <w:rPr>
          <w:rFonts w:hint="eastAsia" w:ascii="宋体" w:hAnsi="宋体"/>
        </w:rPr>
        <w:t xml:space="preserve">第五章   </w:t>
      </w:r>
      <w:r>
        <w:rPr>
          <w:rFonts w:hint="eastAsia" w:ascii="宋体" w:hAnsi="宋体"/>
          <w:sz w:val="40"/>
        </w:rPr>
        <w:t>设备采购合同</w:t>
      </w:r>
      <w:bookmarkEnd w:id="104"/>
      <w:bookmarkEnd w:id="105"/>
      <w:bookmarkEnd w:id="134"/>
      <w:bookmarkEnd w:id="135"/>
    </w:p>
    <w:p>
      <w:pPr>
        <w:ind w:right="360"/>
        <w:jc w:val="right"/>
        <w:rPr>
          <w:rFonts w:ascii="楷体_GB2312" w:hAnsi="宋体" w:eastAsia="楷体_GB2312"/>
          <w:sz w:val="24"/>
        </w:rPr>
      </w:pPr>
      <w:bookmarkStart w:id="136" w:name="_Toc283814116"/>
    </w:p>
    <w:p>
      <w:pPr>
        <w:jc w:val="right"/>
        <w:rPr>
          <w:rFonts w:ascii="楷体_GB2312" w:hAnsi="宋体" w:eastAsia="楷体_GB2312"/>
          <w:sz w:val="24"/>
        </w:rPr>
      </w:pPr>
      <w:r>
        <w:pict>
          <v:shape id="对象 6" o:spid="_x0000_s1035" o:spt="75" type="#_x0000_t75" style="position:absolute;left:0pt;margin-left:-37.05pt;margin-top:7pt;height:49.55pt;width:195.45pt;z-index:251663360;mso-width-relative:page;mso-height-relative:page;" o:ole="t" filled="f" o:preferrelative="t" stroked="f" coordsize="21600,21600">
            <v:path/>
            <v:fill on="f" focussize="0,0"/>
            <v:stroke on="f" joinstyle="miter"/>
            <v:imagedata r:id="rId10" o:title=""/>
            <o:lock v:ext="edit" aspectratio="t"/>
          </v:shape>
          <o:OLEObject Type="Embed" ProgID="PBrush" ShapeID="对象 6" DrawAspect="Content" ObjectID="_1468075725" r:id="rId9">
            <o:LockedField>false</o:LockedField>
          </o:OLEObject>
        </w:pict>
      </w:r>
    </w:p>
    <w:p>
      <w:pPr>
        <w:jc w:val="right"/>
        <w:rPr>
          <w:rFonts w:ascii="楷体_GB2312" w:hAnsi="宋体" w:eastAsia="楷体_GB2312"/>
          <w:sz w:val="24"/>
        </w:rPr>
      </w:pPr>
    </w:p>
    <w:p>
      <w:pPr>
        <w:ind w:right="480"/>
        <w:jc w:val="right"/>
        <w:rPr>
          <w:rFonts w:eastAsia="楷体_GB2312"/>
          <w:sz w:val="30"/>
          <w:szCs w:val="30"/>
        </w:rPr>
      </w:pPr>
      <w:r>
        <w:rPr>
          <w:rFonts w:hint="eastAsia" w:ascii="楷体_GB2312" w:hAnsi="宋体" w:eastAsia="楷体_GB2312"/>
          <w:sz w:val="30"/>
          <w:szCs w:val="30"/>
        </w:rPr>
        <w:t>合同编号：</w:t>
      </w:r>
    </w:p>
    <w:p>
      <w:pPr>
        <w:ind w:right="-189" w:rightChars="-90"/>
        <w:jc w:val="center"/>
        <w:rPr>
          <w:rFonts w:ascii="楷体_GB2312" w:hAnsi="宋体" w:eastAsia="楷体_GB2312"/>
          <w:b/>
          <w:sz w:val="24"/>
        </w:rPr>
      </w:pPr>
    </w:p>
    <w:p>
      <w:pPr>
        <w:ind w:right="-189" w:rightChars="-90"/>
        <w:jc w:val="center"/>
        <w:rPr>
          <w:rFonts w:ascii="楷体_GB2312" w:hAnsi="宋体" w:eastAsia="楷体_GB2312"/>
          <w:b/>
          <w:sz w:val="24"/>
        </w:rPr>
      </w:pPr>
    </w:p>
    <w:p>
      <w:pPr>
        <w:ind w:right="-189" w:rightChars="-90"/>
        <w:jc w:val="center"/>
        <w:rPr>
          <w:rFonts w:ascii="楷体_GB2312" w:hAnsi="宋体" w:eastAsia="楷体_GB2312"/>
          <w:b/>
          <w:sz w:val="24"/>
        </w:rPr>
      </w:pPr>
    </w:p>
    <w:p>
      <w:pPr>
        <w:ind w:right="-189" w:rightChars="-90"/>
        <w:jc w:val="center"/>
        <w:rPr>
          <w:rFonts w:ascii="楷体_GB2312" w:hAnsi="宋体" w:eastAsia="楷体_GB2312"/>
          <w:b/>
          <w:sz w:val="24"/>
        </w:rPr>
      </w:pPr>
    </w:p>
    <w:p>
      <w:pPr>
        <w:ind w:right="-189" w:rightChars="-90"/>
        <w:jc w:val="center"/>
        <w:rPr>
          <w:rFonts w:ascii="楷体_GB2312" w:hAnsi="宋体" w:eastAsia="楷体_GB2312"/>
          <w:b/>
          <w:sz w:val="24"/>
        </w:rPr>
      </w:pPr>
    </w:p>
    <w:p>
      <w:pPr>
        <w:ind w:right="-189" w:rightChars="-90"/>
        <w:jc w:val="center"/>
        <w:rPr>
          <w:rFonts w:ascii="楷体_GB2312" w:hAnsi="宋体" w:eastAsia="楷体_GB2312"/>
          <w:b/>
          <w:sz w:val="24"/>
        </w:rPr>
      </w:pPr>
    </w:p>
    <w:p>
      <w:pPr>
        <w:ind w:right="-189" w:rightChars="-90"/>
        <w:jc w:val="center"/>
        <w:rPr>
          <w:rFonts w:ascii="楷体_GB2312" w:hAnsi="宋体" w:eastAsia="楷体_GB2312"/>
          <w:b/>
          <w:sz w:val="24"/>
        </w:rPr>
      </w:pPr>
    </w:p>
    <w:p>
      <w:pPr>
        <w:ind w:right="-189" w:rightChars="-90"/>
        <w:jc w:val="center"/>
        <w:rPr>
          <w:rFonts w:ascii="楷体_GB2312" w:hAnsi="宋体" w:eastAsia="楷体_GB2312"/>
          <w:b/>
          <w:sz w:val="24"/>
        </w:rPr>
      </w:pPr>
    </w:p>
    <w:p>
      <w:pPr>
        <w:ind w:right="-189" w:rightChars="-90"/>
        <w:jc w:val="center"/>
        <w:rPr>
          <w:rFonts w:ascii="黑体" w:hAnsi="黑体" w:eastAsia="黑体"/>
          <w:bCs/>
          <w:sz w:val="52"/>
          <w:szCs w:val="52"/>
        </w:rPr>
      </w:pPr>
      <w:r>
        <w:rPr>
          <w:rFonts w:hint="eastAsia" w:ascii="黑体" w:hAnsi="黑体" w:eastAsia="黑体"/>
          <w:bCs/>
          <w:sz w:val="52"/>
          <w:szCs w:val="52"/>
        </w:rPr>
        <w:t>设备采购合同</w:t>
      </w:r>
    </w:p>
    <w:p>
      <w:pPr>
        <w:ind w:right="-189" w:rightChars="-90"/>
        <w:jc w:val="center"/>
        <w:rPr>
          <w:rFonts w:ascii="楷体_GB2312" w:hAnsi="宋体" w:eastAsia="楷体_GB2312"/>
          <w:b/>
          <w:sz w:val="24"/>
        </w:rPr>
      </w:pPr>
    </w:p>
    <w:p>
      <w:pPr>
        <w:ind w:right="-189" w:rightChars="-90"/>
        <w:rPr>
          <w:rFonts w:ascii="楷体_GB2312" w:hAnsi="宋体" w:eastAsia="楷体_GB2312"/>
          <w:b/>
          <w:sz w:val="24"/>
        </w:rPr>
      </w:pPr>
    </w:p>
    <w:p>
      <w:pPr>
        <w:ind w:right="-189" w:rightChars="-90"/>
        <w:jc w:val="center"/>
        <w:rPr>
          <w:rFonts w:ascii="楷体_GB2312" w:hAnsi="宋体" w:eastAsia="楷体_GB2312"/>
          <w:b/>
          <w:sz w:val="24"/>
        </w:rPr>
      </w:pPr>
    </w:p>
    <w:p>
      <w:pPr>
        <w:ind w:right="-189" w:rightChars="-90"/>
        <w:jc w:val="center"/>
        <w:rPr>
          <w:rFonts w:ascii="楷体_GB2312" w:hAnsi="宋体" w:eastAsia="楷体_GB2312"/>
          <w:b/>
          <w:sz w:val="24"/>
        </w:rPr>
      </w:pPr>
    </w:p>
    <w:p>
      <w:pPr>
        <w:ind w:right="-189" w:rightChars="-90"/>
        <w:rPr>
          <w:rFonts w:ascii="楷体_GB2312" w:hAnsi="宋体" w:eastAsia="楷体_GB2312"/>
          <w:b/>
          <w:sz w:val="24"/>
        </w:rPr>
      </w:pPr>
    </w:p>
    <w:p>
      <w:pPr>
        <w:ind w:right="-189" w:rightChars="-90"/>
        <w:jc w:val="center"/>
        <w:rPr>
          <w:rFonts w:ascii="楷体_GB2312" w:hAnsi="宋体" w:eastAsia="楷体_GB2312"/>
          <w:b/>
          <w:sz w:val="24"/>
        </w:rPr>
      </w:pPr>
    </w:p>
    <w:p>
      <w:pPr>
        <w:adjustRightInd w:val="0"/>
        <w:snapToGrid w:val="0"/>
        <w:spacing w:line="360" w:lineRule="auto"/>
        <w:ind w:firstLine="1906" w:firstLineChars="678"/>
        <w:jc w:val="left"/>
        <w:rPr>
          <w:rFonts w:ascii="宋体" w:hAnsi="宋体"/>
          <w:b/>
          <w:sz w:val="28"/>
          <w:szCs w:val="36"/>
        </w:rPr>
      </w:pPr>
      <w:r>
        <w:rPr>
          <w:rFonts w:hint="eastAsia" w:ascii="宋体" w:hAnsi="宋体"/>
          <w:b/>
          <w:sz w:val="28"/>
          <w:szCs w:val="36"/>
        </w:rPr>
        <w:t>甲  方：</w:t>
      </w:r>
    </w:p>
    <w:p>
      <w:pPr>
        <w:adjustRightInd w:val="0"/>
        <w:snapToGrid w:val="0"/>
        <w:spacing w:line="360" w:lineRule="auto"/>
        <w:ind w:firstLine="1906" w:firstLineChars="678"/>
        <w:jc w:val="left"/>
        <w:rPr>
          <w:rFonts w:ascii="宋体" w:hAnsi="宋体"/>
          <w:b/>
          <w:sz w:val="28"/>
          <w:szCs w:val="36"/>
        </w:rPr>
      </w:pPr>
    </w:p>
    <w:p>
      <w:pPr>
        <w:adjustRightInd w:val="0"/>
        <w:snapToGrid w:val="0"/>
        <w:spacing w:line="360" w:lineRule="auto"/>
        <w:ind w:firstLine="1906" w:firstLineChars="678"/>
        <w:jc w:val="left"/>
        <w:rPr>
          <w:rFonts w:ascii="宋体" w:hAnsi="宋体"/>
          <w:b/>
          <w:sz w:val="28"/>
          <w:szCs w:val="36"/>
        </w:rPr>
      </w:pPr>
      <w:r>
        <w:rPr>
          <w:rFonts w:hint="eastAsia" w:ascii="宋体" w:hAnsi="宋体"/>
          <w:b/>
          <w:sz w:val="28"/>
          <w:szCs w:val="36"/>
        </w:rPr>
        <w:t>乙  方：</w:t>
      </w:r>
    </w:p>
    <w:p>
      <w:pPr>
        <w:adjustRightInd w:val="0"/>
        <w:snapToGrid w:val="0"/>
        <w:spacing w:line="360" w:lineRule="auto"/>
        <w:ind w:firstLine="1906" w:firstLineChars="678"/>
        <w:jc w:val="left"/>
        <w:rPr>
          <w:rFonts w:ascii="宋体" w:hAnsi="宋体"/>
          <w:b/>
          <w:sz w:val="28"/>
          <w:szCs w:val="36"/>
        </w:rPr>
      </w:pPr>
    </w:p>
    <w:p>
      <w:pPr>
        <w:adjustRightInd w:val="0"/>
        <w:snapToGrid w:val="0"/>
        <w:spacing w:line="360" w:lineRule="auto"/>
        <w:ind w:firstLine="1906" w:firstLineChars="678"/>
        <w:jc w:val="left"/>
        <w:rPr>
          <w:rFonts w:ascii="宋体" w:hAnsi="宋体"/>
          <w:b/>
          <w:sz w:val="28"/>
          <w:szCs w:val="36"/>
        </w:rPr>
      </w:pPr>
      <w:r>
        <w:rPr>
          <w:rFonts w:hint="eastAsia" w:ascii="宋体" w:hAnsi="宋体"/>
          <w:b/>
          <w:sz w:val="28"/>
          <w:szCs w:val="36"/>
        </w:rPr>
        <w:t>签订日期：年月日</w:t>
      </w:r>
    </w:p>
    <w:p>
      <w:pPr>
        <w:ind w:right="-189" w:rightChars="-90" w:firstLine="1160" w:firstLineChars="550"/>
        <w:rPr>
          <w:rFonts w:ascii="黑体" w:hAnsi="黑体" w:eastAsia="黑体"/>
          <w:b/>
          <w:lang w:val="zh-CN"/>
        </w:rPr>
      </w:pPr>
    </w:p>
    <w:p>
      <w:pPr>
        <w:ind w:right="-189" w:rightChars="-90" w:firstLine="1160" w:firstLineChars="550"/>
        <w:rPr>
          <w:rFonts w:ascii="黑体" w:hAnsi="黑体" w:eastAsia="黑体"/>
          <w:b/>
          <w:lang w:val="zh-CN"/>
        </w:rPr>
        <w:sectPr>
          <w:footerReference r:id="rId6" w:type="default"/>
          <w:pgSz w:w="11907" w:h="16840"/>
          <w:pgMar w:top="1702" w:right="1418" w:bottom="1418" w:left="1418" w:header="851" w:footer="822" w:gutter="0"/>
          <w:cols w:space="720" w:num="1"/>
          <w:docGrid w:linePitch="290" w:charSpace="-3931"/>
        </w:sectPr>
      </w:pPr>
    </w:p>
    <w:p>
      <w:pPr>
        <w:spacing w:line="460" w:lineRule="exact"/>
        <w:jc w:val="center"/>
        <w:rPr>
          <w:rFonts w:ascii="Times New Roman" w:hAnsi="Times New Roman" w:eastAsia="宋体" w:cs="Times New Roman"/>
          <w:kern w:val="2"/>
          <w:sz w:val="21"/>
          <w:szCs w:val="21"/>
          <w:lang w:val="en-US" w:eastAsia="zh-CN" w:bidi="ar-SA"/>
        </w:rPr>
      </w:pPr>
      <w:bookmarkStart w:id="137" w:name="_Toc3662"/>
      <w:bookmarkStart w:id="138" w:name="_Toc18329"/>
      <w:bookmarkStart w:id="139" w:name="_Toc7826"/>
      <w:r>
        <w:rPr>
          <w:lang w:val="zh-CN"/>
        </w:rPr>
        <w:t>目录</w:t>
      </w:r>
      <w:r>
        <w:fldChar w:fldCharType="begin"/>
      </w:r>
      <w:r>
        <w:instrText xml:space="preserve"> TOC \o "1-3" \h \z \u </w:instrText>
      </w:r>
      <w:r>
        <w:fldChar w:fldCharType="separate"/>
      </w:r>
      <w:bookmarkEnd w:id="137"/>
      <w:bookmarkEnd w:id="138"/>
      <w:bookmarkEnd w:id="139"/>
    </w:p>
    <w:p>
      <w:pPr>
        <w:pStyle w:val="52"/>
        <w:tabs>
          <w:tab w:val="right" w:leader="dot" w:pos="9071"/>
        </w:tabs>
      </w:pPr>
      <w:r>
        <w:fldChar w:fldCharType="begin"/>
      </w:r>
      <w:r>
        <w:instrText xml:space="preserve"> HYPERLINK \l _Toc27611 </w:instrText>
      </w:r>
      <w:r>
        <w:fldChar w:fldCharType="separate"/>
      </w:r>
      <w:r>
        <w:rPr>
          <w:rFonts w:hint="eastAsia" w:ascii="宋体" w:hAnsi="宋体"/>
        </w:rPr>
        <w:t>第一章招标公告</w:t>
      </w:r>
      <w:r>
        <w:tab/>
      </w:r>
      <w:r>
        <w:fldChar w:fldCharType="begin"/>
      </w:r>
      <w:r>
        <w:instrText xml:space="preserve"> PAGEREF _Toc27611 \h </w:instrText>
      </w:r>
      <w:r>
        <w:fldChar w:fldCharType="separate"/>
      </w:r>
      <w:r>
        <w:t>4</w:t>
      </w:r>
      <w:r>
        <w:fldChar w:fldCharType="end"/>
      </w:r>
      <w:r>
        <w:fldChar w:fldCharType="end"/>
      </w:r>
    </w:p>
    <w:p>
      <w:pPr>
        <w:pStyle w:val="52"/>
        <w:tabs>
          <w:tab w:val="right" w:leader="dot" w:pos="9071"/>
        </w:tabs>
      </w:pPr>
      <w:r>
        <w:fldChar w:fldCharType="begin"/>
      </w:r>
      <w:r>
        <w:instrText xml:space="preserve"> HYPERLINK \l _Toc27290 </w:instrText>
      </w:r>
      <w:r>
        <w:fldChar w:fldCharType="separate"/>
      </w:r>
      <w:r>
        <w:rPr>
          <w:rFonts w:hint="eastAsia" w:ascii="宋体" w:hAnsi="宋体"/>
        </w:rPr>
        <w:t>第二章投标方须知</w:t>
      </w:r>
      <w:r>
        <w:tab/>
      </w:r>
      <w:r>
        <w:fldChar w:fldCharType="begin"/>
      </w:r>
      <w:r>
        <w:instrText xml:space="preserve"> PAGEREF _Toc27290 \h </w:instrText>
      </w:r>
      <w:r>
        <w:fldChar w:fldCharType="separate"/>
      </w:r>
      <w:r>
        <w:t>5</w:t>
      </w:r>
      <w:r>
        <w:fldChar w:fldCharType="end"/>
      </w:r>
      <w:r>
        <w:fldChar w:fldCharType="end"/>
      </w:r>
    </w:p>
    <w:p>
      <w:pPr>
        <w:pStyle w:val="52"/>
        <w:tabs>
          <w:tab w:val="right" w:leader="dot" w:pos="9071"/>
        </w:tabs>
      </w:pPr>
      <w:r>
        <w:fldChar w:fldCharType="begin"/>
      </w:r>
      <w:r>
        <w:instrText xml:space="preserve"> HYPERLINK \l _Toc17130 </w:instrText>
      </w:r>
      <w:r>
        <w:fldChar w:fldCharType="separate"/>
      </w:r>
      <w:r>
        <w:rPr>
          <w:rFonts w:hint="eastAsia" w:ascii="宋体" w:hAnsi="宋体"/>
        </w:rPr>
        <w:t>投标方须知前附表</w:t>
      </w:r>
      <w:r>
        <w:tab/>
      </w:r>
      <w:r>
        <w:fldChar w:fldCharType="begin"/>
      </w:r>
      <w:r>
        <w:instrText xml:space="preserve"> PAGEREF _Toc17130 \h </w:instrText>
      </w:r>
      <w:r>
        <w:fldChar w:fldCharType="separate"/>
      </w:r>
      <w:r>
        <w:t>5</w:t>
      </w:r>
      <w:r>
        <w:fldChar w:fldCharType="end"/>
      </w:r>
      <w:r>
        <w:fldChar w:fldCharType="end"/>
      </w:r>
    </w:p>
    <w:p>
      <w:pPr>
        <w:pStyle w:val="52"/>
        <w:tabs>
          <w:tab w:val="right" w:leader="dot" w:pos="9071"/>
        </w:tabs>
      </w:pPr>
      <w:r>
        <w:fldChar w:fldCharType="begin"/>
      </w:r>
      <w:r>
        <w:instrText xml:space="preserve"> HYPERLINK \l _Toc11713 </w:instrText>
      </w:r>
      <w:r>
        <w:fldChar w:fldCharType="separate"/>
      </w:r>
      <w:r>
        <w:rPr>
          <w:rFonts w:hint="eastAsia" w:ascii="宋体" w:hAnsi="宋体" w:cs="宋体"/>
          <w:bCs/>
          <w:szCs w:val="30"/>
        </w:rPr>
        <w:t>总则</w:t>
      </w:r>
      <w:r>
        <w:tab/>
      </w:r>
      <w:r>
        <w:fldChar w:fldCharType="begin"/>
      </w:r>
      <w:r>
        <w:instrText xml:space="preserve"> PAGEREF _Toc11713 \h </w:instrText>
      </w:r>
      <w:r>
        <w:fldChar w:fldCharType="separate"/>
      </w:r>
      <w:r>
        <w:t>9</w:t>
      </w:r>
      <w:r>
        <w:fldChar w:fldCharType="end"/>
      </w:r>
      <w:r>
        <w:fldChar w:fldCharType="end"/>
      </w:r>
    </w:p>
    <w:p>
      <w:pPr>
        <w:pStyle w:val="62"/>
        <w:tabs>
          <w:tab w:val="right" w:leader="dot" w:pos="9071"/>
        </w:tabs>
      </w:pPr>
      <w:r>
        <w:fldChar w:fldCharType="begin"/>
      </w:r>
      <w:r>
        <w:instrText xml:space="preserve"> HYPERLINK \l _Toc32151 </w:instrText>
      </w:r>
      <w:r>
        <w:fldChar w:fldCharType="separate"/>
      </w:r>
      <w:r>
        <w:rPr>
          <w:rFonts w:hint="eastAsia" w:ascii="宋体" w:hAnsi="宋体" w:eastAsia="宋体" w:cs="宋体"/>
          <w:szCs w:val="28"/>
        </w:rPr>
        <w:t>一、说明</w:t>
      </w:r>
      <w:r>
        <w:tab/>
      </w:r>
      <w:r>
        <w:fldChar w:fldCharType="begin"/>
      </w:r>
      <w:r>
        <w:instrText xml:space="preserve"> PAGEREF _Toc32151 \h </w:instrText>
      </w:r>
      <w:r>
        <w:fldChar w:fldCharType="separate"/>
      </w:r>
      <w:r>
        <w:t>9</w:t>
      </w:r>
      <w:r>
        <w:fldChar w:fldCharType="end"/>
      </w:r>
      <w:r>
        <w:fldChar w:fldCharType="end"/>
      </w:r>
    </w:p>
    <w:p>
      <w:pPr>
        <w:pStyle w:val="62"/>
        <w:tabs>
          <w:tab w:val="right" w:leader="dot" w:pos="9071"/>
        </w:tabs>
      </w:pPr>
      <w:r>
        <w:fldChar w:fldCharType="begin"/>
      </w:r>
      <w:r>
        <w:instrText xml:space="preserve"> HYPERLINK \l _Toc23031 </w:instrText>
      </w:r>
      <w:r>
        <w:fldChar w:fldCharType="separate"/>
      </w:r>
      <w:r>
        <w:rPr>
          <w:rFonts w:hint="eastAsia" w:ascii="宋体" w:hAnsi="宋体" w:eastAsia="宋体" w:cs="宋体"/>
          <w:szCs w:val="28"/>
        </w:rPr>
        <w:t>二、招标文件</w:t>
      </w:r>
      <w:r>
        <w:tab/>
      </w:r>
      <w:r>
        <w:fldChar w:fldCharType="begin"/>
      </w:r>
      <w:r>
        <w:instrText xml:space="preserve"> PAGEREF _Toc23031 \h </w:instrText>
      </w:r>
      <w:r>
        <w:fldChar w:fldCharType="separate"/>
      </w:r>
      <w:r>
        <w:t>9</w:t>
      </w:r>
      <w:r>
        <w:fldChar w:fldCharType="end"/>
      </w:r>
      <w:r>
        <w:fldChar w:fldCharType="end"/>
      </w:r>
    </w:p>
    <w:p>
      <w:pPr>
        <w:pStyle w:val="62"/>
        <w:tabs>
          <w:tab w:val="right" w:leader="dot" w:pos="9071"/>
        </w:tabs>
      </w:pPr>
      <w:r>
        <w:fldChar w:fldCharType="begin"/>
      </w:r>
      <w:r>
        <w:instrText xml:space="preserve"> HYPERLINK \l _Toc10853 </w:instrText>
      </w:r>
      <w:r>
        <w:fldChar w:fldCharType="separate"/>
      </w:r>
      <w:r>
        <w:rPr>
          <w:rFonts w:hint="eastAsia" w:ascii="宋体" w:hAnsi="宋体" w:eastAsia="宋体" w:cs="宋体"/>
          <w:szCs w:val="28"/>
        </w:rPr>
        <w:t>三、投标文件编写</w:t>
      </w:r>
      <w:r>
        <w:tab/>
      </w:r>
      <w:r>
        <w:fldChar w:fldCharType="begin"/>
      </w:r>
      <w:r>
        <w:instrText xml:space="preserve"> PAGEREF _Toc10853 \h </w:instrText>
      </w:r>
      <w:r>
        <w:fldChar w:fldCharType="separate"/>
      </w:r>
      <w:r>
        <w:t>10</w:t>
      </w:r>
      <w:r>
        <w:fldChar w:fldCharType="end"/>
      </w:r>
      <w:r>
        <w:fldChar w:fldCharType="end"/>
      </w:r>
    </w:p>
    <w:p>
      <w:pPr>
        <w:pStyle w:val="62"/>
        <w:tabs>
          <w:tab w:val="right" w:leader="dot" w:pos="9071"/>
        </w:tabs>
      </w:pPr>
      <w:r>
        <w:fldChar w:fldCharType="begin"/>
      </w:r>
      <w:r>
        <w:instrText xml:space="preserve"> HYPERLINK \l _Toc27871 </w:instrText>
      </w:r>
      <w:r>
        <w:fldChar w:fldCharType="separate"/>
      </w:r>
      <w:r>
        <w:rPr>
          <w:rFonts w:hint="eastAsia" w:ascii="宋体" w:hAnsi="宋体" w:eastAsia="宋体" w:cs="宋体"/>
          <w:szCs w:val="28"/>
        </w:rPr>
        <w:t>四、投标文件递交</w:t>
      </w:r>
      <w:r>
        <w:tab/>
      </w:r>
      <w:r>
        <w:fldChar w:fldCharType="begin"/>
      </w:r>
      <w:r>
        <w:instrText xml:space="preserve"> PAGEREF _Toc27871 \h </w:instrText>
      </w:r>
      <w:r>
        <w:fldChar w:fldCharType="separate"/>
      </w:r>
      <w:r>
        <w:t>15</w:t>
      </w:r>
      <w:r>
        <w:fldChar w:fldCharType="end"/>
      </w:r>
      <w:r>
        <w:fldChar w:fldCharType="end"/>
      </w:r>
    </w:p>
    <w:p>
      <w:pPr>
        <w:pStyle w:val="62"/>
        <w:tabs>
          <w:tab w:val="right" w:leader="dot" w:pos="9071"/>
        </w:tabs>
      </w:pPr>
      <w:r>
        <w:fldChar w:fldCharType="begin"/>
      </w:r>
      <w:r>
        <w:instrText xml:space="preserve"> HYPERLINK \l _Toc7379 </w:instrText>
      </w:r>
      <w:r>
        <w:fldChar w:fldCharType="separate"/>
      </w:r>
      <w:r>
        <w:rPr>
          <w:rFonts w:hint="eastAsia" w:ascii="宋体" w:hAnsi="宋体" w:eastAsia="宋体" w:cs="宋体"/>
          <w:szCs w:val="28"/>
        </w:rPr>
        <w:t>五、开标与评标</w:t>
      </w:r>
      <w:r>
        <w:tab/>
      </w:r>
      <w:r>
        <w:fldChar w:fldCharType="begin"/>
      </w:r>
      <w:r>
        <w:instrText xml:space="preserve"> PAGEREF _Toc7379 \h </w:instrText>
      </w:r>
      <w:r>
        <w:fldChar w:fldCharType="separate"/>
      </w:r>
      <w:r>
        <w:t>15</w:t>
      </w:r>
      <w:r>
        <w:fldChar w:fldCharType="end"/>
      </w:r>
      <w:r>
        <w:fldChar w:fldCharType="end"/>
      </w:r>
    </w:p>
    <w:p>
      <w:pPr>
        <w:pStyle w:val="62"/>
        <w:tabs>
          <w:tab w:val="right" w:leader="dot" w:pos="9071"/>
        </w:tabs>
      </w:pPr>
      <w:r>
        <w:fldChar w:fldCharType="begin"/>
      </w:r>
      <w:r>
        <w:instrText xml:space="preserve"> HYPERLINK \l _Toc11970 </w:instrText>
      </w:r>
      <w:r>
        <w:fldChar w:fldCharType="separate"/>
      </w:r>
      <w:r>
        <w:rPr>
          <w:rFonts w:hint="eastAsia" w:ascii="宋体" w:hAnsi="宋体" w:eastAsia="宋体" w:cs="宋体"/>
          <w:szCs w:val="28"/>
        </w:rPr>
        <w:t>六、授予合同</w:t>
      </w:r>
      <w:r>
        <w:tab/>
      </w:r>
      <w:r>
        <w:fldChar w:fldCharType="begin"/>
      </w:r>
      <w:r>
        <w:instrText xml:space="preserve"> PAGEREF _Toc11970 \h </w:instrText>
      </w:r>
      <w:r>
        <w:fldChar w:fldCharType="separate"/>
      </w:r>
      <w:r>
        <w:t>17</w:t>
      </w:r>
      <w:r>
        <w:fldChar w:fldCharType="end"/>
      </w:r>
      <w:r>
        <w:fldChar w:fldCharType="end"/>
      </w:r>
    </w:p>
    <w:p>
      <w:pPr>
        <w:pStyle w:val="62"/>
        <w:tabs>
          <w:tab w:val="right" w:leader="dot" w:pos="9071"/>
        </w:tabs>
      </w:pPr>
      <w:r>
        <w:fldChar w:fldCharType="begin"/>
      </w:r>
      <w:r>
        <w:instrText xml:space="preserve"> HYPERLINK \l _Toc15297 </w:instrText>
      </w:r>
      <w:r>
        <w:fldChar w:fldCharType="separate"/>
      </w:r>
      <w:r>
        <w:rPr>
          <w:rFonts w:hint="eastAsia" w:ascii="宋体" w:hAnsi="宋体" w:eastAsia="宋体" w:cs="宋体"/>
          <w:szCs w:val="28"/>
        </w:rPr>
        <w:t>七、相关费用</w:t>
      </w:r>
      <w:r>
        <w:tab/>
      </w:r>
      <w:r>
        <w:fldChar w:fldCharType="begin"/>
      </w:r>
      <w:r>
        <w:instrText xml:space="preserve"> PAGEREF _Toc15297 \h </w:instrText>
      </w:r>
      <w:r>
        <w:fldChar w:fldCharType="separate"/>
      </w:r>
      <w:r>
        <w:t>18</w:t>
      </w:r>
      <w:r>
        <w:fldChar w:fldCharType="end"/>
      </w:r>
      <w:r>
        <w:fldChar w:fldCharType="end"/>
      </w:r>
    </w:p>
    <w:p>
      <w:pPr>
        <w:pStyle w:val="62"/>
        <w:tabs>
          <w:tab w:val="right" w:leader="dot" w:pos="9071"/>
        </w:tabs>
      </w:pPr>
      <w:r>
        <w:fldChar w:fldCharType="begin"/>
      </w:r>
      <w:r>
        <w:instrText xml:space="preserve"> HYPERLINK \l _Toc5074 </w:instrText>
      </w:r>
      <w:r>
        <w:fldChar w:fldCharType="separate"/>
      </w:r>
      <w:r>
        <w:rPr>
          <w:rFonts w:hint="eastAsia" w:ascii="宋体" w:hAnsi="宋体" w:eastAsia="宋体" w:cs="宋体"/>
          <w:szCs w:val="28"/>
        </w:rPr>
        <w:t>八、解释权</w:t>
      </w:r>
      <w:r>
        <w:tab/>
      </w:r>
      <w:r>
        <w:fldChar w:fldCharType="begin"/>
      </w:r>
      <w:r>
        <w:instrText xml:space="preserve"> PAGEREF _Toc5074 \h </w:instrText>
      </w:r>
      <w:r>
        <w:fldChar w:fldCharType="separate"/>
      </w:r>
      <w:r>
        <w:t>18</w:t>
      </w:r>
      <w:r>
        <w:fldChar w:fldCharType="end"/>
      </w:r>
      <w:r>
        <w:fldChar w:fldCharType="end"/>
      </w:r>
    </w:p>
    <w:p>
      <w:pPr>
        <w:pStyle w:val="62"/>
        <w:tabs>
          <w:tab w:val="right" w:leader="dot" w:pos="9071"/>
        </w:tabs>
      </w:pPr>
      <w:r>
        <w:fldChar w:fldCharType="begin"/>
      </w:r>
      <w:r>
        <w:instrText xml:space="preserve"> HYPERLINK \l _Toc30755 </w:instrText>
      </w:r>
      <w:r>
        <w:fldChar w:fldCharType="separate"/>
      </w:r>
      <w:r>
        <w:rPr>
          <w:rFonts w:hint="eastAsia" w:ascii="宋体" w:hAnsi="宋体" w:eastAsia="宋体" w:cs="宋体"/>
          <w:szCs w:val="28"/>
        </w:rPr>
        <w:t>九、其他</w:t>
      </w:r>
      <w:r>
        <w:tab/>
      </w:r>
      <w:r>
        <w:fldChar w:fldCharType="begin"/>
      </w:r>
      <w:r>
        <w:instrText xml:space="preserve"> PAGEREF _Toc30755 \h </w:instrText>
      </w:r>
      <w:r>
        <w:fldChar w:fldCharType="separate"/>
      </w:r>
      <w:r>
        <w:t>19</w:t>
      </w:r>
      <w:r>
        <w:fldChar w:fldCharType="end"/>
      </w:r>
      <w:r>
        <w:fldChar w:fldCharType="end"/>
      </w:r>
    </w:p>
    <w:p>
      <w:pPr>
        <w:pStyle w:val="52"/>
        <w:tabs>
          <w:tab w:val="right" w:leader="dot" w:pos="9071"/>
        </w:tabs>
      </w:pPr>
      <w:r>
        <w:fldChar w:fldCharType="begin"/>
      </w:r>
      <w:r>
        <w:instrText xml:space="preserve"> HYPERLINK \l _Toc2196 </w:instrText>
      </w:r>
      <w:r>
        <w:fldChar w:fldCharType="separate"/>
      </w:r>
      <w:r>
        <w:rPr>
          <w:rFonts w:ascii="宋体" w:hAnsi="宋体"/>
        </w:rPr>
        <w:t>第三章</w:t>
      </w:r>
      <w:r>
        <w:rPr>
          <w:rFonts w:hint="eastAsia" w:ascii="宋体" w:hAnsi="宋体"/>
        </w:rPr>
        <w:t xml:space="preserve">  评标方法</w:t>
      </w:r>
      <w:r>
        <w:tab/>
      </w:r>
      <w:r>
        <w:fldChar w:fldCharType="begin"/>
      </w:r>
      <w:r>
        <w:instrText xml:space="preserve"> PAGEREF _Toc2196 \h </w:instrText>
      </w:r>
      <w:r>
        <w:fldChar w:fldCharType="separate"/>
      </w:r>
      <w:r>
        <w:t>20</w:t>
      </w:r>
      <w:r>
        <w:fldChar w:fldCharType="end"/>
      </w:r>
      <w:r>
        <w:fldChar w:fldCharType="end"/>
      </w:r>
    </w:p>
    <w:p>
      <w:pPr>
        <w:pStyle w:val="52"/>
        <w:tabs>
          <w:tab w:val="right" w:leader="dot" w:pos="9071"/>
        </w:tabs>
      </w:pPr>
      <w:r>
        <w:fldChar w:fldCharType="begin"/>
      </w:r>
      <w:r>
        <w:instrText xml:space="preserve"> HYPERLINK \l _Toc22085 </w:instrText>
      </w:r>
      <w:r>
        <w:fldChar w:fldCharType="separate"/>
      </w:r>
      <w:r>
        <w:rPr>
          <w:rFonts w:hint="eastAsia" w:ascii="宋体" w:hAnsi="宋体"/>
        </w:rPr>
        <w:t>第四章  技术规格及技术要求</w:t>
      </w:r>
      <w:r>
        <w:tab/>
      </w:r>
      <w:r>
        <w:fldChar w:fldCharType="begin"/>
      </w:r>
      <w:r>
        <w:instrText xml:space="preserve"> PAGEREF _Toc22085 \h </w:instrText>
      </w:r>
      <w:r>
        <w:fldChar w:fldCharType="separate"/>
      </w:r>
      <w:r>
        <w:t>22</w:t>
      </w:r>
      <w:r>
        <w:fldChar w:fldCharType="end"/>
      </w:r>
      <w:r>
        <w:fldChar w:fldCharType="end"/>
      </w:r>
    </w:p>
    <w:p>
      <w:pPr>
        <w:pStyle w:val="62"/>
        <w:tabs>
          <w:tab w:val="right" w:leader="dot" w:pos="9071"/>
        </w:tabs>
      </w:pPr>
      <w:r>
        <w:fldChar w:fldCharType="begin"/>
      </w:r>
      <w:r>
        <w:instrText xml:space="preserve"> HYPERLINK \l _Toc2710 </w:instrText>
      </w:r>
      <w:r>
        <w:fldChar w:fldCharType="separate"/>
      </w:r>
      <w:r>
        <w:rPr>
          <w:rFonts w:hint="eastAsia"/>
        </w:rPr>
        <w:t>一、标的物用途</w:t>
      </w:r>
      <w:r>
        <w:tab/>
      </w:r>
      <w:r>
        <w:fldChar w:fldCharType="begin"/>
      </w:r>
      <w:r>
        <w:instrText xml:space="preserve"> PAGEREF _Toc2710 \h </w:instrText>
      </w:r>
      <w:r>
        <w:fldChar w:fldCharType="separate"/>
      </w:r>
      <w:r>
        <w:t>22</w:t>
      </w:r>
      <w:r>
        <w:fldChar w:fldCharType="end"/>
      </w:r>
      <w:r>
        <w:fldChar w:fldCharType="end"/>
      </w:r>
    </w:p>
    <w:p>
      <w:pPr>
        <w:pStyle w:val="62"/>
        <w:tabs>
          <w:tab w:val="right" w:leader="dot" w:pos="9071"/>
        </w:tabs>
      </w:pPr>
      <w:r>
        <w:fldChar w:fldCharType="begin"/>
      </w:r>
      <w:r>
        <w:instrText xml:space="preserve"> HYPERLINK \l _Toc1575 </w:instrText>
      </w:r>
      <w:r>
        <w:fldChar w:fldCharType="separate"/>
      </w:r>
      <w:r>
        <w:rPr>
          <w:rFonts w:hint="eastAsia"/>
        </w:rPr>
        <w:t>二、标的物使用环境</w:t>
      </w:r>
      <w:r>
        <w:tab/>
      </w:r>
      <w:r>
        <w:fldChar w:fldCharType="begin"/>
      </w:r>
      <w:r>
        <w:instrText xml:space="preserve"> PAGEREF _Toc1575 \h </w:instrText>
      </w:r>
      <w:r>
        <w:fldChar w:fldCharType="separate"/>
      </w:r>
      <w:r>
        <w:t>22</w:t>
      </w:r>
      <w:r>
        <w:fldChar w:fldCharType="end"/>
      </w:r>
      <w:r>
        <w:fldChar w:fldCharType="end"/>
      </w:r>
    </w:p>
    <w:p>
      <w:pPr>
        <w:pStyle w:val="62"/>
        <w:tabs>
          <w:tab w:val="right" w:leader="dot" w:pos="9071"/>
        </w:tabs>
      </w:pPr>
      <w:r>
        <w:fldChar w:fldCharType="begin"/>
      </w:r>
      <w:r>
        <w:instrText xml:space="preserve"> HYPERLINK \l _Toc14298 </w:instrText>
      </w:r>
      <w:r>
        <w:fldChar w:fldCharType="separate"/>
      </w:r>
      <w:r>
        <w:rPr>
          <w:rFonts w:hint="eastAsia"/>
        </w:rPr>
        <w:t>三、供货范围</w:t>
      </w:r>
      <w:r>
        <w:tab/>
      </w:r>
      <w:r>
        <w:fldChar w:fldCharType="begin"/>
      </w:r>
      <w:r>
        <w:instrText xml:space="preserve"> PAGEREF _Toc14298 \h </w:instrText>
      </w:r>
      <w:r>
        <w:fldChar w:fldCharType="separate"/>
      </w:r>
      <w:r>
        <w:t>22</w:t>
      </w:r>
      <w:r>
        <w:fldChar w:fldCharType="end"/>
      </w:r>
      <w:r>
        <w:fldChar w:fldCharType="end"/>
      </w:r>
    </w:p>
    <w:p>
      <w:pPr>
        <w:pStyle w:val="62"/>
        <w:tabs>
          <w:tab w:val="right" w:leader="dot" w:pos="9071"/>
        </w:tabs>
      </w:pPr>
      <w:r>
        <w:fldChar w:fldCharType="begin"/>
      </w:r>
      <w:r>
        <w:instrText xml:space="preserve"> HYPERLINK \l _Toc11193 </w:instrText>
      </w:r>
      <w:r>
        <w:fldChar w:fldCharType="separate"/>
      </w:r>
      <w:r>
        <w:rPr>
          <w:rFonts w:hint="eastAsia"/>
        </w:rPr>
        <w:t>四、工程界面</w:t>
      </w:r>
      <w:r>
        <w:tab/>
      </w:r>
      <w:r>
        <w:fldChar w:fldCharType="begin"/>
      </w:r>
      <w:r>
        <w:instrText xml:space="preserve"> PAGEREF _Toc11193 \h </w:instrText>
      </w:r>
      <w:r>
        <w:fldChar w:fldCharType="separate"/>
      </w:r>
      <w:r>
        <w:t>23</w:t>
      </w:r>
      <w:r>
        <w:fldChar w:fldCharType="end"/>
      </w:r>
      <w:r>
        <w:fldChar w:fldCharType="end"/>
      </w:r>
    </w:p>
    <w:p>
      <w:pPr>
        <w:pStyle w:val="62"/>
        <w:tabs>
          <w:tab w:val="right" w:leader="dot" w:pos="9071"/>
        </w:tabs>
      </w:pPr>
      <w:r>
        <w:fldChar w:fldCharType="begin"/>
      </w:r>
      <w:r>
        <w:instrText xml:space="preserve"> HYPERLINK \l _Toc4771 </w:instrText>
      </w:r>
      <w:r>
        <w:fldChar w:fldCharType="separate"/>
      </w:r>
      <w:r>
        <w:rPr>
          <w:rFonts w:hint="eastAsia"/>
        </w:rPr>
        <w:t>五、标的物技术要求</w:t>
      </w:r>
      <w:r>
        <w:tab/>
      </w:r>
      <w:r>
        <w:fldChar w:fldCharType="begin"/>
      </w:r>
      <w:r>
        <w:instrText xml:space="preserve"> PAGEREF _Toc4771 \h </w:instrText>
      </w:r>
      <w:r>
        <w:fldChar w:fldCharType="separate"/>
      </w:r>
      <w:r>
        <w:t>24</w:t>
      </w:r>
      <w:r>
        <w:fldChar w:fldCharType="end"/>
      </w:r>
      <w:r>
        <w:fldChar w:fldCharType="end"/>
      </w:r>
    </w:p>
    <w:p>
      <w:pPr>
        <w:pStyle w:val="39"/>
        <w:tabs>
          <w:tab w:val="right" w:leader="dot" w:pos="9071"/>
        </w:tabs>
      </w:pPr>
      <w:r>
        <w:fldChar w:fldCharType="begin"/>
      </w:r>
      <w:r>
        <w:instrText xml:space="preserve"> HYPERLINK \l _Toc15874 </w:instrText>
      </w:r>
      <w:r>
        <w:fldChar w:fldCharType="separate"/>
      </w:r>
      <w:r>
        <w:rPr>
          <w:rFonts w:hint="eastAsia"/>
        </w:rPr>
        <w:t>2.通用技术要求</w:t>
      </w:r>
      <w:r>
        <w:tab/>
      </w:r>
      <w:r>
        <w:fldChar w:fldCharType="begin"/>
      </w:r>
      <w:r>
        <w:instrText xml:space="preserve"> PAGEREF _Toc15874 \h </w:instrText>
      </w:r>
      <w:r>
        <w:fldChar w:fldCharType="separate"/>
      </w:r>
      <w:r>
        <w:t>24</w:t>
      </w:r>
      <w:r>
        <w:fldChar w:fldCharType="end"/>
      </w:r>
      <w:r>
        <w:fldChar w:fldCharType="end"/>
      </w:r>
    </w:p>
    <w:p>
      <w:pPr>
        <w:pStyle w:val="62"/>
        <w:tabs>
          <w:tab w:val="right" w:leader="dot" w:pos="9071"/>
        </w:tabs>
      </w:pPr>
      <w:r>
        <w:fldChar w:fldCharType="begin"/>
      </w:r>
      <w:r>
        <w:instrText xml:space="preserve"> HYPERLINK \l _Toc25724 </w:instrText>
      </w:r>
      <w:r>
        <w:fldChar w:fldCharType="separate"/>
      </w:r>
      <w:r>
        <w:rPr>
          <w:rFonts w:hint="eastAsia"/>
        </w:rPr>
        <w:t>六、备品、备件</w:t>
      </w:r>
      <w:r>
        <w:tab/>
      </w:r>
      <w:r>
        <w:fldChar w:fldCharType="begin"/>
      </w:r>
      <w:r>
        <w:instrText xml:space="preserve"> PAGEREF _Toc25724 \h </w:instrText>
      </w:r>
      <w:r>
        <w:fldChar w:fldCharType="separate"/>
      </w:r>
      <w:r>
        <w:t>29</w:t>
      </w:r>
      <w:r>
        <w:fldChar w:fldCharType="end"/>
      </w:r>
      <w:r>
        <w:fldChar w:fldCharType="end"/>
      </w:r>
    </w:p>
    <w:p>
      <w:pPr>
        <w:pStyle w:val="62"/>
        <w:tabs>
          <w:tab w:val="right" w:leader="dot" w:pos="9071"/>
        </w:tabs>
      </w:pPr>
      <w:r>
        <w:fldChar w:fldCharType="begin"/>
      </w:r>
      <w:r>
        <w:instrText xml:space="preserve"> HYPERLINK \l _Toc17080 </w:instrText>
      </w:r>
      <w:r>
        <w:fldChar w:fldCharType="separate"/>
      </w:r>
      <w:r>
        <w:rPr>
          <w:rFonts w:hint="eastAsia"/>
        </w:rPr>
        <w:t>七、验收</w:t>
      </w:r>
      <w:r>
        <w:tab/>
      </w:r>
      <w:r>
        <w:fldChar w:fldCharType="begin"/>
      </w:r>
      <w:r>
        <w:instrText xml:space="preserve"> PAGEREF _Toc17080 \h </w:instrText>
      </w:r>
      <w:r>
        <w:fldChar w:fldCharType="separate"/>
      </w:r>
      <w:r>
        <w:t>29</w:t>
      </w:r>
      <w:r>
        <w:fldChar w:fldCharType="end"/>
      </w:r>
      <w:r>
        <w:fldChar w:fldCharType="end"/>
      </w:r>
    </w:p>
    <w:p>
      <w:pPr>
        <w:pStyle w:val="39"/>
        <w:tabs>
          <w:tab w:val="right" w:leader="dot" w:pos="9071"/>
        </w:tabs>
      </w:pPr>
      <w:r>
        <w:fldChar w:fldCharType="begin"/>
      </w:r>
      <w:r>
        <w:instrText xml:space="preserve"> HYPERLINK \l _Toc13326 </w:instrText>
      </w:r>
      <w:r>
        <w:fldChar w:fldCharType="separate"/>
      </w:r>
      <w:r>
        <w:rPr>
          <w:rFonts w:hint="eastAsia"/>
        </w:rPr>
        <w:t>1、预验收</w:t>
      </w:r>
      <w:r>
        <w:tab/>
      </w:r>
      <w:r>
        <w:fldChar w:fldCharType="begin"/>
      </w:r>
      <w:r>
        <w:instrText xml:space="preserve"> PAGEREF _Toc13326 \h </w:instrText>
      </w:r>
      <w:r>
        <w:fldChar w:fldCharType="separate"/>
      </w:r>
      <w:r>
        <w:t>29</w:t>
      </w:r>
      <w:r>
        <w:fldChar w:fldCharType="end"/>
      </w:r>
      <w:r>
        <w:fldChar w:fldCharType="end"/>
      </w:r>
    </w:p>
    <w:p>
      <w:pPr>
        <w:pStyle w:val="39"/>
        <w:tabs>
          <w:tab w:val="right" w:leader="dot" w:pos="9071"/>
        </w:tabs>
      </w:pPr>
      <w:r>
        <w:fldChar w:fldCharType="begin"/>
      </w:r>
      <w:r>
        <w:instrText xml:space="preserve"> HYPERLINK \l _Toc1981 </w:instrText>
      </w:r>
      <w:r>
        <w:fldChar w:fldCharType="separate"/>
      </w:r>
      <w:r>
        <w:rPr>
          <w:rFonts w:hint="eastAsia"/>
        </w:rPr>
        <w:t>2、终验收</w:t>
      </w:r>
      <w:r>
        <w:tab/>
      </w:r>
      <w:r>
        <w:fldChar w:fldCharType="begin"/>
      </w:r>
      <w:r>
        <w:instrText xml:space="preserve"> PAGEREF _Toc1981 \h </w:instrText>
      </w:r>
      <w:r>
        <w:fldChar w:fldCharType="separate"/>
      </w:r>
      <w:r>
        <w:t>29</w:t>
      </w:r>
      <w:r>
        <w:fldChar w:fldCharType="end"/>
      </w:r>
      <w:r>
        <w:fldChar w:fldCharType="end"/>
      </w:r>
    </w:p>
    <w:p>
      <w:pPr>
        <w:pStyle w:val="62"/>
        <w:tabs>
          <w:tab w:val="right" w:leader="dot" w:pos="9071"/>
        </w:tabs>
      </w:pPr>
      <w:r>
        <w:fldChar w:fldCharType="begin"/>
      </w:r>
      <w:r>
        <w:instrText xml:space="preserve"> HYPERLINK \l _Toc6599 </w:instrText>
      </w:r>
      <w:r>
        <w:fldChar w:fldCharType="separate"/>
      </w:r>
      <w:r>
        <w:rPr>
          <w:rFonts w:hint="eastAsia"/>
        </w:rPr>
        <w:t>八、服务</w:t>
      </w:r>
      <w:r>
        <w:tab/>
      </w:r>
      <w:r>
        <w:fldChar w:fldCharType="begin"/>
      </w:r>
      <w:r>
        <w:instrText xml:space="preserve"> PAGEREF _Toc6599 \h </w:instrText>
      </w:r>
      <w:r>
        <w:fldChar w:fldCharType="separate"/>
      </w:r>
      <w:r>
        <w:t>31</w:t>
      </w:r>
      <w:r>
        <w:fldChar w:fldCharType="end"/>
      </w:r>
      <w:r>
        <w:fldChar w:fldCharType="end"/>
      </w:r>
    </w:p>
    <w:p>
      <w:pPr>
        <w:pStyle w:val="39"/>
        <w:tabs>
          <w:tab w:val="right" w:pos="2800"/>
          <w:tab w:val="right" w:leader="dot" w:pos="9071"/>
        </w:tabs>
      </w:pPr>
      <w:r>
        <w:fldChar w:fldCharType="begin"/>
      </w:r>
      <w:r>
        <w:instrText xml:space="preserve"> HYPERLINK \l _Toc28631 </w:instrText>
      </w:r>
      <w:r>
        <w:fldChar w:fldCharType="separate"/>
      </w:r>
      <w:r>
        <w:rPr>
          <w:rFonts w:hint="eastAsia"/>
        </w:rPr>
        <w:t>1.</w:t>
      </w:r>
      <w:r>
        <w:rPr>
          <w:rFonts w:hint="eastAsia"/>
        </w:rPr>
        <w:tab/>
      </w:r>
      <w:r>
        <w:rPr>
          <w:rFonts w:hint="eastAsia"/>
        </w:rPr>
        <w:t>技术培训</w:t>
      </w:r>
      <w:r>
        <w:tab/>
      </w:r>
      <w:r>
        <w:fldChar w:fldCharType="begin"/>
      </w:r>
      <w:r>
        <w:instrText xml:space="preserve"> PAGEREF _Toc28631 \h </w:instrText>
      </w:r>
      <w:r>
        <w:fldChar w:fldCharType="separate"/>
      </w:r>
      <w:r>
        <w:t>31</w:t>
      </w:r>
      <w:r>
        <w:fldChar w:fldCharType="end"/>
      </w:r>
      <w:r>
        <w:fldChar w:fldCharType="end"/>
      </w:r>
    </w:p>
    <w:p>
      <w:pPr>
        <w:pStyle w:val="39"/>
        <w:tabs>
          <w:tab w:val="right" w:pos="2800"/>
          <w:tab w:val="right" w:leader="dot" w:pos="9071"/>
        </w:tabs>
      </w:pPr>
      <w:r>
        <w:fldChar w:fldCharType="begin"/>
      </w:r>
      <w:r>
        <w:instrText xml:space="preserve"> HYPERLINK \l _Toc28367 </w:instrText>
      </w:r>
      <w:r>
        <w:fldChar w:fldCharType="separate"/>
      </w:r>
      <w:r>
        <w:rPr>
          <w:rFonts w:hint="eastAsia"/>
        </w:rPr>
        <w:t>2.</w:t>
      </w:r>
      <w:r>
        <w:rPr>
          <w:rFonts w:hint="eastAsia"/>
        </w:rPr>
        <w:tab/>
      </w:r>
      <w:r>
        <w:rPr>
          <w:rFonts w:hint="eastAsia"/>
        </w:rPr>
        <w:t>质量保证期及售后服务</w:t>
      </w:r>
      <w:r>
        <w:tab/>
      </w:r>
      <w:r>
        <w:fldChar w:fldCharType="begin"/>
      </w:r>
      <w:r>
        <w:instrText xml:space="preserve"> PAGEREF _Toc28367 \h </w:instrText>
      </w:r>
      <w:r>
        <w:fldChar w:fldCharType="separate"/>
      </w:r>
      <w:r>
        <w:t>31</w:t>
      </w:r>
      <w:r>
        <w:fldChar w:fldCharType="end"/>
      </w:r>
      <w:r>
        <w:fldChar w:fldCharType="end"/>
      </w:r>
    </w:p>
    <w:p>
      <w:pPr>
        <w:pStyle w:val="62"/>
        <w:tabs>
          <w:tab w:val="right" w:leader="dot" w:pos="9071"/>
        </w:tabs>
      </w:pPr>
      <w:r>
        <w:fldChar w:fldCharType="begin"/>
      </w:r>
      <w:r>
        <w:instrText xml:space="preserve"> HYPERLINK \l _Toc15715 </w:instrText>
      </w:r>
      <w:r>
        <w:fldChar w:fldCharType="separate"/>
      </w:r>
      <w:r>
        <w:rPr>
          <w:rFonts w:hint="eastAsia"/>
        </w:rPr>
        <w:t>九、交货期</w:t>
      </w:r>
      <w:r>
        <w:tab/>
      </w:r>
      <w:r>
        <w:fldChar w:fldCharType="begin"/>
      </w:r>
      <w:r>
        <w:instrText xml:space="preserve"> PAGEREF _Toc15715 \h </w:instrText>
      </w:r>
      <w:r>
        <w:fldChar w:fldCharType="separate"/>
      </w:r>
      <w:r>
        <w:t>31</w:t>
      </w:r>
      <w:r>
        <w:fldChar w:fldCharType="end"/>
      </w:r>
      <w:r>
        <w:fldChar w:fldCharType="end"/>
      </w:r>
    </w:p>
    <w:p>
      <w:pPr>
        <w:pStyle w:val="52"/>
        <w:tabs>
          <w:tab w:val="right" w:leader="dot" w:pos="9071"/>
        </w:tabs>
      </w:pPr>
      <w:r>
        <w:fldChar w:fldCharType="begin"/>
      </w:r>
      <w:r>
        <w:instrText xml:space="preserve"> HYPERLINK \l _Toc16997 </w:instrText>
      </w:r>
      <w:r>
        <w:fldChar w:fldCharType="separate"/>
      </w:r>
      <w:r>
        <w:rPr>
          <w:rFonts w:hint="eastAsia" w:ascii="宋体" w:hAnsi="宋体"/>
        </w:rPr>
        <w:t>第五章   设备采购合同</w:t>
      </w:r>
      <w:r>
        <w:tab/>
      </w:r>
      <w:r>
        <w:fldChar w:fldCharType="begin"/>
      </w:r>
      <w:r>
        <w:instrText xml:space="preserve"> PAGEREF _Toc16997 \h </w:instrText>
      </w:r>
      <w:r>
        <w:fldChar w:fldCharType="separate"/>
      </w:r>
      <w:r>
        <w:t>32</w:t>
      </w:r>
      <w:r>
        <w:fldChar w:fldCharType="end"/>
      </w:r>
      <w:r>
        <w:fldChar w:fldCharType="end"/>
      </w:r>
    </w:p>
    <w:p>
      <w:pPr>
        <w:pStyle w:val="52"/>
        <w:tabs>
          <w:tab w:val="right" w:leader="dot" w:pos="9071"/>
        </w:tabs>
      </w:pPr>
      <w:r>
        <w:fldChar w:fldCharType="begin"/>
      </w:r>
      <w:r>
        <w:instrText xml:space="preserve"> HYPERLINK \l _Toc10128 </w:instrText>
      </w:r>
      <w:r>
        <w:fldChar w:fldCharType="separate"/>
      </w:r>
      <w:r>
        <w:rPr>
          <w:rFonts w:hint="eastAsia" w:ascii="宋体" w:hAnsi="宋体" w:cs="宋体"/>
        </w:rPr>
        <w:t>1 合同设备</w:t>
      </w:r>
      <w:r>
        <w:tab/>
      </w:r>
      <w:r>
        <w:fldChar w:fldCharType="begin"/>
      </w:r>
      <w:r>
        <w:instrText xml:space="preserve"> PAGEREF _Toc10128 \h </w:instrText>
      </w:r>
      <w:r>
        <w:fldChar w:fldCharType="separate"/>
      </w:r>
      <w:r>
        <w:t>36</w:t>
      </w:r>
      <w:r>
        <w:fldChar w:fldCharType="end"/>
      </w:r>
      <w:r>
        <w:fldChar w:fldCharType="end"/>
      </w:r>
    </w:p>
    <w:p>
      <w:pPr>
        <w:pStyle w:val="52"/>
        <w:tabs>
          <w:tab w:val="right" w:leader="dot" w:pos="9071"/>
        </w:tabs>
      </w:pPr>
      <w:r>
        <w:fldChar w:fldCharType="begin"/>
      </w:r>
      <w:r>
        <w:instrText xml:space="preserve"> HYPERLINK \l _Toc2085 </w:instrText>
      </w:r>
      <w:r>
        <w:fldChar w:fldCharType="separate"/>
      </w:r>
      <w:r>
        <w:rPr>
          <w:rFonts w:hint="eastAsia" w:ascii="宋体" w:hAnsi="宋体" w:cs="宋体"/>
        </w:rPr>
        <w:t>2 包装</w:t>
      </w:r>
      <w:r>
        <w:tab/>
      </w:r>
      <w:r>
        <w:fldChar w:fldCharType="begin"/>
      </w:r>
      <w:r>
        <w:instrText xml:space="preserve"> PAGEREF _Toc2085 \h </w:instrText>
      </w:r>
      <w:r>
        <w:fldChar w:fldCharType="separate"/>
      </w:r>
      <w:r>
        <w:t>36</w:t>
      </w:r>
      <w:r>
        <w:fldChar w:fldCharType="end"/>
      </w:r>
      <w:r>
        <w:fldChar w:fldCharType="end"/>
      </w:r>
    </w:p>
    <w:p>
      <w:pPr>
        <w:pStyle w:val="52"/>
        <w:tabs>
          <w:tab w:val="right" w:leader="dot" w:pos="9071"/>
        </w:tabs>
      </w:pPr>
      <w:r>
        <w:fldChar w:fldCharType="begin"/>
      </w:r>
      <w:r>
        <w:instrText xml:space="preserve"> HYPERLINK \l _Toc12311 </w:instrText>
      </w:r>
      <w:r>
        <w:fldChar w:fldCharType="separate"/>
      </w:r>
      <w:r>
        <w:rPr>
          <w:rFonts w:hint="eastAsia" w:ascii="宋体" w:hAnsi="宋体" w:cs="宋体"/>
        </w:rPr>
        <w:t>3 运输标记</w:t>
      </w:r>
      <w:r>
        <w:tab/>
      </w:r>
      <w:r>
        <w:fldChar w:fldCharType="begin"/>
      </w:r>
      <w:r>
        <w:instrText xml:space="preserve"> PAGEREF _Toc12311 \h </w:instrText>
      </w:r>
      <w:r>
        <w:fldChar w:fldCharType="separate"/>
      </w:r>
      <w:r>
        <w:t>36</w:t>
      </w:r>
      <w:r>
        <w:fldChar w:fldCharType="end"/>
      </w:r>
      <w:r>
        <w:fldChar w:fldCharType="end"/>
      </w:r>
    </w:p>
    <w:p>
      <w:pPr>
        <w:pStyle w:val="52"/>
        <w:tabs>
          <w:tab w:val="right" w:leader="dot" w:pos="9071"/>
        </w:tabs>
      </w:pPr>
      <w:r>
        <w:fldChar w:fldCharType="begin"/>
      </w:r>
      <w:r>
        <w:instrText xml:space="preserve"> HYPERLINK \l _Toc11620 </w:instrText>
      </w:r>
      <w:r>
        <w:fldChar w:fldCharType="separate"/>
      </w:r>
      <w:r>
        <w:rPr>
          <w:rFonts w:hint="eastAsia" w:ascii="宋体" w:hAnsi="宋体" w:cs="宋体"/>
        </w:rPr>
        <w:t>4 检验</w:t>
      </w:r>
      <w:r>
        <w:tab/>
      </w:r>
      <w:r>
        <w:fldChar w:fldCharType="begin"/>
      </w:r>
      <w:r>
        <w:instrText xml:space="preserve"> PAGEREF _Toc11620 \h </w:instrText>
      </w:r>
      <w:r>
        <w:fldChar w:fldCharType="separate"/>
      </w:r>
      <w:r>
        <w:t>37</w:t>
      </w:r>
      <w:r>
        <w:fldChar w:fldCharType="end"/>
      </w:r>
      <w:r>
        <w:fldChar w:fldCharType="end"/>
      </w:r>
    </w:p>
    <w:p>
      <w:pPr>
        <w:pStyle w:val="52"/>
        <w:tabs>
          <w:tab w:val="right" w:leader="dot" w:pos="9071"/>
        </w:tabs>
      </w:pPr>
      <w:r>
        <w:fldChar w:fldCharType="begin"/>
      </w:r>
      <w:r>
        <w:instrText xml:space="preserve"> HYPERLINK \l _Toc8067 </w:instrText>
      </w:r>
      <w:r>
        <w:fldChar w:fldCharType="separate"/>
      </w:r>
      <w:r>
        <w:rPr>
          <w:rFonts w:hint="eastAsia" w:ascii="宋体" w:hAnsi="宋体" w:cs="宋体"/>
        </w:rPr>
        <w:t>5 权利担保</w:t>
      </w:r>
      <w:r>
        <w:tab/>
      </w:r>
      <w:r>
        <w:fldChar w:fldCharType="begin"/>
      </w:r>
      <w:r>
        <w:instrText xml:space="preserve"> PAGEREF _Toc8067 \h </w:instrText>
      </w:r>
      <w:r>
        <w:fldChar w:fldCharType="separate"/>
      </w:r>
      <w:r>
        <w:t>37</w:t>
      </w:r>
      <w:r>
        <w:fldChar w:fldCharType="end"/>
      </w:r>
      <w:r>
        <w:fldChar w:fldCharType="end"/>
      </w:r>
    </w:p>
    <w:p>
      <w:pPr>
        <w:pStyle w:val="52"/>
        <w:tabs>
          <w:tab w:val="right" w:leader="dot" w:pos="9071"/>
        </w:tabs>
      </w:pPr>
      <w:r>
        <w:fldChar w:fldCharType="begin"/>
      </w:r>
      <w:r>
        <w:instrText xml:space="preserve"> HYPERLINK \l _Toc28357 </w:instrText>
      </w:r>
      <w:r>
        <w:fldChar w:fldCharType="separate"/>
      </w:r>
      <w:r>
        <w:rPr>
          <w:rFonts w:hint="eastAsia" w:ascii="宋体" w:hAnsi="宋体" w:cs="宋体"/>
        </w:rPr>
        <w:t>6 交货</w:t>
      </w:r>
      <w:r>
        <w:tab/>
      </w:r>
      <w:r>
        <w:fldChar w:fldCharType="begin"/>
      </w:r>
      <w:r>
        <w:instrText xml:space="preserve"> PAGEREF _Toc28357 \h </w:instrText>
      </w:r>
      <w:r>
        <w:fldChar w:fldCharType="separate"/>
      </w:r>
      <w:r>
        <w:t>37</w:t>
      </w:r>
      <w:r>
        <w:fldChar w:fldCharType="end"/>
      </w:r>
      <w:r>
        <w:fldChar w:fldCharType="end"/>
      </w:r>
    </w:p>
    <w:p>
      <w:pPr>
        <w:pStyle w:val="52"/>
        <w:tabs>
          <w:tab w:val="right" w:leader="dot" w:pos="9071"/>
        </w:tabs>
      </w:pPr>
      <w:r>
        <w:fldChar w:fldCharType="begin"/>
      </w:r>
      <w:r>
        <w:instrText xml:space="preserve"> HYPERLINK \l _Toc9486 </w:instrText>
      </w:r>
      <w:r>
        <w:fldChar w:fldCharType="separate"/>
      </w:r>
      <w:r>
        <w:rPr>
          <w:rFonts w:hint="eastAsia" w:ascii="宋体" w:hAnsi="宋体" w:cs="宋体"/>
        </w:rPr>
        <w:t>7 安装、调试</w:t>
      </w:r>
      <w:r>
        <w:tab/>
      </w:r>
      <w:r>
        <w:fldChar w:fldCharType="begin"/>
      </w:r>
      <w:r>
        <w:instrText xml:space="preserve"> PAGEREF _Toc9486 \h </w:instrText>
      </w:r>
      <w:r>
        <w:fldChar w:fldCharType="separate"/>
      </w:r>
      <w:r>
        <w:t>38</w:t>
      </w:r>
      <w:r>
        <w:fldChar w:fldCharType="end"/>
      </w:r>
      <w:r>
        <w:fldChar w:fldCharType="end"/>
      </w:r>
    </w:p>
    <w:p>
      <w:pPr>
        <w:pStyle w:val="52"/>
        <w:tabs>
          <w:tab w:val="right" w:leader="dot" w:pos="9071"/>
        </w:tabs>
      </w:pPr>
      <w:r>
        <w:fldChar w:fldCharType="begin"/>
      </w:r>
      <w:r>
        <w:instrText xml:space="preserve"> HYPERLINK \l _Toc5942 </w:instrText>
      </w:r>
      <w:r>
        <w:fldChar w:fldCharType="separate"/>
      </w:r>
      <w:r>
        <w:rPr>
          <w:rFonts w:hint="eastAsia" w:ascii="宋体" w:hAnsi="宋体" w:cs="宋体"/>
        </w:rPr>
        <w:t>8 价款与支付</w:t>
      </w:r>
      <w:r>
        <w:tab/>
      </w:r>
      <w:r>
        <w:fldChar w:fldCharType="begin"/>
      </w:r>
      <w:r>
        <w:instrText xml:space="preserve"> PAGEREF _Toc5942 \h </w:instrText>
      </w:r>
      <w:r>
        <w:fldChar w:fldCharType="separate"/>
      </w:r>
      <w:r>
        <w:t>38</w:t>
      </w:r>
      <w:r>
        <w:fldChar w:fldCharType="end"/>
      </w:r>
      <w:r>
        <w:fldChar w:fldCharType="end"/>
      </w:r>
    </w:p>
    <w:p>
      <w:pPr>
        <w:pStyle w:val="52"/>
        <w:tabs>
          <w:tab w:val="right" w:leader="dot" w:pos="9071"/>
        </w:tabs>
      </w:pPr>
      <w:r>
        <w:fldChar w:fldCharType="begin"/>
      </w:r>
      <w:r>
        <w:instrText xml:space="preserve"> HYPERLINK \l _Toc15905 </w:instrText>
      </w:r>
      <w:r>
        <w:fldChar w:fldCharType="separate"/>
      </w:r>
      <w:r>
        <w:rPr>
          <w:rFonts w:hint="eastAsia" w:ascii="宋体" w:hAnsi="宋体" w:cs="宋体"/>
        </w:rPr>
        <w:t>9 质量保证及售后服务</w:t>
      </w:r>
      <w:r>
        <w:tab/>
      </w:r>
      <w:r>
        <w:fldChar w:fldCharType="begin"/>
      </w:r>
      <w:r>
        <w:instrText xml:space="preserve"> PAGEREF _Toc15905 \h </w:instrText>
      </w:r>
      <w:r>
        <w:fldChar w:fldCharType="separate"/>
      </w:r>
      <w:r>
        <w:t>39</w:t>
      </w:r>
      <w:r>
        <w:fldChar w:fldCharType="end"/>
      </w:r>
      <w:r>
        <w:fldChar w:fldCharType="end"/>
      </w:r>
    </w:p>
    <w:p>
      <w:pPr>
        <w:pStyle w:val="52"/>
        <w:tabs>
          <w:tab w:val="right" w:leader="dot" w:pos="9071"/>
        </w:tabs>
      </w:pPr>
      <w:r>
        <w:fldChar w:fldCharType="begin"/>
      </w:r>
      <w:r>
        <w:instrText xml:space="preserve"> HYPERLINK \l _Toc23529 </w:instrText>
      </w:r>
      <w:r>
        <w:fldChar w:fldCharType="separate"/>
      </w:r>
      <w:r>
        <w:rPr>
          <w:rFonts w:hint="eastAsia" w:ascii="宋体" w:hAnsi="宋体" w:cs="宋体"/>
        </w:rPr>
        <w:t>10法定责任</w:t>
      </w:r>
      <w:r>
        <w:tab/>
      </w:r>
      <w:r>
        <w:fldChar w:fldCharType="begin"/>
      </w:r>
      <w:r>
        <w:instrText xml:space="preserve"> PAGEREF _Toc23529 \h </w:instrText>
      </w:r>
      <w:r>
        <w:fldChar w:fldCharType="separate"/>
      </w:r>
      <w:r>
        <w:t>39</w:t>
      </w:r>
      <w:r>
        <w:fldChar w:fldCharType="end"/>
      </w:r>
      <w:r>
        <w:fldChar w:fldCharType="end"/>
      </w:r>
    </w:p>
    <w:p>
      <w:pPr>
        <w:pStyle w:val="52"/>
        <w:tabs>
          <w:tab w:val="right" w:leader="dot" w:pos="9071"/>
        </w:tabs>
      </w:pPr>
      <w:r>
        <w:fldChar w:fldCharType="begin"/>
      </w:r>
      <w:r>
        <w:instrText xml:space="preserve"> HYPERLINK \l _Toc27369 </w:instrText>
      </w:r>
      <w:r>
        <w:fldChar w:fldCharType="separate"/>
      </w:r>
      <w:r>
        <w:rPr>
          <w:rFonts w:hint="eastAsia" w:ascii="宋体" w:hAnsi="宋体" w:cs="宋体"/>
        </w:rPr>
        <w:t>11 违约责任</w:t>
      </w:r>
      <w:r>
        <w:tab/>
      </w:r>
      <w:r>
        <w:fldChar w:fldCharType="begin"/>
      </w:r>
      <w:r>
        <w:instrText xml:space="preserve"> PAGEREF _Toc27369 \h </w:instrText>
      </w:r>
      <w:r>
        <w:fldChar w:fldCharType="separate"/>
      </w:r>
      <w:r>
        <w:t>39</w:t>
      </w:r>
      <w:r>
        <w:fldChar w:fldCharType="end"/>
      </w:r>
      <w:r>
        <w:fldChar w:fldCharType="end"/>
      </w:r>
    </w:p>
    <w:p>
      <w:pPr>
        <w:pStyle w:val="52"/>
        <w:tabs>
          <w:tab w:val="right" w:leader="dot" w:pos="9071"/>
        </w:tabs>
      </w:pPr>
      <w:r>
        <w:fldChar w:fldCharType="begin"/>
      </w:r>
      <w:r>
        <w:instrText xml:space="preserve"> HYPERLINK \l _Toc25867 </w:instrText>
      </w:r>
      <w:r>
        <w:fldChar w:fldCharType="separate"/>
      </w:r>
      <w:r>
        <w:rPr>
          <w:rFonts w:hint="eastAsia" w:ascii="宋体" w:hAnsi="宋体" w:cs="宋体"/>
        </w:rPr>
        <w:t>12 合同的终止与解除</w:t>
      </w:r>
      <w:r>
        <w:tab/>
      </w:r>
      <w:r>
        <w:fldChar w:fldCharType="begin"/>
      </w:r>
      <w:r>
        <w:instrText xml:space="preserve"> PAGEREF _Toc25867 \h </w:instrText>
      </w:r>
      <w:r>
        <w:fldChar w:fldCharType="separate"/>
      </w:r>
      <w:r>
        <w:t>40</w:t>
      </w:r>
      <w:r>
        <w:fldChar w:fldCharType="end"/>
      </w:r>
      <w:r>
        <w:fldChar w:fldCharType="end"/>
      </w:r>
    </w:p>
    <w:p>
      <w:pPr>
        <w:pStyle w:val="52"/>
        <w:tabs>
          <w:tab w:val="right" w:leader="dot" w:pos="9071"/>
        </w:tabs>
      </w:pPr>
      <w:r>
        <w:fldChar w:fldCharType="begin"/>
      </w:r>
      <w:r>
        <w:instrText xml:space="preserve"> HYPERLINK \l _Toc8370 </w:instrText>
      </w:r>
      <w:r>
        <w:fldChar w:fldCharType="separate"/>
      </w:r>
      <w:r>
        <w:rPr>
          <w:rFonts w:hint="eastAsia" w:ascii="宋体" w:hAnsi="宋体" w:cs="宋体"/>
        </w:rPr>
        <w:t>13 不可抗力</w:t>
      </w:r>
      <w:r>
        <w:tab/>
      </w:r>
      <w:r>
        <w:fldChar w:fldCharType="begin"/>
      </w:r>
      <w:r>
        <w:instrText xml:space="preserve"> PAGEREF _Toc8370 \h </w:instrText>
      </w:r>
      <w:r>
        <w:fldChar w:fldCharType="separate"/>
      </w:r>
      <w:r>
        <w:t>41</w:t>
      </w:r>
      <w:r>
        <w:fldChar w:fldCharType="end"/>
      </w:r>
      <w:r>
        <w:fldChar w:fldCharType="end"/>
      </w:r>
    </w:p>
    <w:p>
      <w:pPr>
        <w:pStyle w:val="52"/>
        <w:tabs>
          <w:tab w:val="right" w:leader="dot" w:pos="9071"/>
        </w:tabs>
      </w:pPr>
      <w:r>
        <w:fldChar w:fldCharType="begin"/>
      </w:r>
      <w:r>
        <w:instrText xml:space="preserve"> HYPERLINK \l _Toc20807 </w:instrText>
      </w:r>
      <w:r>
        <w:fldChar w:fldCharType="separate"/>
      </w:r>
      <w:r>
        <w:rPr>
          <w:rFonts w:hint="eastAsia" w:ascii="宋体" w:hAnsi="宋体" w:cs="宋体"/>
        </w:rPr>
        <w:t>14 通讯</w:t>
      </w:r>
      <w:r>
        <w:tab/>
      </w:r>
      <w:r>
        <w:fldChar w:fldCharType="begin"/>
      </w:r>
      <w:r>
        <w:instrText xml:space="preserve"> PAGEREF _Toc20807 \h </w:instrText>
      </w:r>
      <w:r>
        <w:fldChar w:fldCharType="separate"/>
      </w:r>
      <w:r>
        <w:t>41</w:t>
      </w:r>
      <w:r>
        <w:fldChar w:fldCharType="end"/>
      </w:r>
      <w:r>
        <w:fldChar w:fldCharType="end"/>
      </w:r>
    </w:p>
    <w:p>
      <w:pPr>
        <w:pStyle w:val="52"/>
        <w:tabs>
          <w:tab w:val="right" w:leader="dot" w:pos="9071"/>
        </w:tabs>
      </w:pPr>
      <w:r>
        <w:fldChar w:fldCharType="begin"/>
      </w:r>
      <w:r>
        <w:instrText xml:space="preserve"> HYPERLINK \l _Toc12250 </w:instrText>
      </w:r>
      <w:r>
        <w:fldChar w:fldCharType="separate"/>
      </w:r>
      <w:r>
        <w:rPr>
          <w:rFonts w:hint="eastAsia" w:ascii="宋体" w:hAnsi="宋体" w:cs="宋体"/>
        </w:rPr>
        <w:t>15 适用法律及争议解决</w:t>
      </w:r>
      <w:r>
        <w:tab/>
      </w:r>
      <w:r>
        <w:fldChar w:fldCharType="begin"/>
      </w:r>
      <w:r>
        <w:instrText xml:space="preserve"> PAGEREF _Toc12250 \h </w:instrText>
      </w:r>
      <w:r>
        <w:fldChar w:fldCharType="separate"/>
      </w:r>
      <w:r>
        <w:t>42</w:t>
      </w:r>
      <w:r>
        <w:fldChar w:fldCharType="end"/>
      </w:r>
      <w:r>
        <w:fldChar w:fldCharType="end"/>
      </w:r>
    </w:p>
    <w:p>
      <w:pPr>
        <w:pStyle w:val="52"/>
        <w:tabs>
          <w:tab w:val="right" w:leader="dot" w:pos="9071"/>
        </w:tabs>
      </w:pPr>
      <w:r>
        <w:fldChar w:fldCharType="begin"/>
      </w:r>
      <w:r>
        <w:instrText xml:space="preserve"> HYPERLINK \l _Toc12891 </w:instrText>
      </w:r>
      <w:r>
        <w:fldChar w:fldCharType="separate"/>
      </w:r>
      <w:r>
        <w:rPr>
          <w:rFonts w:hint="eastAsia" w:ascii="宋体" w:hAnsi="宋体" w:cs="宋体"/>
        </w:rPr>
        <w:t>16 附件</w:t>
      </w:r>
      <w:r>
        <w:tab/>
      </w:r>
      <w:r>
        <w:fldChar w:fldCharType="begin"/>
      </w:r>
      <w:r>
        <w:instrText xml:space="preserve"> PAGEREF _Toc12891 \h </w:instrText>
      </w:r>
      <w:r>
        <w:fldChar w:fldCharType="separate"/>
      </w:r>
      <w:r>
        <w:t>42</w:t>
      </w:r>
      <w:r>
        <w:fldChar w:fldCharType="end"/>
      </w:r>
      <w:r>
        <w:fldChar w:fldCharType="end"/>
      </w:r>
    </w:p>
    <w:p>
      <w:pPr>
        <w:pStyle w:val="52"/>
        <w:tabs>
          <w:tab w:val="right" w:leader="dot" w:pos="9071"/>
        </w:tabs>
      </w:pPr>
      <w:r>
        <w:fldChar w:fldCharType="begin"/>
      </w:r>
      <w:r>
        <w:instrText xml:space="preserve"> HYPERLINK \l _Toc17052 </w:instrText>
      </w:r>
      <w:r>
        <w:fldChar w:fldCharType="separate"/>
      </w:r>
      <w:r>
        <w:rPr>
          <w:rFonts w:hint="eastAsia" w:ascii="宋体" w:hAnsi="宋体" w:cs="宋体"/>
        </w:rPr>
        <w:t>17 其他规定</w:t>
      </w:r>
      <w:r>
        <w:tab/>
      </w:r>
      <w:r>
        <w:fldChar w:fldCharType="begin"/>
      </w:r>
      <w:r>
        <w:instrText xml:space="preserve"> PAGEREF _Toc17052 \h </w:instrText>
      </w:r>
      <w:r>
        <w:fldChar w:fldCharType="separate"/>
      </w:r>
      <w:r>
        <w:t>42</w:t>
      </w:r>
      <w:r>
        <w:fldChar w:fldCharType="end"/>
      </w:r>
      <w:r>
        <w:fldChar w:fldCharType="end"/>
      </w:r>
    </w:p>
    <w:p>
      <w:pPr>
        <w:pStyle w:val="52"/>
        <w:tabs>
          <w:tab w:val="right" w:leader="dot" w:pos="9071"/>
        </w:tabs>
      </w:pPr>
      <w:r>
        <w:fldChar w:fldCharType="begin"/>
      </w:r>
      <w:r>
        <w:instrText xml:space="preserve"> HYPERLINK \l _Toc13120 </w:instrText>
      </w:r>
      <w:r>
        <w:fldChar w:fldCharType="separate"/>
      </w:r>
      <w:r>
        <w:rPr>
          <w:rFonts w:hint="eastAsia" w:ascii="宋体" w:hAnsi="宋体" w:cs="宋体"/>
        </w:rPr>
        <w:t>18 签署事项</w:t>
      </w:r>
      <w:r>
        <w:tab/>
      </w:r>
      <w:r>
        <w:fldChar w:fldCharType="begin"/>
      </w:r>
      <w:r>
        <w:instrText xml:space="preserve"> PAGEREF _Toc13120 \h </w:instrText>
      </w:r>
      <w:r>
        <w:fldChar w:fldCharType="separate"/>
      </w:r>
      <w:r>
        <w:t>42</w:t>
      </w:r>
      <w:r>
        <w:fldChar w:fldCharType="end"/>
      </w:r>
      <w:r>
        <w:fldChar w:fldCharType="end"/>
      </w:r>
    </w:p>
    <w:p>
      <w:pPr>
        <w:pStyle w:val="52"/>
        <w:tabs>
          <w:tab w:val="right" w:leader="dot" w:pos="9071"/>
        </w:tabs>
      </w:pPr>
      <w:r>
        <w:fldChar w:fldCharType="begin"/>
      </w:r>
      <w:r>
        <w:instrText xml:space="preserve"> HYPERLINK \l _Toc777 </w:instrText>
      </w:r>
      <w:r>
        <w:fldChar w:fldCharType="separate"/>
      </w:r>
      <w:r>
        <w:rPr>
          <w:rFonts w:hint="eastAsia" w:ascii="宋体" w:hAnsi="宋体" w:cs="宋体"/>
        </w:rPr>
        <w:t>附件一：设备清单明细表</w:t>
      </w:r>
      <w:r>
        <w:tab/>
      </w:r>
      <w:r>
        <w:fldChar w:fldCharType="begin"/>
      </w:r>
      <w:r>
        <w:instrText xml:space="preserve"> PAGEREF _Toc777 \h </w:instrText>
      </w:r>
      <w:r>
        <w:fldChar w:fldCharType="separate"/>
      </w:r>
      <w:r>
        <w:t>44</w:t>
      </w:r>
      <w:r>
        <w:fldChar w:fldCharType="end"/>
      </w:r>
      <w:r>
        <w:fldChar w:fldCharType="end"/>
      </w:r>
    </w:p>
    <w:p>
      <w:pPr>
        <w:pStyle w:val="52"/>
        <w:tabs>
          <w:tab w:val="right" w:leader="dot" w:pos="9071"/>
        </w:tabs>
      </w:pPr>
      <w:r>
        <w:fldChar w:fldCharType="begin"/>
      </w:r>
      <w:r>
        <w:instrText xml:space="preserve"> HYPERLINK \l _Toc23742 </w:instrText>
      </w:r>
      <w:r>
        <w:fldChar w:fldCharType="separate"/>
      </w:r>
      <w:r>
        <w:rPr>
          <w:rFonts w:hint="eastAsia" w:ascii="宋体" w:hAnsi="宋体" w:cs="宋体"/>
        </w:rPr>
        <w:t>附件二 技术协议书</w:t>
      </w:r>
      <w:r>
        <w:tab/>
      </w:r>
      <w:r>
        <w:fldChar w:fldCharType="begin"/>
      </w:r>
      <w:r>
        <w:instrText xml:space="preserve"> PAGEREF _Toc23742 \h </w:instrText>
      </w:r>
      <w:r>
        <w:fldChar w:fldCharType="separate"/>
      </w:r>
      <w:r>
        <w:t>44</w:t>
      </w:r>
      <w:r>
        <w:fldChar w:fldCharType="end"/>
      </w:r>
      <w:r>
        <w:fldChar w:fldCharType="end"/>
      </w:r>
    </w:p>
    <w:p>
      <w:pPr>
        <w:pStyle w:val="52"/>
        <w:tabs>
          <w:tab w:val="right" w:leader="dot" w:pos="9071"/>
        </w:tabs>
      </w:pPr>
      <w:r>
        <w:fldChar w:fldCharType="begin"/>
      </w:r>
      <w:r>
        <w:instrText xml:space="preserve"> HYPERLINK \l _Toc10722 </w:instrText>
      </w:r>
      <w:r>
        <w:fldChar w:fldCharType="separate"/>
      </w:r>
      <w:r>
        <w:rPr>
          <w:rFonts w:hint="eastAsia"/>
        </w:rPr>
        <w:t>第六章附件</w:t>
      </w:r>
      <w:r>
        <w:tab/>
      </w:r>
      <w:r>
        <w:fldChar w:fldCharType="begin"/>
      </w:r>
      <w:r>
        <w:instrText xml:space="preserve"> PAGEREF _Toc10722 \h </w:instrText>
      </w:r>
      <w:r>
        <w:fldChar w:fldCharType="separate"/>
      </w:r>
      <w:r>
        <w:t>45</w:t>
      </w:r>
      <w:r>
        <w:fldChar w:fldCharType="end"/>
      </w:r>
      <w:r>
        <w:fldChar w:fldCharType="end"/>
      </w:r>
    </w:p>
    <w:p>
      <w:pPr>
        <w:pStyle w:val="39"/>
        <w:tabs>
          <w:tab w:val="right" w:leader="dot" w:pos="9071"/>
        </w:tabs>
      </w:pPr>
      <w:r>
        <w:fldChar w:fldCharType="begin"/>
      </w:r>
      <w:r>
        <w:instrText xml:space="preserve"> HYPERLINK \l _Toc21339 </w:instrText>
      </w:r>
      <w:r>
        <w:fldChar w:fldCharType="separate"/>
      </w:r>
      <w:r>
        <w:rPr>
          <w:rFonts w:hint="eastAsia" w:ascii="宋体" w:hAnsi="宋体" w:cs="宋体"/>
          <w:bCs w:val="0"/>
          <w:szCs w:val="24"/>
        </w:rPr>
        <w:t>附件一：投标函</w:t>
      </w:r>
      <w:r>
        <w:tab/>
      </w:r>
      <w:r>
        <w:fldChar w:fldCharType="begin"/>
      </w:r>
      <w:r>
        <w:instrText xml:space="preserve"> PAGEREF _Toc21339 \h </w:instrText>
      </w:r>
      <w:r>
        <w:fldChar w:fldCharType="separate"/>
      </w:r>
      <w:r>
        <w:t>46</w:t>
      </w:r>
      <w:r>
        <w:fldChar w:fldCharType="end"/>
      </w:r>
      <w:r>
        <w:fldChar w:fldCharType="end"/>
      </w:r>
    </w:p>
    <w:p>
      <w:pPr>
        <w:pStyle w:val="39"/>
        <w:tabs>
          <w:tab w:val="right" w:leader="dot" w:pos="9071"/>
        </w:tabs>
      </w:pPr>
      <w:r>
        <w:fldChar w:fldCharType="begin"/>
      </w:r>
      <w:r>
        <w:instrText xml:space="preserve"> HYPERLINK \l _Toc1334 </w:instrText>
      </w:r>
      <w:r>
        <w:fldChar w:fldCharType="separate"/>
      </w:r>
      <w:r>
        <w:rPr>
          <w:rFonts w:hint="eastAsia" w:ascii="宋体" w:hAnsi="宋体" w:cs="宋体"/>
          <w:bCs w:val="0"/>
          <w:szCs w:val="24"/>
        </w:rPr>
        <w:t>附件二：授权委托书</w:t>
      </w:r>
      <w:r>
        <w:tab/>
      </w:r>
      <w:r>
        <w:fldChar w:fldCharType="begin"/>
      </w:r>
      <w:r>
        <w:instrText xml:space="preserve"> PAGEREF _Toc1334 \h </w:instrText>
      </w:r>
      <w:r>
        <w:fldChar w:fldCharType="separate"/>
      </w:r>
      <w:r>
        <w:t>47</w:t>
      </w:r>
      <w:r>
        <w:fldChar w:fldCharType="end"/>
      </w:r>
      <w:r>
        <w:fldChar w:fldCharType="end"/>
      </w:r>
    </w:p>
    <w:p>
      <w:pPr>
        <w:pStyle w:val="39"/>
        <w:tabs>
          <w:tab w:val="right" w:leader="dot" w:pos="9071"/>
        </w:tabs>
      </w:pPr>
      <w:r>
        <w:fldChar w:fldCharType="begin"/>
      </w:r>
      <w:r>
        <w:instrText xml:space="preserve"> HYPERLINK \l _Toc516 </w:instrText>
      </w:r>
      <w:r>
        <w:fldChar w:fldCharType="separate"/>
      </w:r>
      <w:r>
        <w:rPr>
          <w:rFonts w:hint="eastAsia" w:ascii="宋体" w:hAnsi="宋体" w:cs="宋体"/>
          <w:bCs w:val="0"/>
          <w:szCs w:val="24"/>
        </w:rPr>
        <w:t>附件三、投标方基本情况表</w:t>
      </w:r>
      <w:r>
        <w:tab/>
      </w:r>
      <w:r>
        <w:fldChar w:fldCharType="begin"/>
      </w:r>
      <w:r>
        <w:instrText xml:space="preserve"> PAGEREF _Toc516 \h </w:instrText>
      </w:r>
      <w:r>
        <w:fldChar w:fldCharType="separate"/>
      </w:r>
      <w:r>
        <w:t>48</w:t>
      </w:r>
      <w:r>
        <w:fldChar w:fldCharType="end"/>
      </w:r>
      <w:r>
        <w:fldChar w:fldCharType="end"/>
      </w:r>
    </w:p>
    <w:p>
      <w:pPr>
        <w:pStyle w:val="39"/>
        <w:tabs>
          <w:tab w:val="right" w:leader="dot" w:pos="9071"/>
        </w:tabs>
      </w:pPr>
      <w:r>
        <w:fldChar w:fldCharType="begin"/>
      </w:r>
      <w:r>
        <w:instrText xml:space="preserve"> HYPERLINK \l _Toc15595 </w:instrText>
      </w:r>
      <w:r>
        <w:fldChar w:fldCharType="separate"/>
      </w:r>
      <w:r>
        <w:rPr>
          <w:rFonts w:hint="eastAsia" w:ascii="宋体" w:hAnsi="宋体" w:cs="宋体"/>
          <w:bCs w:val="0"/>
          <w:szCs w:val="24"/>
        </w:rPr>
        <w:t>附件四：开标一览表</w:t>
      </w:r>
      <w:r>
        <w:tab/>
      </w:r>
      <w:r>
        <w:fldChar w:fldCharType="begin"/>
      </w:r>
      <w:r>
        <w:instrText xml:space="preserve"> PAGEREF _Toc15595 \h </w:instrText>
      </w:r>
      <w:r>
        <w:fldChar w:fldCharType="separate"/>
      </w:r>
      <w:r>
        <w:t>49</w:t>
      </w:r>
      <w:r>
        <w:fldChar w:fldCharType="end"/>
      </w:r>
      <w:r>
        <w:fldChar w:fldCharType="end"/>
      </w:r>
    </w:p>
    <w:p>
      <w:pPr>
        <w:pStyle w:val="39"/>
        <w:tabs>
          <w:tab w:val="right" w:leader="dot" w:pos="9071"/>
        </w:tabs>
      </w:pPr>
      <w:r>
        <w:fldChar w:fldCharType="begin"/>
      </w:r>
      <w:r>
        <w:instrText xml:space="preserve"> HYPERLINK \l _Toc32497 </w:instrText>
      </w:r>
      <w:r>
        <w:fldChar w:fldCharType="separate"/>
      </w:r>
      <w:r>
        <w:rPr>
          <w:rFonts w:hint="eastAsia" w:ascii="宋体" w:hAnsi="宋体" w:cs="宋体"/>
          <w:bCs w:val="0"/>
          <w:szCs w:val="24"/>
        </w:rPr>
        <w:t>附件五、投标分项报价表</w:t>
      </w:r>
      <w:r>
        <w:tab/>
      </w:r>
      <w:r>
        <w:fldChar w:fldCharType="begin"/>
      </w:r>
      <w:r>
        <w:instrText xml:space="preserve"> PAGEREF _Toc32497 \h </w:instrText>
      </w:r>
      <w:r>
        <w:fldChar w:fldCharType="separate"/>
      </w:r>
      <w:r>
        <w:t>50</w:t>
      </w:r>
      <w:r>
        <w:fldChar w:fldCharType="end"/>
      </w:r>
      <w:r>
        <w:fldChar w:fldCharType="end"/>
      </w:r>
    </w:p>
    <w:p>
      <w:pPr>
        <w:pStyle w:val="39"/>
        <w:tabs>
          <w:tab w:val="right" w:leader="dot" w:pos="9071"/>
        </w:tabs>
      </w:pPr>
      <w:r>
        <w:fldChar w:fldCharType="begin"/>
      </w:r>
      <w:r>
        <w:instrText xml:space="preserve"> HYPERLINK \l _Toc3231 </w:instrText>
      </w:r>
      <w:r>
        <w:fldChar w:fldCharType="separate"/>
      </w:r>
      <w:r>
        <w:rPr>
          <w:rFonts w:hint="eastAsia" w:ascii="宋体" w:hAnsi="宋体" w:cs="宋体"/>
          <w:bCs w:val="0"/>
          <w:szCs w:val="24"/>
        </w:rPr>
        <w:t>附件六、设备投标报价分解表</w:t>
      </w:r>
      <w:r>
        <w:tab/>
      </w:r>
      <w:r>
        <w:fldChar w:fldCharType="begin"/>
      </w:r>
      <w:r>
        <w:instrText xml:space="preserve"> PAGEREF _Toc3231 \h </w:instrText>
      </w:r>
      <w:r>
        <w:fldChar w:fldCharType="separate"/>
      </w:r>
      <w:r>
        <w:t>51</w:t>
      </w:r>
      <w:r>
        <w:fldChar w:fldCharType="end"/>
      </w:r>
      <w:r>
        <w:fldChar w:fldCharType="end"/>
      </w:r>
    </w:p>
    <w:p>
      <w:pPr>
        <w:pStyle w:val="39"/>
        <w:tabs>
          <w:tab w:val="right" w:leader="dot" w:pos="9071"/>
        </w:tabs>
      </w:pPr>
      <w:r>
        <w:fldChar w:fldCharType="begin"/>
      </w:r>
      <w:r>
        <w:instrText xml:space="preserve"> HYPERLINK \l _Toc9346 </w:instrText>
      </w:r>
      <w:r>
        <w:fldChar w:fldCharType="separate"/>
      </w:r>
      <w:r>
        <w:rPr>
          <w:rFonts w:hint="eastAsia" w:ascii="宋体" w:hAnsi="宋体" w:cs="宋体"/>
          <w:bCs w:val="0"/>
          <w:szCs w:val="24"/>
        </w:rPr>
        <w:t>附件七、技术规格偏离表</w:t>
      </w:r>
      <w:r>
        <w:tab/>
      </w:r>
      <w:r>
        <w:fldChar w:fldCharType="begin"/>
      </w:r>
      <w:r>
        <w:instrText xml:space="preserve"> PAGEREF _Toc9346 \h </w:instrText>
      </w:r>
      <w:r>
        <w:fldChar w:fldCharType="separate"/>
      </w:r>
      <w:r>
        <w:t>52</w:t>
      </w:r>
      <w:r>
        <w:fldChar w:fldCharType="end"/>
      </w:r>
      <w:r>
        <w:fldChar w:fldCharType="end"/>
      </w:r>
    </w:p>
    <w:p>
      <w:pPr>
        <w:pStyle w:val="39"/>
        <w:tabs>
          <w:tab w:val="right" w:leader="dot" w:pos="9071"/>
        </w:tabs>
      </w:pPr>
      <w:r>
        <w:fldChar w:fldCharType="begin"/>
      </w:r>
      <w:r>
        <w:instrText xml:space="preserve"> HYPERLINK \l _Toc9605 </w:instrText>
      </w:r>
      <w:r>
        <w:fldChar w:fldCharType="separate"/>
      </w:r>
      <w:r>
        <w:rPr>
          <w:rFonts w:hint="eastAsia" w:ascii="宋体" w:hAnsi="宋体" w:cs="宋体"/>
          <w:bCs w:val="0"/>
          <w:szCs w:val="24"/>
        </w:rPr>
        <w:t>附件八、商务条款偏离表</w:t>
      </w:r>
      <w:r>
        <w:tab/>
      </w:r>
      <w:r>
        <w:fldChar w:fldCharType="begin"/>
      </w:r>
      <w:r>
        <w:instrText xml:space="preserve"> PAGEREF _Toc9605 \h </w:instrText>
      </w:r>
      <w:r>
        <w:fldChar w:fldCharType="separate"/>
      </w:r>
      <w:r>
        <w:t>53</w:t>
      </w:r>
      <w:r>
        <w:fldChar w:fldCharType="end"/>
      </w:r>
      <w:r>
        <w:fldChar w:fldCharType="end"/>
      </w:r>
    </w:p>
    <w:p>
      <w:pPr>
        <w:pStyle w:val="39"/>
        <w:tabs>
          <w:tab w:val="right" w:leader="dot" w:pos="9071"/>
        </w:tabs>
      </w:pPr>
      <w:r>
        <w:fldChar w:fldCharType="begin"/>
      </w:r>
      <w:r>
        <w:instrText xml:space="preserve"> HYPERLINK \l _Toc26154 </w:instrText>
      </w:r>
      <w:r>
        <w:fldChar w:fldCharType="separate"/>
      </w:r>
      <w:r>
        <w:rPr>
          <w:rFonts w:hint="eastAsia" w:ascii="宋体" w:hAnsi="宋体" w:cs="宋体"/>
          <w:bCs w:val="0"/>
          <w:szCs w:val="24"/>
        </w:rPr>
        <w:t>附件九、经营业绩一览表</w:t>
      </w:r>
      <w:r>
        <w:tab/>
      </w:r>
      <w:r>
        <w:fldChar w:fldCharType="begin"/>
      </w:r>
      <w:r>
        <w:instrText xml:space="preserve"> PAGEREF _Toc26154 \h </w:instrText>
      </w:r>
      <w:r>
        <w:fldChar w:fldCharType="separate"/>
      </w:r>
      <w:r>
        <w:t>54</w:t>
      </w:r>
      <w:r>
        <w:fldChar w:fldCharType="end"/>
      </w:r>
      <w:r>
        <w:fldChar w:fldCharType="end"/>
      </w:r>
    </w:p>
    <w:p>
      <w:pPr>
        <w:pStyle w:val="39"/>
        <w:tabs>
          <w:tab w:val="right" w:leader="dot" w:pos="9071"/>
        </w:tabs>
      </w:pPr>
      <w:r>
        <w:fldChar w:fldCharType="begin"/>
      </w:r>
      <w:r>
        <w:instrText xml:space="preserve"> HYPERLINK \l _Toc16420 </w:instrText>
      </w:r>
      <w:r>
        <w:fldChar w:fldCharType="separate"/>
      </w:r>
      <w:r>
        <w:rPr>
          <w:rFonts w:hint="eastAsia" w:ascii="宋体" w:hAnsi="宋体" w:cs="宋体"/>
          <w:bCs w:val="0"/>
          <w:szCs w:val="24"/>
        </w:rPr>
        <w:t>附件十、服务承诺函</w:t>
      </w:r>
      <w:r>
        <w:tab/>
      </w:r>
      <w:r>
        <w:fldChar w:fldCharType="begin"/>
      </w:r>
      <w:r>
        <w:instrText xml:space="preserve"> PAGEREF _Toc16420 \h </w:instrText>
      </w:r>
      <w:r>
        <w:fldChar w:fldCharType="separate"/>
      </w:r>
      <w:r>
        <w:t>55</w:t>
      </w:r>
      <w:r>
        <w:fldChar w:fldCharType="end"/>
      </w:r>
      <w:r>
        <w:fldChar w:fldCharType="end"/>
      </w:r>
    </w:p>
    <w:p>
      <w:pPr>
        <w:pStyle w:val="39"/>
        <w:tabs>
          <w:tab w:val="right" w:leader="dot" w:pos="9071"/>
        </w:tabs>
      </w:pPr>
      <w:r>
        <w:fldChar w:fldCharType="begin"/>
      </w:r>
      <w:r>
        <w:instrText xml:space="preserve"> HYPERLINK \l _Toc27050 </w:instrText>
      </w:r>
      <w:r>
        <w:fldChar w:fldCharType="separate"/>
      </w:r>
      <w:r>
        <w:rPr>
          <w:rFonts w:hint="eastAsia" w:ascii="宋体" w:hAnsi="宋体" w:cs="宋体"/>
          <w:bCs w:val="0"/>
          <w:szCs w:val="24"/>
        </w:rPr>
        <w:t>附件十一、设备质量承诺函</w:t>
      </w:r>
      <w:r>
        <w:tab/>
      </w:r>
      <w:r>
        <w:fldChar w:fldCharType="begin"/>
      </w:r>
      <w:r>
        <w:instrText xml:space="preserve"> PAGEREF _Toc27050 \h </w:instrText>
      </w:r>
      <w:r>
        <w:fldChar w:fldCharType="separate"/>
      </w:r>
      <w:r>
        <w:t>56</w:t>
      </w:r>
      <w:r>
        <w:fldChar w:fldCharType="end"/>
      </w:r>
      <w:r>
        <w:fldChar w:fldCharType="end"/>
      </w:r>
    </w:p>
    <w:p>
      <w:pPr>
        <w:pStyle w:val="39"/>
        <w:tabs>
          <w:tab w:val="right" w:leader="dot" w:pos="9071"/>
        </w:tabs>
      </w:pPr>
      <w:r>
        <w:fldChar w:fldCharType="begin"/>
      </w:r>
      <w:r>
        <w:instrText xml:space="preserve"> HYPERLINK \l _Toc25897 </w:instrText>
      </w:r>
      <w:r>
        <w:fldChar w:fldCharType="separate"/>
      </w:r>
      <w:r>
        <w:rPr>
          <w:rFonts w:hint="eastAsia" w:ascii="宋体" w:hAnsi="宋体" w:cs="宋体"/>
          <w:bCs w:val="0"/>
          <w:szCs w:val="24"/>
        </w:rPr>
        <w:t>附件十二</w:t>
      </w:r>
      <w:r>
        <w:rPr>
          <w:rFonts w:ascii="宋体" w:hAnsi="宋体" w:cs="宋体"/>
          <w:bCs w:val="0"/>
          <w:szCs w:val="24"/>
        </w:rPr>
        <w:t xml:space="preserve">: </w:t>
      </w:r>
      <w:r>
        <w:rPr>
          <w:rFonts w:hint="eastAsia" w:ascii="宋体" w:hAnsi="宋体" w:cs="宋体"/>
          <w:bCs w:val="0"/>
          <w:szCs w:val="24"/>
        </w:rPr>
        <w:t>封面格式（参考）</w:t>
      </w:r>
      <w:r>
        <w:tab/>
      </w:r>
      <w:r>
        <w:fldChar w:fldCharType="begin"/>
      </w:r>
      <w:r>
        <w:instrText xml:space="preserve"> PAGEREF _Toc25897 \h </w:instrText>
      </w:r>
      <w:r>
        <w:fldChar w:fldCharType="separate"/>
      </w:r>
      <w:r>
        <w:t>57</w:t>
      </w:r>
      <w:r>
        <w:fldChar w:fldCharType="end"/>
      </w:r>
      <w:r>
        <w:fldChar w:fldCharType="end"/>
      </w:r>
    </w:p>
    <w:p>
      <w:pPr>
        <w:pStyle w:val="246"/>
        <w:spacing w:line="460" w:lineRule="exact"/>
        <w:jc w:val="center"/>
        <w:sectPr>
          <w:pgSz w:w="11907" w:h="16840"/>
          <w:pgMar w:top="1702" w:right="1418" w:bottom="1418" w:left="1418" w:header="851" w:footer="822" w:gutter="0"/>
          <w:cols w:space="720" w:num="1"/>
          <w:docGrid w:linePitch="290" w:charSpace="-3931"/>
        </w:sectPr>
      </w:pPr>
      <w:r>
        <w:fldChar w:fldCharType="end"/>
      </w:r>
      <w:bookmarkStart w:id="140" w:name="_Toc14676795"/>
      <w:bookmarkStart w:id="141" w:name="_Toc14531619"/>
    </w:p>
    <w:bookmarkEnd w:id="140"/>
    <w:bookmarkEnd w:id="141"/>
    <w:p>
      <w:pPr>
        <w:spacing w:line="360" w:lineRule="auto"/>
        <w:rPr>
          <w:rFonts w:ascii="宋体" w:hAnsi="宋体" w:cs="宋体"/>
          <w:bCs/>
          <w:sz w:val="22"/>
          <w:szCs w:val="22"/>
        </w:rPr>
      </w:pPr>
      <w:r>
        <w:rPr>
          <w:rFonts w:hint="eastAsia" w:ascii="宋体" w:hAnsi="宋体" w:cs="宋体"/>
          <w:bCs/>
          <w:sz w:val="22"/>
          <w:szCs w:val="22"/>
        </w:rPr>
        <w:t>招标方（买方）：</w:t>
      </w:r>
    </w:p>
    <w:p>
      <w:pPr>
        <w:spacing w:line="360" w:lineRule="auto"/>
        <w:rPr>
          <w:rFonts w:ascii="宋体" w:hAnsi="宋体" w:cs="宋体"/>
          <w:bCs/>
          <w:sz w:val="22"/>
          <w:szCs w:val="22"/>
        </w:rPr>
      </w:pPr>
    </w:p>
    <w:p>
      <w:pPr>
        <w:ind w:right="-189" w:rightChars="-90"/>
        <w:jc w:val="left"/>
        <w:rPr>
          <w:rFonts w:ascii="宋体" w:hAnsi="宋体" w:cs="宋体"/>
          <w:b/>
          <w:bCs/>
          <w:sz w:val="22"/>
          <w:szCs w:val="22"/>
          <w:u w:val="single"/>
        </w:rPr>
      </w:pPr>
      <w:r>
        <w:rPr>
          <w:rFonts w:hint="eastAsia" w:ascii="宋体" w:hAnsi="宋体" w:cs="宋体"/>
          <w:bCs/>
          <w:sz w:val="22"/>
          <w:szCs w:val="22"/>
        </w:rPr>
        <w:t>投标方（卖方）：</w:t>
      </w:r>
    </w:p>
    <w:p>
      <w:pPr>
        <w:ind w:right="-189" w:rightChars="-90" w:firstLine="110" w:firstLineChars="50"/>
        <w:jc w:val="left"/>
        <w:rPr>
          <w:rFonts w:ascii="宋体" w:hAnsi="宋体" w:cs="宋体"/>
          <w:b/>
          <w:bCs/>
          <w:sz w:val="22"/>
          <w:szCs w:val="22"/>
          <w:u w:val="single"/>
        </w:rPr>
      </w:pPr>
    </w:p>
    <w:p>
      <w:pPr>
        <w:ind w:right="-189" w:rightChars="-90" w:firstLine="110" w:firstLineChars="50"/>
        <w:jc w:val="left"/>
        <w:rPr>
          <w:rFonts w:ascii="宋体" w:hAnsi="宋体" w:cs="宋体"/>
          <w:b/>
          <w:bCs/>
          <w:sz w:val="22"/>
          <w:szCs w:val="22"/>
          <w:u w:val="single"/>
        </w:rPr>
      </w:pPr>
    </w:p>
    <w:p>
      <w:pPr>
        <w:spacing w:line="360" w:lineRule="auto"/>
        <w:ind w:firstLine="440" w:firstLineChars="200"/>
        <w:rPr>
          <w:rFonts w:ascii="宋体" w:hAnsi="宋体" w:cs="宋体"/>
          <w:bCs/>
          <w:sz w:val="22"/>
          <w:szCs w:val="22"/>
        </w:rPr>
      </w:pPr>
      <w:r>
        <w:rPr>
          <w:rFonts w:hint="eastAsia" w:ascii="宋体" w:hAnsi="宋体" w:cs="宋体"/>
          <w:bCs/>
          <w:sz w:val="22"/>
          <w:szCs w:val="22"/>
        </w:rPr>
        <w:t>本设备采购合同由甲乙双方于</w:t>
      </w:r>
      <w:r>
        <w:rPr>
          <w:rFonts w:hint="eastAsia" w:ascii="宋体" w:hAnsi="宋体" w:cs="宋体"/>
          <w:bCs/>
          <w:sz w:val="22"/>
          <w:szCs w:val="22"/>
          <w:u w:val="single"/>
        </w:rPr>
        <w:t>山东省济南市</w:t>
      </w:r>
      <w:r>
        <w:rPr>
          <w:rFonts w:hint="eastAsia" w:ascii="宋体" w:hAnsi="宋体" w:cs="宋体"/>
          <w:bCs/>
          <w:i/>
          <w:iCs/>
          <w:sz w:val="22"/>
          <w:szCs w:val="22"/>
        </w:rPr>
        <w:t>（</w:t>
      </w:r>
      <w:r>
        <w:rPr>
          <w:rFonts w:hint="eastAsia" w:ascii="宋体" w:hAnsi="宋体" w:cs="宋体"/>
          <w:i/>
          <w:iCs/>
          <w:sz w:val="22"/>
          <w:szCs w:val="22"/>
        </w:rPr>
        <w:t>可根据实际情况调整</w:t>
      </w:r>
      <w:r>
        <w:rPr>
          <w:rFonts w:hint="eastAsia" w:ascii="宋体" w:hAnsi="宋体" w:cs="宋体"/>
          <w:bCs/>
          <w:i/>
          <w:iCs/>
          <w:sz w:val="22"/>
          <w:szCs w:val="22"/>
        </w:rPr>
        <w:t>）</w:t>
      </w:r>
      <w:r>
        <w:rPr>
          <w:rFonts w:hint="eastAsia" w:ascii="宋体" w:hAnsi="宋体" w:cs="宋体"/>
          <w:bCs/>
          <w:sz w:val="22"/>
          <w:szCs w:val="22"/>
        </w:rPr>
        <w:t>签订：</w:t>
      </w:r>
    </w:p>
    <w:p>
      <w:pPr>
        <w:ind w:right="-189" w:rightChars="-90" w:firstLine="440" w:firstLineChars="200"/>
        <w:jc w:val="left"/>
        <w:rPr>
          <w:rFonts w:ascii="宋体" w:hAnsi="宋体"/>
          <w:sz w:val="22"/>
          <w:szCs w:val="22"/>
        </w:rPr>
      </w:pPr>
      <w:r>
        <w:rPr>
          <w:rFonts w:hint="eastAsia" w:ascii="宋体" w:hAnsi="宋体"/>
          <w:sz w:val="22"/>
          <w:szCs w:val="22"/>
        </w:rPr>
        <w:t>鉴于，买方向卖方购买项目设备台（套），就该设备的设计、制造、运输、定点卸货、安装</w:t>
      </w:r>
      <w:r>
        <w:rPr>
          <w:rFonts w:hint="eastAsia" w:ascii="宋体" w:hAnsi="宋体"/>
          <w:i/>
          <w:iCs/>
          <w:sz w:val="22"/>
          <w:szCs w:val="22"/>
        </w:rPr>
        <w:t>（</w:t>
      </w:r>
      <w:r>
        <w:rPr>
          <w:rFonts w:hint="eastAsia" w:ascii="宋体" w:hAnsi="宋体" w:cs="宋体"/>
          <w:i/>
          <w:iCs/>
          <w:sz w:val="22"/>
          <w:szCs w:val="22"/>
        </w:rPr>
        <w:t>或指导安装</w:t>
      </w:r>
      <w:r>
        <w:rPr>
          <w:rFonts w:hint="eastAsia" w:ascii="宋体" w:hAnsi="宋体"/>
          <w:i/>
          <w:iCs/>
          <w:sz w:val="22"/>
          <w:szCs w:val="22"/>
        </w:rPr>
        <w:t>）</w:t>
      </w:r>
      <w:r>
        <w:rPr>
          <w:rFonts w:hint="eastAsia" w:ascii="宋体" w:hAnsi="宋体"/>
          <w:sz w:val="22"/>
          <w:szCs w:val="22"/>
        </w:rPr>
        <w:t>、调试、验收、培训及售后服务等有关问题，以上所列内容经买卖双方协商自愿达成本合同：</w:t>
      </w:r>
    </w:p>
    <w:p>
      <w:pPr>
        <w:ind w:right="-189" w:rightChars="-90" w:firstLine="440" w:firstLineChars="200"/>
        <w:jc w:val="left"/>
        <w:rPr>
          <w:rFonts w:ascii="宋体" w:hAnsi="宋体"/>
          <w:sz w:val="22"/>
          <w:szCs w:val="22"/>
        </w:rPr>
      </w:pPr>
    </w:p>
    <w:p>
      <w:pPr>
        <w:pStyle w:val="2"/>
        <w:ind w:left="0" w:firstLine="379" w:firstLineChars="189"/>
        <w:jc w:val="both"/>
        <w:rPr>
          <w:rFonts w:ascii="宋体" w:hAnsi="宋体" w:cs="宋体"/>
          <w:sz w:val="20"/>
        </w:rPr>
      </w:pPr>
      <w:bookmarkStart w:id="142" w:name="_Toc10128"/>
      <w:bookmarkStart w:id="143" w:name="_Toc11930"/>
      <w:bookmarkStart w:id="144" w:name="_Toc11823"/>
      <w:bookmarkStart w:id="145" w:name="_Toc6125"/>
      <w:bookmarkStart w:id="146" w:name="_Toc17619"/>
      <w:bookmarkStart w:id="147" w:name="_Toc1740"/>
      <w:r>
        <w:rPr>
          <w:rFonts w:hint="eastAsia" w:ascii="宋体" w:hAnsi="宋体" w:cs="宋体"/>
          <w:sz w:val="20"/>
        </w:rPr>
        <w:t>1 合同设备</w:t>
      </w:r>
      <w:bookmarkEnd w:id="142"/>
      <w:bookmarkEnd w:id="143"/>
      <w:bookmarkEnd w:id="144"/>
      <w:bookmarkEnd w:id="145"/>
      <w:bookmarkEnd w:id="146"/>
      <w:bookmarkEnd w:id="147"/>
    </w:p>
    <w:p>
      <w:pPr>
        <w:spacing w:line="220" w:lineRule="atLeast"/>
        <w:ind w:firstLine="378" w:firstLineChars="189"/>
        <w:rPr>
          <w:rFonts w:ascii="宋体" w:hAnsi="宋体" w:cs="宋体"/>
          <w:sz w:val="20"/>
          <w:szCs w:val="20"/>
        </w:rPr>
      </w:pPr>
      <w:r>
        <w:rPr>
          <w:rFonts w:hint="eastAsia" w:ascii="宋体" w:hAnsi="宋体" w:cs="宋体"/>
          <w:sz w:val="20"/>
          <w:szCs w:val="20"/>
        </w:rPr>
        <w:t>1.1买方向卖方购买的设备信息见附件一：《设备清单明细表》</w:t>
      </w:r>
    </w:p>
    <w:p>
      <w:pPr>
        <w:spacing w:line="360" w:lineRule="auto"/>
        <w:ind w:firstLine="378" w:firstLineChars="189"/>
        <w:rPr>
          <w:rFonts w:ascii="宋体" w:hAnsi="宋体" w:cs="宋体"/>
          <w:sz w:val="20"/>
          <w:szCs w:val="20"/>
        </w:rPr>
      </w:pPr>
      <w:bookmarkStart w:id="148" w:name="_Toc32510"/>
      <w:bookmarkStart w:id="149" w:name="_Toc22800"/>
      <w:bookmarkStart w:id="150" w:name="_Toc29026"/>
      <w:r>
        <w:rPr>
          <w:rFonts w:hint="eastAsia" w:ascii="宋体" w:hAnsi="宋体" w:cs="宋体"/>
          <w:sz w:val="20"/>
          <w:szCs w:val="20"/>
        </w:rPr>
        <w:t>1.2技术规格和标准</w:t>
      </w:r>
    </w:p>
    <w:p>
      <w:pPr>
        <w:spacing w:line="360" w:lineRule="auto"/>
        <w:ind w:firstLine="378" w:firstLineChars="189"/>
        <w:rPr>
          <w:rFonts w:ascii="宋体" w:hAnsi="宋体" w:cs="宋体"/>
          <w:sz w:val="20"/>
          <w:szCs w:val="20"/>
        </w:rPr>
      </w:pPr>
      <w:r>
        <w:rPr>
          <w:rFonts w:hint="eastAsia" w:ascii="宋体" w:hAnsi="宋体" w:cs="宋体"/>
          <w:sz w:val="20"/>
          <w:szCs w:val="20"/>
        </w:rPr>
        <w:t>1.2.1本合同约定设备的技术规格详见附件二《技术协议书》。</w:t>
      </w:r>
    </w:p>
    <w:p>
      <w:pPr>
        <w:spacing w:line="360" w:lineRule="auto"/>
        <w:ind w:firstLine="378" w:firstLineChars="189"/>
        <w:rPr>
          <w:rFonts w:ascii="宋体" w:hAnsi="宋体" w:cs="宋体"/>
          <w:sz w:val="20"/>
          <w:szCs w:val="20"/>
        </w:rPr>
      </w:pPr>
      <w:r>
        <w:rPr>
          <w:rFonts w:hint="eastAsia" w:ascii="宋体" w:hAnsi="宋体" w:cs="宋体"/>
          <w:sz w:val="20"/>
          <w:szCs w:val="20"/>
        </w:rPr>
        <w:t>1.2.2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spacing w:line="360" w:lineRule="auto"/>
        <w:ind w:firstLine="378" w:firstLineChars="189"/>
        <w:rPr>
          <w:rFonts w:ascii="宋体" w:hAnsi="宋体" w:cs="宋体"/>
          <w:sz w:val="20"/>
          <w:szCs w:val="20"/>
        </w:rPr>
      </w:pPr>
      <w:r>
        <w:rPr>
          <w:rFonts w:hint="eastAsia" w:ascii="宋体" w:hAnsi="宋体" w:cs="宋体"/>
          <w:sz w:val="20"/>
          <w:szCs w:val="20"/>
        </w:rPr>
        <w:t>1.3在设备所有权转移到买方之前，有关设备的保险由卖方负责办理并承担保险费用。</w:t>
      </w:r>
    </w:p>
    <w:p>
      <w:pPr>
        <w:spacing w:line="360" w:lineRule="auto"/>
        <w:ind w:firstLine="378" w:firstLineChars="189"/>
        <w:rPr>
          <w:rFonts w:ascii="宋体" w:hAnsi="宋体" w:cs="宋体"/>
          <w:sz w:val="20"/>
          <w:szCs w:val="20"/>
        </w:rPr>
      </w:pPr>
    </w:p>
    <w:p>
      <w:pPr>
        <w:pStyle w:val="2"/>
        <w:ind w:left="0" w:firstLine="379" w:firstLineChars="189"/>
        <w:jc w:val="both"/>
        <w:rPr>
          <w:rFonts w:ascii="宋体" w:hAnsi="宋体" w:cs="宋体"/>
          <w:sz w:val="20"/>
        </w:rPr>
      </w:pPr>
      <w:bookmarkStart w:id="151" w:name="_Toc18553"/>
      <w:bookmarkStart w:id="152" w:name="_Toc2085"/>
      <w:bookmarkStart w:id="153" w:name="_Toc22347"/>
      <w:r>
        <w:rPr>
          <w:rFonts w:hint="eastAsia" w:ascii="宋体" w:hAnsi="宋体" w:cs="宋体"/>
          <w:sz w:val="20"/>
        </w:rPr>
        <w:t>2 包装</w:t>
      </w:r>
      <w:bookmarkEnd w:id="148"/>
      <w:bookmarkEnd w:id="149"/>
      <w:bookmarkEnd w:id="150"/>
      <w:bookmarkEnd w:id="151"/>
      <w:bookmarkEnd w:id="152"/>
      <w:bookmarkEnd w:id="153"/>
    </w:p>
    <w:p>
      <w:pPr>
        <w:spacing w:line="360" w:lineRule="auto"/>
        <w:ind w:firstLine="378" w:firstLineChars="189"/>
        <w:rPr>
          <w:rFonts w:ascii="宋体" w:hAnsi="宋体" w:cs="宋体"/>
          <w:sz w:val="20"/>
          <w:szCs w:val="20"/>
        </w:rPr>
      </w:pPr>
      <w:r>
        <w:rPr>
          <w:rFonts w:hint="eastAsia" w:ascii="宋体" w:hAnsi="宋体" w:cs="宋体"/>
          <w:sz w:val="20"/>
          <w:szCs w:val="20"/>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pacing w:line="360" w:lineRule="auto"/>
        <w:ind w:firstLine="378" w:firstLineChars="189"/>
        <w:rPr>
          <w:rFonts w:ascii="宋体" w:hAnsi="宋体" w:cs="宋体"/>
          <w:sz w:val="20"/>
          <w:szCs w:val="20"/>
        </w:rPr>
      </w:pPr>
      <w:r>
        <w:rPr>
          <w:rFonts w:hint="eastAsia" w:ascii="宋体" w:hAnsi="宋体" w:cs="宋体"/>
          <w:sz w:val="20"/>
          <w:szCs w:val="20"/>
        </w:rPr>
        <w:t>2.2每件包装应附有详细的装箱单和质量证书各两套，一套在包装箱里，一套在包装箱外。</w:t>
      </w:r>
    </w:p>
    <w:p>
      <w:pPr>
        <w:spacing w:line="360" w:lineRule="auto"/>
        <w:ind w:firstLine="378" w:firstLineChars="189"/>
        <w:rPr>
          <w:rFonts w:ascii="宋体" w:hAnsi="宋体" w:cs="宋体"/>
          <w:sz w:val="20"/>
          <w:szCs w:val="20"/>
        </w:rPr>
      </w:pPr>
    </w:p>
    <w:p>
      <w:pPr>
        <w:pStyle w:val="2"/>
        <w:ind w:left="0" w:firstLine="379" w:firstLineChars="189"/>
        <w:jc w:val="both"/>
        <w:rPr>
          <w:rFonts w:ascii="宋体" w:hAnsi="宋体" w:cs="宋体"/>
          <w:sz w:val="20"/>
        </w:rPr>
      </w:pPr>
      <w:bookmarkStart w:id="154" w:name="_Toc2833"/>
      <w:bookmarkStart w:id="155" w:name="_Toc12311"/>
      <w:bookmarkStart w:id="156" w:name="_Toc27144"/>
      <w:bookmarkStart w:id="157" w:name="_Toc8215"/>
      <w:bookmarkStart w:id="158" w:name="_Toc27453"/>
      <w:bookmarkStart w:id="159" w:name="_Toc3215"/>
      <w:r>
        <w:rPr>
          <w:rFonts w:hint="eastAsia" w:ascii="宋体" w:hAnsi="宋体" w:cs="宋体"/>
          <w:sz w:val="20"/>
        </w:rPr>
        <w:t>3 运输标记</w:t>
      </w:r>
      <w:bookmarkEnd w:id="154"/>
      <w:bookmarkEnd w:id="155"/>
      <w:bookmarkEnd w:id="156"/>
      <w:bookmarkEnd w:id="157"/>
      <w:bookmarkEnd w:id="158"/>
      <w:bookmarkEnd w:id="159"/>
    </w:p>
    <w:p>
      <w:pPr>
        <w:spacing w:line="360" w:lineRule="auto"/>
        <w:ind w:firstLine="378" w:firstLineChars="189"/>
        <w:rPr>
          <w:rFonts w:ascii="宋体" w:hAnsi="宋体" w:cs="宋体"/>
          <w:sz w:val="20"/>
          <w:szCs w:val="20"/>
        </w:rPr>
      </w:pPr>
      <w:r>
        <w:rPr>
          <w:rFonts w:hint="eastAsia" w:ascii="宋体" w:hAnsi="宋体" w:cs="宋体"/>
          <w:sz w:val="20"/>
          <w:szCs w:val="20"/>
        </w:rPr>
        <w:t>3.1卖方应在每一包装箱邻近的四个侧面用不易褪色的油漆以醒目的中文印刷字体标明以下各项：</w:t>
      </w:r>
    </w:p>
    <w:p>
      <w:pPr>
        <w:spacing w:line="360" w:lineRule="auto"/>
        <w:ind w:firstLine="378" w:firstLineChars="189"/>
        <w:rPr>
          <w:rFonts w:ascii="宋体" w:hAnsi="宋体" w:cs="宋体"/>
          <w:sz w:val="20"/>
          <w:szCs w:val="20"/>
        </w:rPr>
      </w:pPr>
      <w:r>
        <w:rPr>
          <w:rFonts w:hint="eastAsia" w:ascii="宋体" w:hAnsi="宋体" w:cs="宋体"/>
          <w:sz w:val="20"/>
          <w:szCs w:val="20"/>
        </w:rPr>
        <w:t>3.1.1收货人</w:t>
      </w:r>
    </w:p>
    <w:p>
      <w:pPr>
        <w:spacing w:line="360" w:lineRule="auto"/>
        <w:ind w:firstLine="378" w:firstLineChars="189"/>
        <w:rPr>
          <w:rFonts w:ascii="宋体" w:hAnsi="宋体" w:cs="宋体"/>
          <w:sz w:val="20"/>
          <w:szCs w:val="20"/>
        </w:rPr>
      </w:pPr>
      <w:r>
        <w:rPr>
          <w:rFonts w:hint="eastAsia" w:ascii="宋体" w:hAnsi="宋体" w:cs="宋体"/>
          <w:sz w:val="20"/>
          <w:szCs w:val="20"/>
        </w:rPr>
        <w:t>3.1.2合同号</w:t>
      </w:r>
    </w:p>
    <w:p>
      <w:pPr>
        <w:spacing w:line="360" w:lineRule="auto"/>
        <w:ind w:firstLine="378" w:firstLineChars="189"/>
        <w:rPr>
          <w:rFonts w:ascii="宋体" w:hAnsi="宋体" w:cs="宋体"/>
          <w:sz w:val="20"/>
          <w:szCs w:val="20"/>
        </w:rPr>
      </w:pPr>
      <w:r>
        <w:rPr>
          <w:rFonts w:hint="eastAsia" w:ascii="宋体" w:hAnsi="宋体" w:cs="宋体"/>
          <w:sz w:val="20"/>
          <w:szCs w:val="20"/>
        </w:rPr>
        <w:t>3.1.3发货标记（唛头）</w:t>
      </w:r>
    </w:p>
    <w:p>
      <w:pPr>
        <w:spacing w:line="360" w:lineRule="auto"/>
        <w:ind w:firstLine="378" w:firstLineChars="189"/>
        <w:rPr>
          <w:rFonts w:ascii="宋体" w:hAnsi="宋体" w:cs="宋体"/>
          <w:sz w:val="20"/>
          <w:szCs w:val="20"/>
        </w:rPr>
      </w:pPr>
      <w:r>
        <w:rPr>
          <w:rFonts w:hint="eastAsia" w:ascii="宋体" w:hAnsi="宋体" w:cs="宋体"/>
          <w:sz w:val="20"/>
          <w:szCs w:val="20"/>
        </w:rPr>
        <w:t>3.1.4设备的名称、品目号、箱号</w:t>
      </w:r>
    </w:p>
    <w:p>
      <w:pPr>
        <w:spacing w:line="360" w:lineRule="auto"/>
        <w:ind w:firstLine="378" w:firstLineChars="189"/>
        <w:rPr>
          <w:rFonts w:ascii="宋体" w:hAnsi="宋体" w:cs="宋体"/>
          <w:sz w:val="20"/>
          <w:szCs w:val="20"/>
        </w:rPr>
      </w:pPr>
      <w:r>
        <w:rPr>
          <w:rFonts w:hint="eastAsia" w:ascii="宋体" w:hAnsi="宋体" w:cs="宋体"/>
          <w:sz w:val="20"/>
          <w:szCs w:val="20"/>
        </w:rPr>
        <w:t>3.1.5毛重/净重（公斤）</w:t>
      </w:r>
    </w:p>
    <w:p>
      <w:pPr>
        <w:spacing w:line="360" w:lineRule="auto"/>
        <w:ind w:firstLine="378" w:firstLineChars="189"/>
        <w:rPr>
          <w:rFonts w:ascii="宋体" w:hAnsi="宋体" w:cs="宋体"/>
          <w:sz w:val="20"/>
          <w:szCs w:val="20"/>
        </w:rPr>
      </w:pPr>
      <w:r>
        <w:rPr>
          <w:rFonts w:hint="eastAsia" w:ascii="宋体" w:hAnsi="宋体" w:cs="宋体"/>
          <w:sz w:val="20"/>
          <w:szCs w:val="20"/>
        </w:rPr>
        <w:t>3.1.6尺寸（长×宽×高，以厘米计）</w:t>
      </w:r>
    </w:p>
    <w:p>
      <w:pPr>
        <w:spacing w:line="360" w:lineRule="auto"/>
        <w:ind w:firstLine="378" w:firstLineChars="189"/>
        <w:rPr>
          <w:rFonts w:ascii="宋体" w:hAnsi="宋体" w:cs="宋体"/>
          <w:sz w:val="20"/>
          <w:szCs w:val="20"/>
        </w:rPr>
      </w:pPr>
      <w:r>
        <w:rPr>
          <w:rFonts w:hint="eastAsia" w:ascii="宋体" w:hAnsi="宋体" w:cs="宋体"/>
          <w:sz w:val="20"/>
          <w:szCs w:val="20"/>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spacing w:line="360" w:lineRule="auto"/>
        <w:ind w:firstLine="378" w:firstLineChars="189"/>
        <w:rPr>
          <w:rFonts w:ascii="宋体" w:hAnsi="宋体" w:cs="宋体"/>
          <w:sz w:val="20"/>
          <w:szCs w:val="20"/>
        </w:rPr>
      </w:pPr>
    </w:p>
    <w:p>
      <w:pPr>
        <w:pStyle w:val="2"/>
        <w:ind w:left="0" w:firstLine="379" w:firstLineChars="189"/>
        <w:jc w:val="both"/>
        <w:rPr>
          <w:rFonts w:ascii="宋体" w:hAnsi="宋体" w:cs="宋体"/>
          <w:sz w:val="20"/>
        </w:rPr>
      </w:pPr>
      <w:bookmarkStart w:id="160" w:name="_Toc11620"/>
      <w:bookmarkStart w:id="161" w:name="_Toc10630"/>
      <w:bookmarkStart w:id="162" w:name="_Toc16133"/>
      <w:bookmarkStart w:id="163" w:name="_Toc22787"/>
      <w:bookmarkStart w:id="164" w:name="_Toc2697"/>
      <w:bookmarkStart w:id="165" w:name="_Toc7431"/>
      <w:r>
        <w:rPr>
          <w:rFonts w:hint="eastAsia" w:ascii="宋体" w:hAnsi="宋体" w:cs="宋体"/>
          <w:sz w:val="20"/>
        </w:rPr>
        <w:t>4 检验</w:t>
      </w:r>
      <w:bookmarkEnd w:id="160"/>
      <w:bookmarkEnd w:id="161"/>
      <w:bookmarkEnd w:id="162"/>
      <w:bookmarkEnd w:id="163"/>
      <w:bookmarkEnd w:id="164"/>
      <w:bookmarkEnd w:id="165"/>
    </w:p>
    <w:p>
      <w:pPr>
        <w:spacing w:line="360" w:lineRule="auto"/>
        <w:ind w:firstLine="378" w:firstLineChars="189"/>
        <w:rPr>
          <w:rFonts w:ascii="宋体" w:hAnsi="宋体" w:cs="宋体"/>
          <w:sz w:val="20"/>
          <w:szCs w:val="20"/>
        </w:rPr>
      </w:pPr>
      <w:r>
        <w:rPr>
          <w:rFonts w:hint="eastAsia" w:ascii="宋体" w:hAnsi="宋体" w:cs="宋体"/>
          <w:sz w:val="20"/>
          <w:szCs w:val="20"/>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spacing w:line="360" w:lineRule="auto"/>
        <w:ind w:firstLine="378" w:firstLineChars="189"/>
        <w:rPr>
          <w:rFonts w:ascii="宋体" w:hAnsi="宋体" w:cs="宋体"/>
          <w:sz w:val="20"/>
          <w:szCs w:val="20"/>
        </w:rPr>
      </w:pPr>
      <w:r>
        <w:rPr>
          <w:rFonts w:hint="eastAsia" w:ascii="宋体" w:hAnsi="宋体" w:cs="宋体"/>
          <w:sz w:val="20"/>
          <w:szCs w:val="20"/>
        </w:rPr>
        <w:t>4.2国家强制检验检测的设备，需要经过国家有关部门进行检验检测，卖方保证提供的设备通过其检验并承担费用。</w:t>
      </w:r>
    </w:p>
    <w:p>
      <w:pPr>
        <w:spacing w:line="360" w:lineRule="auto"/>
        <w:ind w:firstLine="378" w:firstLineChars="189"/>
        <w:rPr>
          <w:rFonts w:ascii="宋体" w:hAnsi="宋体" w:cs="宋体"/>
          <w:sz w:val="20"/>
          <w:szCs w:val="20"/>
        </w:rPr>
      </w:pPr>
    </w:p>
    <w:p>
      <w:pPr>
        <w:pStyle w:val="2"/>
        <w:ind w:left="0" w:firstLine="379" w:firstLineChars="189"/>
        <w:jc w:val="both"/>
        <w:rPr>
          <w:rFonts w:ascii="宋体" w:hAnsi="宋体" w:cs="宋体"/>
          <w:sz w:val="20"/>
        </w:rPr>
      </w:pPr>
      <w:bookmarkStart w:id="166" w:name="_Toc19850"/>
      <w:bookmarkStart w:id="167" w:name="_Toc8067"/>
      <w:bookmarkStart w:id="168" w:name="_Toc11217"/>
      <w:bookmarkStart w:id="169" w:name="_Toc28097"/>
      <w:bookmarkStart w:id="170" w:name="_Toc24467"/>
      <w:bookmarkStart w:id="171" w:name="_Toc3994"/>
      <w:r>
        <w:rPr>
          <w:rFonts w:hint="eastAsia" w:ascii="宋体" w:hAnsi="宋体" w:cs="宋体"/>
          <w:sz w:val="20"/>
        </w:rPr>
        <w:t>5 权利担保</w:t>
      </w:r>
      <w:bookmarkEnd w:id="166"/>
      <w:bookmarkEnd w:id="167"/>
      <w:bookmarkEnd w:id="168"/>
      <w:bookmarkEnd w:id="169"/>
      <w:bookmarkEnd w:id="170"/>
      <w:bookmarkEnd w:id="171"/>
    </w:p>
    <w:p>
      <w:pPr>
        <w:spacing w:line="360" w:lineRule="auto"/>
        <w:ind w:firstLine="378" w:firstLineChars="189"/>
        <w:rPr>
          <w:rFonts w:ascii="宋体" w:hAnsi="宋体" w:cs="宋体"/>
          <w:sz w:val="20"/>
          <w:szCs w:val="20"/>
        </w:rPr>
      </w:pPr>
      <w:r>
        <w:rPr>
          <w:rFonts w:hint="eastAsia" w:ascii="宋体" w:hAnsi="宋体" w:cs="宋体"/>
          <w:sz w:val="20"/>
          <w:szCs w:val="20"/>
        </w:rPr>
        <w:t>5.1卖方所交付的设备，必须是第三方不能提出任何权利或要求的设备，卖方应担保设备不存在订立本合同时不为买方所知的第三方的权利（包括但不限于抵押权、留置权等）或行政、司法查封。</w:t>
      </w:r>
    </w:p>
    <w:p>
      <w:pPr>
        <w:spacing w:line="360" w:lineRule="auto"/>
        <w:ind w:firstLine="378" w:firstLineChars="189"/>
        <w:rPr>
          <w:rFonts w:ascii="宋体" w:hAnsi="宋体" w:cs="宋体"/>
          <w:sz w:val="20"/>
          <w:szCs w:val="20"/>
        </w:rPr>
      </w:pPr>
      <w:r>
        <w:rPr>
          <w:rFonts w:hint="eastAsia" w:ascii="宋体" w:hAnsi="宋体" w:cs="宋体"/>
          <w:sz w:val="20"/>
          <w:szCs w:val="20"/>
        </w:rPr>
        <w:t>5.2卖方应保证第三方对其提交的设备不得以侵权或其他类似理由提出合法要求，如侵犯知识产权等。</w:t>
      </w:r>
    </w:p>
    <w:p>
      <w:pPr>
        <w:spacing w:line="360" w:lineRule="auto"/>
        <w:ind w:firstLine="378" w:firstLineChars="189"/>
        <w:rPr>
          <w:rFonts w:ascii="宋体" w:hAnsi="宋体" w:cs="宋体"/>
          <w:sz w:val="20"/>
          <w:szCs w:val="20"/>
        </w:rPr>
      </w:pPr>
      <w:r>
        <w:rPr>
          <w:rFonts w:hint="eastAsia" w:ascii="宋体" w:hAnsi="宋体" w:cs="宋体"/>
          <w:sz w:val="20"/>
          <w:szCs w:val="20"/>
        </w:rPr>
        <w:t>5.3任何第三方如果提出侵权指控，卖方应与第三方交涉，并承担由此引起的一切法律责任和费用以及给买方所造成的损失。</w:t>
      </w:r>
    </w:p>
    <w:p>
      <w:pPr>
        <w:spacing w:line="360" w:lineRule="auto"/>
        <w:ind w:firstLine="378" w:firstLineChars="189"/>
        <w:rPr>
          <w:rFonts w:ascii="宋体" w:hAnsi="宋体" w:cs="宋体"/>
          <w:sz w:val="20"/>
          <w:szCs w:val="20"/>
        </w:rPr>
      </w:pPr>
      <w:r>
        <w:rPr>
          <w:rFonts w:hint="eastAsia" w:ascii="宋体" w:hAnsi="宋体" w:cs="宋体"/>
          <w:sz w:val="20"/>
          <w:szCs w:val="20"/>
        </w:rPr>
        <w:t>5.4买方应在已知道第三方的权利或要求后的一段合理时间内，将此权利或要求的性质通知卖方。</w:t>
      </w:r>
    </w:p>
    <w:p>
      <w:pPr>
        <w:spacing w:line="360" w:lineRule="auto"/>
        <w:ind w:firstLine="378" w:firstLineChars="189"/>
        <w:rPr>
          <w:rFonts w:ascii="宋体" w:hAnsi="宋体" w:cs="宋体"/>
          <w:sz w:val="20"/>
          <w:szCs w:val="20"/>
        </w:rPr>
      </w:pPr>
      <w:r>
        <w:rPr>
          <w:rFonts w:hint="eastAsia" w:ascii="宋体" w:hAnsi="宋体" w:cs="宋体"/>
          <w:sz w:val="20"/>
          <w:szCs w:val="20"/>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spacing w:line="360" w:lineRule="auto"/>
        <w:ind w:firstLine="378" w:firstLineChars="189"/>
        <w:rPr>
          <w:rFonts w:ascii="宋体" w:hAnsi="宋体" w:cs="宋体"/>
          <w:sz w:val="20"/>
          <w:szCs w:val="20"/>
        </w:rPr>
      </w:pPr>
    </w:p>
    <w:p>
      <w:pPr>
        <w:pStyle w:val="2"/>
        <w:ind w:left="0" w:firstLine="379" w:firstLineChars="189"/>
        <w:jc w:val="both"/>
        <w:rPr>
          <w:rFonts w:ascii="宋体" w:hAnsi="宋体" w:cs="宋体"/>
          <w:sz w:val="20"/>
        </w:rPr>
      </w:pPr>
      <w:bookmarkStart w:id="172" w:name="_Toc28357"/>
      <w:bookmarkStart w:id="173" w:name="_Toc14809"/>
      <w:bookmarkStart w:id="174" w:name="_Toc10847"/>
      <w:bookmarkStart w:id="175" w:name="_Toc17588"/>
      <w:bookmarkStart w:id="176" w:name="_Toc27500"/>
      <w:bookmarkStart w:id="177" w:name="_Toc11759"/>
      <w:r>
        <w:rPr>
          <w:rFonts w:hint="eastAsia" w:ascii="宋体" w:hAnsi="宋体" w:cs="宋体"/>
          <w:sz w:val="20"/>
        </w:rPr>
        <w:t>6 交货</w:t>
      </w:r>
      <w:bookmarkEnd w:id="172"/>
      <w:bookmarkEnd w:id="173"/>
      <w:bookmarkEnd w:id="174"/>
      <w:bookmarkEnd w:id="175"/>
      <w:bookmarkEnd w:id="176"/>
      <w:bookmarkEnd w:id="177"/>
    </w:p>
    <w:p>
      <w:pPr>
        <w:spacing w:line="360" w:lineRule="auto"/>
        <w:ind w:firstLine="378" w:firstLineChars="189"/>
        <w:rPr>
          <w:rFonts w:ascii="宋体" w:hAnsi="宋体" w:cs="宋体"/>
          <w:sz w:val="20"/>
          <w:szCs w:val="20"/>
        </w:rPr>
      </w:pPr>
      <w:r>
        <w:rPr>
          <w:rFonts w:hint="eastAsia" w:ascii="宋体" w:hAnsi="宋体" w:cs="宋体"/>
          <w:sz w:val="20"/>
          <w:szCs w:val="20"/>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spacing w:line="360" w:lineRule="auto"/>
        <w:ind w:firstLine="378" w:firstLineChars="189"/>
        <w:rPr>
          <w:rFonts w:ascii="宋体" w:hAnsi="宋体" w:cs="宋体"/>
          <w:sz w:val="20"/>
          <w:szCs w:val="20"/>
        </w:rPr>
      </w:pPr>
      <w:r>
        <w:rPr>
          <w:rFonts w:hint="eastAsia" w:ascii="宋体" w:hAnsi="宋体" w:cs="宋体"/>
          <w:sz w:val="20"/>
          <w:szCs w:val="20"/>
        </w:rPr>
        <w:t>6.2卖方应在设备装运完成后当天以传真、邮件等的形式通知买方合同号、设备名称、数量、毛重、体积（立方米）、发票金额、启运日期、预计到达日期。</w:t>
      </w:r>
    </w:p>
    <w:p>
      <w:pPr>
        <w:spacing w:line="360" w:lineRule="auto"/>
        <w:ind w:firstLine="378" w:firstLineChars="189"/>
        <w:rPr>
          <w:rFonts w:ascii="宋体" w:hAnsi="宋体" w:cs="宋体"/>
          <w:sz w:val="20"/>
          <w:szCs w:val="20"/>
        </w:rPr>
      </w:pPr>
      <w:r>
        <w:rPr>
          <w:rFonts w:hint="eastAsia" w:ascii="宋体" w:hAnsi="宋体" w:cs="宋体"/>
          <w:sz w:val="20"/>
          <w:szCs w:val="20"/>
        </w:rPr>
        <w:t>6.3技术资料：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spacing w:line="360" w:lineRule="auto"/>
        <w:ind w:firstLine="378" w:firstLineChars="189"/>
        <w:rPr>
          <w:rFonts w:ascii="宋体" w:hAnsi="宋体" w:cs="宋体"/>
          <w:sz w:val="20"/>
          <w:szCs w:val="20"/>
        </w:rPr>
      </w:pPr>
      <w:r>
        <w:rPr>
          <w:rFonts w:hint="eastAsia" w:ascii="宋体" w:hAnsi="宋体" w:cs="宋体"/>
          <w:sz w:val="20"/>
          <w:szCs w:val="20"/>
        </w:rPr>
        <w:t>6.4交货方式</w:t>
      </w:r>
      <w:r>
        <w:rPr>
          <w:rFonts w:hint="eastAsia" w:ascii="宋体" w:hAnsi="宋体" w:cs="宋体"/>
          <w:bCs/>
          <w:sz w:val="20"/>
          <w:szCs w:val="20"/>
        </w:rPr>
        <w:t>：</w:t>
      </w:r>
      <w:r>
        <w:rPr>
          <w:rFonts w:hint="eastAsia" w:ascii="宋体" w:hAnsi="宋体" w:cs="宋体"/>
          <w:sz w:val="20"/>
          <w:szCs w:val="20"/>
        </w:rPr>
        <w:t>（可选择6.4.1-6.4.3定义的方式或根据实际约定）</w:t>
      </w:r>
    </w:p>
    <w:p>
      <w:pPr>
        <w:spacing w:line="360" w:lineRule="auto"/>
        <w:ind w:firstLine="378" w:firstLineChars="189"/>
        <w:rPr>
          <w:rFonts w:ascii="宋体" w:hAnsi="宋体" w:cs="宋体"/>
          <w:sz w:val="20"/>
          <w:szCs w:val="20"/>
        </w:rPr>
      </w:pPr>
      <w:r>
        <w:rPr>
          <w:rFonts w:hint="eastAsia" w:ascii="宋体" w:hAnsi="宋体" w:cs="宋体"/>
          <w:sz w:val="20"/>
          <w:szCs w:val="20"/>
        </w:rPr>
        <w:t>6.4.1交钥匙方式：卖方负责合同设备的设计、制造、运输、定点卸货、安装、调试、培训及售后服务等所有内容，直至买方验收合格并交付使用。</w:t>
      </w:r>
    </w:p>
    <w:p>
      <w:pPr>
        <w:spacing w:line="360" w:lineRule="auto"/>
        <w:ind w:firstLine="378" w:firstLineChars="189"/>
        <w:rPr>
          <w:rFonts w:ascii="宋体" w:hAnsi="宋体" w:cs="宋体"/>
          <w:sz w:val="20"/>
          <w:szCs w:val="20"/>
        </w:rPr>
      </w:pPr>
      <w:r>
        <w:rPr>
          <w:rFonts w:hint="eastAsia" w:ascii="宋体" w:hAnsi="宋体" w:cs="宋体"/>
          <w:sz w:val="20"/>
          <w:szCs w:val="20"/>
        </w:rPr>
        <w:t>6.4.2指定地点交货：卖方依照合同约定将合同设备卸载至约定地点，经买方根据合同所约定的数量、型号及配置等内容逐一确认无误后，双方完成交付手续，同时卖方应指导协助买方进行安装调试等工作。</w:t>
      </w:r>
    </w:p>
    <w:p>
      <w:pPr>
        <w:spacing w:line="360" w:lineRule="auto"/>
        <w:ind w:firstLine="378" w:firstLineChars="189"/>
        <w:rPr>
          <w:rFonts w:ascii="宋体" w:hAnsi="宋体" w:cs="宋体"/>
          <w:sz w:val="20"/>
          <w:szCs w:val="20"/>
        </w:rPr>
      </w:pPr>
      <w:r>
        <w:rPr>
          <w:rFonts w:hint="eastAsia" w:ascii="宋体" w:hAnsi="宋体" w:cs="宋体"/>
          <w:sz w:val="20"/>
          <w:szCs w:val="20"/>
        </w:rPr>
        <w:t>6.4.3自提：买方依照合同约定到卖方所在地提取合同设备，经买方根据合同所约定的数量、型号及配置等内容逐一确认无误后，双方完成交付手续。</w:t>
      </w:r>
    </w:p>
    <w:p>
      <w:pPr>
        <w:spacing w:line="360" w:lineRule="auto"/>
        <w:ind w:firstLine="378" w:firstLineChars="189"/>
        <w:rPr>
          <w:rFonts w:ascii="宋体" w:hAnsi="宋体" w:cs="宋体"/>
          <w:sz w:val="20"/>
          <w:szCs w:val="20"/>
        </w:rPr>
      </w:pPr>
      <w:r>
        <w:rPr>
          <w:rFonts w:hint="eastAsia" w:ascii="宋体" w:hAnsi="宋体" w:cs="宋体"/>
          <w:sz w:val="20"/>
          <w:szCs w:val="20"/>
        </w:rPr>
        <w:t>6.5交货地点：</w:t>
      </w:r>
    </w:p>
    <w:p>
      <w:pPr>
        <w:spacing w:line="360" w:lineRule="auto"/>
        <w:ind w:firstLine="378" w:firstLineChars="189"/>
        <w:rPr>
          <w:rFonts w:ascii="宋体" w:hAnsi="宋体" w:cs="宋体"/>
          <w:sz w:val="20"/>
          <w:szCs w:val="20"/>
        </w:rPr>
      </w:pPr>
      <w:r>
        <w:rPr>
          <w:rFonts w:hint="eastAsia" w:ascii="宋体" w:hAnsi="宋体" w:cs="宋体"/>
          <w:sz w:val="20"/>
          <w:szCs w:val="20"/>
        </w:rPr>
        <w:t>6.6到货时间：</w:t>
      </w:r>
      <w:r>
        <w:rPr>
          <w:rFonts w:hint="eastAsia" w:ascii="宋体" w:hAnsi="宋体" w:cs="宋体"/>
          <w:sz w:val="20"/>
          <w:szCs w:val="20"/>
          <w:u w:val="single"/>
        </w:rPr>
        <w:t>20  年  月   日前</w:t>
      </w:r>
    </w:p>
    <w:p>
      <w:pPr>
        <w:spacing w:line="360" w:lineRule="auto"/>
        <w:ind w:firstLine="378" w:firstLineChars="189"/>
        <w:rPr>
          <w:rFonts w:ascii="宋体" w:hAnsi="宋体" w:cs="宋体"/>
          <w:sz w:val="20"/>
          <w:szCs w:val="20"/>
        </w:rPr>
      </w:pPr>
      <w:r>
        <w:rPr>
          <w:rFonts w:hint="eastAsia" w:ascii="宋体" w:hAnsi="宋体" w:cs="宋体"/>
          <w:sz w:val="20"/>
          <w:szCs w:val="20"/>
        </w:rPr>
        <w:t>6.7到货后，买卖双方代表办理移交手续，此时的移交不代表卖方合同设备所有权的转移，合同设备的保管责任仍然由卖方承担。移交内容包括：合同设备、硬件、软件、图纸、资料、质量证明文件等。</w:t>
      </w:r>
    </w:p>
    <w:p>
      <w:pPr>
        <w:spacing w:line="360" w:lineRule="auto"/>
        <w:ind w:firstLine="378" w:firstLineChars="189"/>
        <w:rPr>
          <w:rFonts w:ascii="宋体" w:hAnsi="宋体" w:cs="宋体"/>
          <w:sz w:val="20"/>
          <w:szCs w:val="20"/>
        </w:rPr>
      </w:pPr>
      <w:r>
        <w:rPr>
          <w:rFonts w:hint="eastAsia" w:ascii="宋体" w:hAnsi="宋体" w:cs="宋体"/>
          <w:sz w:val="20"/>
          <w:szCs w:val="20"/>
        </w:rPr>
        <w:t>6.8如果卖方在规定的日期前交付设备，需经买方书面同意。</w:t>
      </w:r>
    </w:p>
    <w:p>
      <w:pPr>
        <w:spacing w:line="360" w:lineRule="auto"/>
        <w:ind w:firstLine="378" w:firstLineChars="189"/>
        <w:rPr>
          <w:rFonts w:ascii="宋体" w:hAnsi="宋体" w:cs="宋体"/>
          <w:sz w:val="20"/>
          <w:szCs w:val="20"/>
        </w:rPr>
      </w:pPr>
      <w:r>
        <w:rPr>
          <w:rFonts w:hint="eastAsia" w:ascii="宋体" w:hAnsi="宋体" w:cs="宋体"/>
          <w:sz w:val="20"/>
          <w:szCs w:val="20"/>
        </w:rPr>
        <w:t>6.9风险的转移：</w:t>
      </w:r>
    </w:p>
    <w:p>
      <w:pPr>
        <w:spacing w:line="360" w:lineRule="auto"/>
        <w:ind w:firstLine="378" w:firstLineChars="189"/>
        <w:rPr>
          <w:rFonts w:ascii="宋体" w:hAnsi="宋体" w:cs="宋体"/>
          <w:sz w:val="20"/>
          <w:szCs w:val="20"/>
        </w:rPr>
      </w:pPr>
      <w:r>
        <w:rPr>
          <w:rFonts w:hint="eastAsia" w:ascii="宋体" w:hAnsi="宋体" w:cs="宋体"/>
          <w:sz w:val="20"/>
          <w:szCs w:val="20"/>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spacing w:line="360" w:lineRule="auto"/>
        <w:ind w:firstLine="378" w:firstLineChars="189"/>
        <w:rPr>
          <w:rFonts w:ascii="宋体" w:hAnsi="宋体" w:cs="宋体"/>
          <w:sz w:val="20"/>
          <w:szCs w:val="20"/>
        </w:rPr>
      </w:pPr>
    </w:p>
    <w:p>
      <w:pPr>
        <w:pStyle w:val="2"/>
        <w:ind w:left="0" w:firstLine="379" w:firstLineChars="189"/>
        <w:jc w:val="both"/>
        <w:rPr>
          <w:rFonts w:ascii="宋体" w:hAnsi="宋体" w:cs="宋体"/>
          <w:sz w:val="20"/>
        </w:rPr>
      </w:pPr>
      <w:bookmarkStart w:id="178" w:name="_Toc2984"/>
      <w:bookmarkStart w:id="179" w:name="_Toc25510"/>
      <w:bookmarkStart w:id="180" w:name="_Toc8024"/>
      <w:bookmarkStart w:id="181" w:name="_Toc10068"/>
      <w:bookmarkStart w:id="182" w:name="_Toc17735"/>
      <w:bookmarkStart w:id="183" w:name="_Toc9486"/>
      <w:r>
        <w:rPr>
          <w:rFonts w:hint="eastAsia" w:ascii="宋体" w:hAnsi="宋体" w:cs="宋体"/>
          <w:sz w:val="20"/>
        </w:rPr>
        <w:t>7 安装、调试</w:t>
      </w:r>
      <w:bookmarkEnd w:id="178"/>
      <w:bookmarkEnd w:id="179"/>
      <w:bookmarkEnd w:id="180"/>
      <w:bookmarkEnd w:id="181"/>
      <w:bookmarkEnd w:id="182"/>
      <w:bookmarkEnd w:id="183"/>
    </w:p>
    <w:p>
      <w:pPr>
        <w:pStyle w:val="25"/>
        <w:ind w:firstLine="378" w:firstLineChars="189"/>
        <w:rPr>
          <w:rFonts w:ascii="宋体" w:hAnsi="宋体" w:cs="宋体"/>
          <w:sz w:val="20"/>
          <w:szCs w:val="20"/>
        </w:rPr>
      </w:pPr>
      <w:r>
        <w:rPr>
          <w:rFonts w:hint="eastAsia" w:ascii="宋体" w:hAnsi="宋体" w:cs="宋体"/>
          <w:sz w:val="20"/>
          <w:szCs w:val="20"/>
        </w:rPr>
        <w:t>7.1 卖方须在到货后日内安装调试完成。</w:t>
      </w:r>
    </w:p>
    <w:p>
      <w:pPr>
        <w:spacing w:line="360" w:lineRule="auto"/>
        <w:ind w:firstLine="378" w:firstLineChars="189"/>
        <w:rPr>
          <w:rFonts w:ascii="宋体" w:hAnsi="宋体" w:cs="宋体"/>
          <w:sz w:val="20"/>
          <w:szCs w:val="20"/>
        </w:rPr>
      </w:pPr>
      <w:r>
        <w:rPr>
          <w:rFonts w:hint="eastAsia" w:ascii="宋体" w:hAnsi="宋体" w:cs="宋体"/>
          <w:sz w:val="20"/>
          <w:szCs w:val="20"/>
        </w:rPr>
        <w:t>7.2卖方应自带用以安装、调试过程中所需的各种工具、仪器、仪表及易损件。在安装、调试过程中，卖方应自负其工作人员的食宿、交通等费用。</w:t>
      </w:r>
    </w:p>
    <w:p>
      <w:pPr>
        <w:spacing w:line="360" w:lineRule="auto"/>
        <w:ind w:firstLine="378" w:firstLineChars="189"/>
        <w:rPr>
          <w:rFonts w:ascii="宋体" w:hAnsi="宋体" w:cs="宋体"/>
          <w:sz w:val="20"/>
          <w:szCs w:val="20"/>
        </w:rPr>
      </w:pPr>
      <w:r>
        <w:rPr>
          <w:rFonts w:hint="eastAsia" w:ascii="宋体" w:hAnsi="宋体" w:cs="宋体"/>
          <w:sz w:val="20"/>
          <w:szCs w:val="20"/>
        </w:rPr>
        <w:t>7.3在安装、调试过程中，安装场地及施工人员安全，由卖方负责。由于安装、调试等原因造成买方或他人人身损害或财产损失的，由卖方承担赔偿责任。</w:t>
      </w:r>
    </w:p>
    <w:p>
      <w:pPr>
        <w:spacing w:line="360" w:lineRule="auto"/>
        <w:ind w:firstLine="378" w:firstLineChars="189"/>
        <w:rPr>
          <w:rFonts w:ascii="宋体" w:hAnsi="宋体" w:cs="宋体"/>
          <w:sz w:val="20"/>
          <w:szCs w:val="20"/>
        </w:rPr>
      </w:pPr>
      <w:r>
        <w:rPr>
          <w:rFonts w:hint="eastAsia" w:ascii="宋体" w:hAnsi="宋体" w:cs="宋体"/>
          <w:sz w:val="20"/>
          <w:szCs w:val="20"/>
        </w:rPr>
        <w:t>7.4卖方须对安装、调试过程中造成的买方或他人人身损害或财产损失承担赔偿责任。</w:t>
      </w:r>
    </w:p>
    <w:p>
      <w:pPr>
        <w:spacing w:line="360" w:lineRule="auto"/>
        <w:ind w:firstLine="378" w:firstLineChars="189"/>
        <w:rPr>
          <w:rFonts w:ascii="宋体" w:hAnsi="宋体" w:cs="宋体"/>
          <w:sz w:val="20"/>
          <w:szCs w:val="20"/>
        </w:rPr>
      </w:pPr>
    </w:p>
    <w:p>
      <w:pPr>
        <w:pStyle w:val="2"/>
        <w:ind w:left="0" w:firstLine="379" w:firstLineChars="189"/>
        <w:jc w:val="both"/>
        <w:rPr>
          <w:rFonts w:ascii="宋体" w:hAnsi="宋体" w:cs="宋体"/>
          <w:sz w:val="20"/>
        </w:rPr>
      </w:pPr>
      <w:bookmarkStart w:id="184" w:name="_Toc14260"/>
      <w:bookmarkStart w:id="185" w:name="_Toc6350"/>
      <w:bookmarkStart w:id="186" w:name="_Toc9341"/>
      <w:bookmarkStart w:id="187" w:name="_Toc10008"/>
      <w:bookmarkStart w:id="188" w:name="_Toc5942"/>
      <w:bookmarkStart w:id="189" w:name="_Toc14098"/>
      <w:r>
        <w:rPr>
          <w:rFonts w:hint="eastAsia" w:ascii="宋体" w:hAnsi="宋体" w:cs="宋体"/>
          <w:sz w:val="20"/>
        </w:rPr>
        <w:t>8 价款与支付</w:t>
      </w:r>
      <w:bookmarkEnd w:id="184"/>
      <w:bookmarkEnd w:id="185"/>
      <w:bookmarkEnd w:id="186"/>
      <w:bookmarkEnd w:id="187"/>
      <w:bookmarkEnd w:id="188"/>
      <w:bookmarkEnd w:id="189"/>
    </w:p>
    <w:p>
      <w:pPr>
        <w:spacing w:line="360" w:lineRule="auto"/>
        <w:ind w:firstLine="378" w:firstLineChars="189"/>
        <w:rPr>
          <w:rFonts w:ascii="宋体" w:hAnsi="宋体" w:cs="宋体"/>
          <w:sz w:val="20"/>
          <w:szCs w:val="20"/>
        </w:rPr>
      </w:pPr>
      <w:r>
        <w:rPr>
          <w:rFonts w:hint="eastAsia" w:ascii="宋体" w:hAnsi="宋体" w:cs="宋体"/>
          <w:sz w:val="20"/>
          <w:szCs w:val="20"/>
        </w:rPr>
        <w:t>8.1合同总价款为元人民币（大写：），该价款为包含</w:t>
      </w:r>
      <w:r>
        <w:rPr>
          <w:rFonts w:hint="eastAsia" w:ascii="宋体" w:hAnsi="宋体" w:cs="宋体"/>
          <w:sz w:val="20"/>
          <w:szCs w:val="20"/>
          <w:u w:val="single"/>
        </w:rPr>
        <w:t>【】%</w:t>
      </w:r>
      <w:r>
        <w:rPr>
          <w:rFonts w:hint="eastAsia" w:ascii="宋体" w:hAnsi="宋体" w:cs="宋体"/>
          <w:sz w:val="20"/>
          <w:szCs w:val="20"/>
        </w:rPr>
        <w:t>增值税的总价款，其中不含税价款为元人民币（大写</w:t>
      </w:r>
      <w:r>
        <w:rPr>
          <w:rFonts w:hint="eastAsia" w:ascii="宋体" w:hAnsi="宋体" w:cs="宋体"/>
          <w:sz w:val="20"/>
          <w:szCs w:val="20"/>
          <w:u w:val="single"/>
        </w:rPr>
        <w:t xml:space="preserve">：        </w:t>
      </w:r>
      <w:r>
        <w:rPr>
          <w:rFonts w:hint="eastAsia" w:ascii="宋体" w:hAnsi="宋体" w:cs="宋体"/>
          <w:sz w:val="20"/>
          <w:szCs w:val="20"/>
        </w:rPr>
        <w:t>），如国家出台新政策对增值税率进行了调整，则不含税价款不变，本合同含税总价在不含税价基础上根据国家最新税法进行相应的调整。</w:t>
      </w:r>
    </w:p>
    <w:p>
      <w:pPr>
        <w:spacing w:line="360" w:lineRule="auto"/>
        <w:ind w:firstLine="378" w:firstLineChars="189"/>
        <w:rPr>
          <w:rFonts w:ascii="宋体" w:hAnsi="宋体" w:cs="宋体"/>
          <w:sz w:val="20"/>
          <w:szCs w:val="20"/>
        </w:rPr>
      </w:pPr>
      <w:r>
        <w:rPr>
          <w:rFonts w:hint="eastAsia" w:ascii="宋体" w:hAnsi="宋体" w:cs="宋体"/>
          <w:sz w:val="20"/>
          <w:szCs w:val="20"/>
        </w:rPr>
        <w:t>该价格包括但不限于全部（全新）产品价、备品备件价、专用工具价、运杂费（包括现场卸车费）、设计、制造、安装（</w:t>
      </w:r>
      <w:r>
        <w:rPr>
          <w:rFonts w:hint="eastAsia" w:ascii="宋体" w:hAnsi="宋体" w:cs="宋体"/>
          <w:i/>
          <w:iCs/>
          <w:sz w:val="20"/>
          <w:szCs w:val="20"/>
        </w:rPr>
        <w:t>或指导安装</w:t>
      </w:r>
      <w:r>
        <w:rPr>
          <w:rFonts w:hint="eastAsia" w:ascii="宋体" w:hAnsi="宋体" w:cs="宋体"/>
          <w:sz w:val="20"/>
          <w:szCs w:val="20"/>
        </w:rPr>
        <w:t>）、调试、验收、培训、技术及售后服务费、技术资料费等所有费用的总和。（</w:t>
      </w:r>
      <w:r>
        <w:rPr>
          <w:rFonts w:hint="eastAsia" w:ascii="宋体" w:hAnsi="宋体" w:cs="宋体"/>
          <w:i/>
          <w:iCs/>
          <w:sz w:val="20"/>
          <w:szCs w:val="20"/>
        </w:rPr>
        <w:t>根据项目实施内容据实填写</w:t>
      </w:r>
      <w:r>
        <w:rPr>
          <w:rFonts w:hint="eastAsia" w:ascii="宋体" w:hAnsi="宋体" w:cs="宋体"/>
          <w:sz w:val="20"/>
          <w:szCs w:val="20"/>
        </w:rPr>
        <w:t>）</w:t>
      </w:r>
    </w:p>
    <w:p>
      <w:pPr>
        <w:spacing w:line="360" w:lineRule="auto"/>
        <w:ind w:firstLine="378" w:firstLineChars="189"/>
        <w:rPr>
          <w:rFonts w:ascii="宋体" w:hAnsi="宋体" w:cs="宋体"/>
          <w:sz w:val="20"/>
          <w:szCs w:val="20"/>
        </w:rPr>
      </w:pPr>
      <w:r>
        <w:rPr>
          <w:rFonts w:hint="eastAsia" w:ascii="宋体" w:hAnsi="宋体" w:cs="宋体"/>
          <w:sz w:val="20"/>
          <w:szCs w:val="20"/>
        </w:rPr>
        <w:t>8.2合同价款的结算方式：半年期银行承兑汇票</w:t>
      </w:r>
      <w:r>
        <w:rPr>
          <w:rFonts w:hint="eastAsia" w:ascii="宋体" w:hAnsi="宋体" w:cs="宋体"/>
          <w:i/>
          <w:iCs/>
          <w:sz w:val="20"/>
          <w:szCs w:val="20"/>
        </w:rPr>
        <w:t>（如有其它方式可据实填写）</w:t>
      </w:r>
    </w:p>
    <w:p>
      <w:pPr>
        <w:spacing w:line="360" w:lineRule="auto"/>
        <w:ind w:firstLine="378" w:firstLineChars="189"/>
        <w:rPr>
          <w:rFonts w:ascii="宋体" w:hAnsi="宋体" w:cs="宋体"/>
          <w:sz w:val="20"/>
          <w:szCs w:val="20"/>
        </w:rPr>
      </w:pPr>
      <w:r>
        <w:rPr>
          <w:rFonts w:hint="eastAsia" w:ascii="宋体" w:hAnsi="宋体" w:cs="宋体"/>
          <w:sz w:val="20"/>
          <w:szCs w:val="20"/>
        </w:rPr>
        <w:t>8.3合同价款的支付：</w:t>
      </w:r>
      <w:r>
        <w:rPr>
          <w:rFonts w:hint="eastAsia" w:ascii="宋体" w:hAnsi="宋体" w:cs="宋体"/>
          <w:i/>
          <w:iCs/>
          <w:sz w:val="20"/>
          <w:szCs w:val="20"/>
        </w:rPr>
        <w:t>（如有不同付款比例，则按照招标文件约定据实填写）</w:t>
      </w:r>
    </w:p>
    <w:p>
      <w:pPr>
        <w:spacing w:line="360" w:lineRule="auto"/>
        <w:ind w:firstLine="378" w:firstLineChars="189"/>
        <w:rPr>
          <w:rFonts w:ascii="宋体" w:hAnsi="宋体" w:cs="宋体"/>
          <w:sz w:val="20"/>
          <w:szCs w:val="20"/>
          <w:highlight w:val="yellow"/>
        </w:rPr>
      </w:pPr>
      <w:r>
        <w:rPr>
          <w:rFonts w:hint="eastAsia" w:ascii="宋体" w:hAnsi="宋体" w:cs="宋体"/>
          <w:sz w:val="20"/>
          <w:szCs w:val="20"/>
          <w:highlight w:val="yellow"/>
        </w:rPr>
        <w:t>8.3.1合同生效设备全部到齐无质量问题后, 卖方提交金额为合同价款60 %的收据及增值税专用发票（正本一份，复印件二份），经买方依照财务制度审核无误后支付。</w:t>
      </w:r>
    </w:p>
    <w:p>
      <w:pPr>
        <w:spacing w:line="360" w:lineRule="auto"/>
        <w:ind w:firstLine="378" w:firstLineChars="189"/>
        <w:rPr>
          <w:rFonts w:hint="eastAsia" w:ascii="宋体" w:hAnsi="宋体" w:eastAsia="宋体" w:cs="宋体"/>
          <w:sz w:val="20"/>
          <w:szCs w:val="20"/>
          <w:highlight w:val="yellow"/>
          <w:lang w:eastAsia="zh-CN"/>
        </w:rPr>
      </w:pPr>
      <w:r>
        <w:rPr>
          <w:rFonts w:hint="eastAsia" w:ascii="宋体" w:hAnsi="宋体" w:cs="宋体"/>
          <w:sz w:val="20"/>
          <w:szCs w:val="20"/>
          <w:highlight w:val="yellow"/>
        </w:rPr>
        <w:t>8.3.2设备全部到齐，经安装、调试最终验收合格后，卖方提交金额为合同价款40 %的收据及增值税专用发票（税率为【13】%，正本一份，复印件二份）并附带该套合同设备最终验收报告的原件及其复印件两份，经买方依照财务制度审核无误后支付合同价款的30%</w:t>
      </w:r>
      <w:r>
        <w:rPr>
          <w:rFonts w:hint="eastAsia" w:ascii="宋体" w:hAnsi="宋体" w:cs="宋体"/>
          <w:sz w:val="20"/>
          <w:szCs w:val="20"/>
          <w:highlight w:val="yellow"/>
          <w:lang w:eastAsia="zh-CN"/>
        </w:rPr>
        <w:t>。</w:t>
      </w:r>
    </w:p>
    <w:p>
      <w:pPr>
        <w:spacing w:line="360" w:lineRule="auto"/>
        <w:ind w:firstLine="378" w:firstLineChars="189"/>
        <w:rPr>
          <w:rFonts w:ascii="宋体" w:hAnsi="宋体" w:cs="宋体"/>
          <w:sz w:val="20"/>
          <w:szCs w:val="20"/>
          <w:highlight w:val="yellow"/>
        </w:rPr>
      </w:pPr>
      <w:bookmarkStart w:id="190" w:name="_Toc14531628"/>
      <w:bookmarkStart w:id="191" w:name="_Toc14676804"/>
      <w:r>
        <w:rPr>
          <w:rFonts w:hint="eastAsia" w:ascii="宋体" w:hAnsi="宋体" w:cs="宋体"/>
          <w:sz w:val="20"/>
          <w:szCs w:val="20"/>
          <w:highlight w:val="yellow"/>
        </w:rPr>
        <w:t>8.3.3合同总价款的</w:t>
      </w:r>
      <w:r>
        <w:rPr>
          <w:rFonts w:hint="eastAsia" w:ascii="宋体" w:hAnsi="宋体" w:cs="宋体"/>
          <w:sz w:val="20"/>
          <w:szCs w:val="20"/>
          <w:highlight w:val="yellow"/>
          <w:u w:val="single"/>
        </w:rPr>
        <w:t xml:space="preserve"> 10 </w:t>
      </w:r>
      <w:r>
        <w:rPr>
          <w:rFonts w:hint="eastAsia" w:ascii="宋体" w:hAnsi="宋体" w:cs="宋体"/>
          <w:sz w:val="20"/>
          <w:szCs w:val="20"/>
          <w:highlight w:val="yellow"/>
        </w:rPr>
        <w:t>%作为本合同约定设备的质量保证金，质量保证金在质量保证期内不计利息。待每套合同设备质量保证期满后，卖方向买方提交金额为合同价款</w:t>
      </w:r>
      <w:r>
        <w:rPr>
          <w:rFonts w:hint="eastAsia" w:ascii="宋体" w:hAnsi="宋体" w:cs="宋体"/>
          <w:sz w:val="20"/>
          <w:szCs w:val="20"/>
          <w:highlight w:val="yellow"/>
          <w:u w:val="single"/>
        </w:rPr>
        <w:t>10</w:t>
      </w:r>
      <w:r>
        <w:rPr>
          <w:rFonts w:hint="eastAsia" w:ascii="宋体" w:hAnsi="宋体" w:cs="宋体"/>
          <w:sz w:val="20"/>
          <w:szCs w:val="20"/>
          <w:highlight w:val="yellow"/>
        </w:rPr>
        <w:t>%的收据（正本一份，复印件二份）及设备使用单位的使用情况说明，经买方依照财务制度审核无误后支付。如有质量问题，质量保证金予以相应扣除。</w:t>
      </w:r>
      <w:bookmarkEnd w:id="190"/>
      <w:bookmarkEnd w:id="191"/>
    </w:p>
    <w:p>
      <w:pPr>
        <w:spacing w:line="360" w:lineRule="auto"/>
        <w:ind w:firstLine="378" w:firstLineChars="189"/>
        <w:rPr>
          <w:rFonts w:ascii="宋体" w:hAnsi="宋体" w:cs="宋体"/>
          <w:sz w:val="20"/>
          <w:szCs w:val="20"/>
        </w:rPr>
      </w:pPr>
    </w:p>
    <w:p>
      <w:pPr>
        <w:pStyle w:val="2"/>
        <w:ind w:left="0" w:firstLine="379" w:firstLineChars="189"/>
        <w:jc w:val="both"/>
        <w:rPr>
          <w:rFonts w:ascii="宋体" w:hAnsi="宋体" w:cs="宋体"/>
          <w:sz w:val="20"/>
        </w:rPr>
      </w:pPr>
      <w:bookmarkStart w:id="192" w:name="_Toc20602"/>
      <w:bookmarkStart w:id="193" w:name="_Toc15905"/>
      <w:bookmarkStart w:id="194" w:name="_Toc25708"/>
      <w:bookmarkStart w:id="195" w:name="_Toc6726"/>
      <w:bookmarkStart w:id="196" w:name="_Toc24085"/>
      <w:bookmarkStart w:id="197" w:name="_Toc26776"/>
      <w:r>
        <w:rPr>
          <w:rFonts w:hint="eastAsia" w:ascii="宋体" w:hAnsi="宋体" w:cs="宋体"/>
          <w:sz w:val="20"/>
        </w:rPr>
        <w:t>9 质量保证及售后服务</w:t>
      </w:r>
      <w:bookmarkEnd w:id="192"/>
      <w:bookmarkEnd w:id="193"/>
      <w:bookmarkEnd w:id="194"/>
      <w:bookmarkEnd w:id="195"/>
      <w:bookmarkEnd w:id="196"/>
      <w:bookmarkEnd w:id="197"/>
    </w:p>
    <w:p>
      <w:pPr>
        <w:spacing w:line="360" w:lineRule="auto"/>
        <w:ind w:firstLine="378" w:firstLineChars="189"/>
        <w:rPr>
          <w:rFonts w:ascii="宋体" w:hAnsi="宋体" w:cs="宋体"/>
          <w:sz w:val="20"/>
          <w:szCs w:val="20"/>
        </w:rPr>
      </w:pPr>
      <w:r>
        <w:rPr>
          <w:rFonts w:hint="eastAsia" w:ascii="宋体" w:hAnsi="宋体" w:cs="宋体"/>
          <w:sz w:val="20"/>
          <w:szCs w:val="20"/>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spacing w:line="360" w:lineRule="auto"/>
        <w:ind w:firstLine="378" w:firstLineChars="189"/>
        <w:rPr>
          <w:rFonts w:ascii="宋体" w:hAnsi="宋体" w:cs="宋体"/>
          <w:sz w:val="20"/>
          <w:szCs w:val="20"/>
        </w:rPr>
      </w:pPr>
      <w:r>
        <w:rPr>
          <w:rFonts w:hint="eastAsia" w:ascii="宋体" w:hAnsi="宋体" w:cs="宋体"/>
          <w:sz w:val="20"/>
          <w:szCs w:val="20"/>
        </w:rPr>
        <w:t>9.2卖方承诺其提供的设备不存在任何产品缺陷，否则因卖方提供的设备存在产品缺陷而给买方造成的一切后果和损失由卖方承担。</w:t>
      </w:r>
    </w:p>
    <w:p>
      <w:pPr>
        <w:spacing w:line="360" w:lineRule="auto"/>
        <w:ind w:firstLine="378" w:firstLineChars="189"/>
        <w:rPr>
          <w:rFonts w:ascii="宋体" w:hAnsi="宋体" w:cs="宋体"/>
          <w:sz w:val="20"/>
          <w:szCs w:val="20"/>
        </w:rPr>
      </w:pPr>
      <w:r>
        <w:rPr>
          <w:rFonts w:hint="eastAsia" w:ascii="宋体" w:hAnsi="宋体" w:cs="宋体"/>
          <w:sz w:val="20"/>
          <w:szCs w:val="20"/>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spacing w:line="360" w:lineRule="auto"/>
        <w:ind w:firstLine="378" w:firstLineChars="189"/>
        <w:rPr>
          <w:rFonts w:ascii="宋体" w:hAnsi="宋体" w:cs="宋体"/>
          <w:i/>
          <w:iCs/>
          <w:sz w:val="20"/>
          <w:szCs w:val="20"/>
        </w:rPr>
      </w:pPr>
      <w:r>
        <w:rPr>
          <w:rFonts w:hint="eastAsia" w:ascii="宋体" w:hAnsi="宋体" w:cs="宋体"/>
          <w:sz w:val="20"/>
          <w:szCs w:val="20"/>
        </w:rPr>
        <w:t>9.4本合同约定设备的质量保证期：自最终验收报告签署之日（以签署日期最晚者为准）起【】年。</w:t>
      </w:r>
    </w:p>
    <w:p>
      <w:pPr>
        <w:spacing w:line="360" w:lineRule="auto"/>
        <w:ind w:firstLine="378" w:firstLineChars="189"/>
        <w:rPr>
          <w:rFonts w:ascii="宋体" w:hAnsi="宋体" w:cs="宋体"/>
          <w:sz w:val="20"/>
          <w:szCs w:val="20"/>
        </w:rPr>
      </w:pPr>
      <w:r>
        <w:rPr>
          <w:rFonts w:hint="eastAsia" w:ascii="宋体" w:hAnsi="宋体" w:cs="宋体"/>
          <w:sz w:val="20"/>
          <w:szCs w:val="20"/>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spacing w:line="360" w:lineRule="auto"/>
        <w:ind w:firstLine="378" w:firstLineChars="189"/>
        <w:rPr>
          <w:rFonts w:ascii="宋体" w:hAnsi="宋体" w:cs="宋体"/>
          <w:sz w:val="20"/>
          <w:szCs w:val="20"/>
        </w:rPr>
      </w:pPr>
      <w:r>
        <w:rPr>
          <w:rFonts w:hint="eastAsia" w:ascii="宋体" w:hAnsi="宋体" w:cs="宋体"/>
          <w:sz w:val="20"/>
          <w:szCs w:val="20"/>
        </w:rPr>
        <w:t>9.6卖方负责在买方指定的地点免费为买方培训操作及维修人员，培训内容包括：基本原理、操作使用、安全操作注意事项以及维修保养等内容。</w:t>
      </w:r>
    </w:p>
    <w:p>
      <w:pPr>
        <w:spacing w:line="360" w:lineRule="auto"/>
        <w:ind w:firstLine="378" w:firstLineChars="189"/>
        <w:rPr>
          <w:rFonts w:ascii="宋体" w:hAnsi="宋体" w:cs="宋体"/>
          <w:sz w:val="20"/>
          <w:szCs w:val="20"/>
        </w:rPr>
      </w:pPr>
      <w:r>
        <w:rPr>
          <w:rFonts w:hint="eastAsia" w:ascii="宋体" w:hAnsi="宋体" w:cs="宋体"/>
          <w:sz w:val="20"/>
          <w:szCs w:val="20"/>
        </w:rPr>
        <w:t>9.7质量保证期满后，卖方保证向买方提供及时的、质优的、价格优惠的技术服务和备品备件供应。</w:t>
      </w:r>
    </w:p>
    <w:p>
      <w:pPr>
        <w:spacing w:line="360" w:lineRule="auto"/>
        <w:ind w:firstLine="378" w:firstLineChars="189"/>
        <w:rPr>
          <w:rFonts w:ascii="宋体" w:hAnsi="宋体" w:cs="宋体"/>
          <w:sz w:val="20"/>
          <w:szCs w:val="20"/>
        </w:rPr>
      </w:pPr>
      <w:r>
        <w:rPr>
          <w:rFonts w:hint="eastAsia" w:ascii="宋体" w:hAnsi="宋体" w:cs="宋体"/>
          <w:sz w:val="20"/>
          <w:szCs w:val="20"/>
        </w:rPr>
        <w:t>9.8质量保证期满后，如出现质量问题，卖方也应及时修复和更换，且只收取成本费，费用由买方承担，卖方对设备质量问题所负的责任直到设备使用寿命周期结束。</w:t>
      </w:r>
    </w:p>
    <w:p>
      <w:pPr>
        <w:spacing w:line="360" w:lineRule="auto"/>
        <w:ind w:firstLine="378" w:firstLineChars="189"/>
        <w:rPr>
          <w:rFonts w:ascii="宋体" w:hAnsi="宋体" w:cs="宋体"/>
          <w:sz w:val="20"/>
          <w:szCs w:val="20"/>
        </w:rPr>
      </w:pPr>
    </w:p>
    <w:p>
      <w:pPr>
        <w:pStyle w:val="2"/>
        <w:ind w:left="0" w:firstLine="379" w:firstLineChars="189"/>
        <w:jc w:val="both"/>
        <w:rPr>
          <w:rFonts w:ascii="宋体" w:hAnsi="宋体" w:cs="宋体"/>
          <w:sz w:val="20"/>
        </w:rPr>
      </w:pPr>
      <w:bookmarkStart w:id="198" w:name="_Toc15570"/>
      <w:bookmarkStart w:id="199" w:name="_Toc13220"/>
      <w:bookmarkStart w:id="200" w:name="_Toc27223"/>
      <w:bookmarkStart w:id="201" w:name="_Toc12927"/>
      <w:bookmarkStart w:id="202" w:name="_Toc10359"/>
      <w:bookmarkStart w:id="203" w:name="_Toc23529"/>
      <w:r>
        <w:rPr>
          <w:rFonts w:hint="eastAsia" w:ascii="宋体" w:hAnsi="宋体" w:cs="宋体"/>
          <w:sz w:val="20"/>
        </w:rPr>
        <w:t>10法定责任</w:t>
      </w:r>
      <w:bookmarkEnd w:id="198"/>
      <w:bookmarkEnd w:id="199"/>
      <w:bookmarkEnd w:id="200"/>
      <w:bookmarkEnd w:id="201"/>
      <w:bookmarkEnd w:id="202"/>
      <w:bookmarkEnd w:id="203"/>
    </w:p>
    <w:p>
      <w:pPr>
        <w:spacing w:line="360" w:lineRule="auto"/>
        <w:ind w:firstLine="378" w:firstLineChars="189"/>
        <w:rPr>
          <w:rFonts w:ascii="宋体" w:hAnsi="宋体" w:cs="宋体"/>
          <w:sz w:val="20"/>
          <w:szCs w:val="20"/>
        </w:rPr>
      </w:pPr>
      <w:r>
        <w:rPr>
          <w:rFonts w:hint="eastAsia" w:ascii="宋体" w:hAnsi="宋体" w:cs="宋体"/>
          <w:sz w:val="20"/>
          <w:szCs w:val="20"/>
        </w:rPr>
        <w:t>10.1卖方需遵从国家有关的法律、法规，缴纳有关的法定费用和税项。若卖方未按期交纳法定费用、税项，则卖方须补偿买方由此造成的所有费用及损失。</w:t>
      </w:r>
    </w:p>
    <w:p>
      <w:pPr>
        <w:spacing w:line="360" w:lineRule="auto"/>
        <w:ind w:firstLine="378" w:firstLineChars="189"/>
        <w:rPr>
          <w:rFonts w:ascii="宋体" w:hAnsi="宋体" w:cs="宋体"/>
          <w:sz w:val="20"/>
          <w:szCs w:val="20"/>
        </w:rPr>
      </w:pPr>
      <w:r>
        <w:rPr>
          <w:rFonts w:hint="eastAsia" w:ascii="宋体" w:hAnsi="宋体" w:cs="宋体"/>
          <w:sz w:val="20"/>
          <w:szCs w:val="20"/>
        </w:rPr>
        <w:t>10.2除非本合同中另有规定或买方同意，卖方不得全部或部分转让本合同项下的权利义务。</w:t>
      </w:r>
    </w:p>
    <w:p>
      <w:pPr>
        <w:spacing w:line="360" w:lineRule="auto"/>
        <w:ind w:firstLine="378" w:firstLineChars="189"/>
        <w:rPr>
          <w:rFonts w:ascii="宋体" w:hAnsi="宋体" w:cs="宋体"/>
          <w:sz w:val="20"/>
          <w:szCs w:val="20"/>
        </w:rPr>
      </w:pPr>
      <w:r>
        <w:rPr>
          <w:rFonts w:hint="eastAsia" w:ascii="宋体" w:hAnsi="宋体" w:cs="宋体"/>
          <w:sz w:val="20"/>
          <w:szCs w:val="20"/>
        </w:rPr>
        <w:t>10.3买卖双方同意在履行本合同期间双方之间交换、披露、传递或通信的所有工业和商业信息，任何附加文件或相关文件，应该被视为高度机密，双方应该按照此处规定仅用于本合同的签订和履行。</w:t>
      </w:r>
    </w:p>
    <w:p>
      <w:pPr>
        <w:spacing w:line="360" w:lineRule="auto"/>
        <w:ind w:firstLine="378" w:firstLineChars="189"/>
        <w:rPr>
          <w:rFonts w:ascii="宋体" w:hAnsi="宋体" w:cs="宋体"/>
          <w:sz w:val="20"/>
          <w:szCs w:val="20"/>
        </w:rPr>
      </w:pPr>
      <w:r>
        <w:rPr>
          <w:rFonts w:hint="eastAsia" w:ascii="宋体" w:hAnsi="宋体" w:cs="宋体"/>
          <w:sz w:val="20"/>
          <w:szCs w:val="20"/>
        </w:rPr>
        <w:t>10.4除对方预先书面同意外，任何一方在本合同签订和履行期间或本合同终止后不得向第三方披露在本合同履行过程中知悉的与对方有关的任何贸易、商业或工业秘密。</w:t>
      </w:r>
    </w:p>
    <w:p>
      <w:pPr>
        <w:spacing w:line="360" w:lineRule="auto"/>
        <w:ind w:firstLine="378" w:firstLineChars="189"/>
        <w:rPr>
          <w:rFonts w:ascii="宋体" w:hAnsi="宋体" w:cs="宋体"/>
          <w:sz w:val="20"/>
          <w:szCs w:val="20"/>
        </w:rPr>
      </w:pPr>
    </w:p>
    <w:p>
      <w:pPr>
        <w:pStyle w:val="2"/>
        <w:ind w:left="0" w:firstLine="379" w:firstLineChars="189"/>
        <w:jc w:val="both"/>
        <w:rPr>
          <w:rFonts w:ascii="宋体" w:hAnsi="宋体" w:cs="宋体"/>
          <w:sz w:val="20"/>
        </w:rPr>
      </w:pPr>
      <w:bookmarkStart w:id="204" w:name="_Toc4917"/>
      <w:bookmarkStart w:id="205" w:name="_Toc27314"/>
      <w:bookmarkStart w:id="206" w:name="_Toc9708"/>
      <w:bookmarkStart w:id="207" w:name="_Toc28168"/>
      <w:bookmarkStart w:id="208" w:name="_Toc30381"/>
      <w:bookmarkStart w:id="209" w:name="_Toc27369"/>
      <w:r>
        <w:rPr>
          <w:rFonts w:hint="eastAsia" w:ascii="宋体" w:hAnsi="宋体" w:cs="宋体"/>
          <w:sz w:val="20"/>
        </w:rPr>
        <w:t>11 违约责任</w:t>
      </w:r>
      <w:bookmarkEnd w:id="204"/>
      <w:bookmarkEnd w:id="205"/>
      <w:bookmarkEnd w:id="206"/>
      <w:bookmarkEnd w:id="207"/>
      <w:bookmarkEnd w:id="208"/>
      <w:bookmarkEnd w:id="209"/>
    </w:p>
    <w:p>
      <w:pPr>
        <w:spacing w:line="360" w:lineRule="auto"/>
        <w:ind w:firstLine="378" w:firstLineChars="189"/>
        <w:rPr>
          <w:rFonts w:ascii="宋体" w:hAnsi="宋体" w:cs="宋体"/>
          <w:sz w:val="20"/>
          <w:szCs w:val="20"/>
        </w:rPr>
      </w:pPr>
      <w:r>
        <w:rPr>
          <w:rFonts w:hint="eastAsia" w:ascii="宋体" w:hAnsi="宋体" w:cs="宋体"/>
          <w:sz w:val="20"/>
          <w:szCs w:val="20"/>
        </w:rPr>
        <w:t>11.1卖方应承担提供的设备与本合同约定不符的一切责任，买方有权在检验、安装、调试、验收测试期限内、质量保证期内等任何时间提出索赔，买方有权按下述一种或多种方法要求卖方赔偿：</w:t>
      </w:r>
    </w:p>
    <w:p>
      <w:pPr>
        <w:spacing w:line="360" w:lineRule="auto"/>
        <w:ind w:firstLine="378" w:firstLineChars="189"/>
        <w:rPr>
          <w:rFonts w:ascii="宋体" w:hAnsi="宋体" w:cs="宋体"/>
          <w:sz w:val="20"/>
          <w:szCs w:val="20"/>
        </w:rPr>
      </w:pPr>
      <w:r>
        <w:rPr>
          <w:rFonts w:hint="eastAsia" w:ascii="宋体" w:hAnsi="宋体" w:cs="宋体"/>
          <w:sz w:val="20"/>
          <w:szCs w:val="20"/>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spacing w:line="360" w:lineRule="auto"/>
        <w:ind w:firstLine="378" w:firstLineChars="189"/>
        <w:rPr>
          <w:rFonts w:ascii="宋体" w:hAnsi="宋体" w:cs="宋体"/>
          <w:sz w:val="20"/>
          <w:szCs w:val="20"/>
        </w:rPr>
      </w:pPr>
      <w:r>
        <w:rPr>
          <w:rFonts w:hint="eastAsia" w:ascii="宋体" w:hAnsi="宋体" w:cs="宋体"/>
          <w:sz w:val="20"/>
          <w:szCs w:val="20"/>
        </w:rPr>
        <w:t>11.1.2根据设备的瑕疵和受损程度以及买方遭受损失的金额，经买方同意降低设备价格。</w:t>
      </w:r>
    </w:p>
    <w:p>
      <w:pPr>
        <w:spacing w:line="360" w:lineRule="auto"/>
        <w:ind w:firstLine="378" w:firstLineChars="189"/>
        <w:rPr>
          <w:rFonts w:ascii="宋体" w:hAnsi="宋体" w:cs="宋体"/>
          <w:sz w:val="20"/>
          <w:szCs w:val="20"/>
        </w:rPr>
      </w:pPr>
      <w:r>
        <w:rPr>
          <w:rFonts w:hint="eastAsia" w:ascii="宋体" w:hAnsi="宋体" w:cs="宋体"/>
          <w:sz w:val="20"/>
          <w:szCs w:val="20"/>
        </w:rPr>
        <w:t>11.1.3更换有缺陷的零件、部件、设备或修理缺陷部分，以达到本合同规定的规格、质量和性能，卖方承担一切费用和风险并负担买方遭受的一切损失，同时卖方应相应延长被修理或更换设备的质量保证期。</w:t>
      </w:r>
    </w:p>
    <w:p>
      <w:pPr>
        <w:spacing w:line="360" w:lineRule="auto"/>
        <w:ind w:firstLine="378" w:firstLineChars="189"/>
        <w:rPr>
          <w:rFonts w:ascii="宋体" w:hAnsi="宋体" w:cs="宋体"/>
          <w:sz w:val="20"/>
          <w:szCs w:val="20"/>
        </w:rPr>
      </w:pPr>
      <w:r>
        <w:rPr>
          <w:rFonts w:hint="eastAsia" w:ascii="宋体" w:hAnsi="宋体" w:cs="宋体"/>
          <w:sz w:val="20"/>
          <w:szCs w:val="20"/>
        </w:rPr>
        <w:t>11.2如果买方就卖方的设备质量问题提出索赔通知后</w:t>
      </w:r>
      <w:r>
        <w:rPr>
          <w:rFonts w:hint="eastAsia" w:ascii="宋体" w:hAnsi="宋体" w:cs="宋体"/>
          <w:sz w:val="20"/>
          <w:szCs w:val="20"/>
          <w:u w:val="single"/>
        </w:rPr>
        <w:t xml:space="preserve"> 10 </w:t>
      </w:r>
      <w:r>
        <w:rPr>
          <w:rFonts w:hint="eastAsia" w:ascii="宋体" w:hAnsi="宋体" w:cs="宋体"/>
          <w:sz w:val="20"/>
          <w:szCs w:val="20"/>
        </w:rPr>
        <w:t>日内卖方未能予以答复，该索赔视为已被卖方接受。若卖方未能在买方提出索赔通知后</w:t>
      </w:r>
      <w:r>
        <w:rPr>
          <w:rFonts w:hint="eastAsia" w:ascii="宋体" w:hAnsi="宋体" w:cs="宋体"/>
          <w:sz w:val="20"/>
          <w:szCs w:val="20"/>
          <w:u w:val="single"/>
        </w:rPr>
        <w:t xml:space="preserve"> 10 </w:t>
      </w:r>
      <w:r>
        <w:rPr>
          <w:rFonts w:hint="eastAsia" w:ascii="宋体" w:hAnsi="宋体" w:cs="宋体"/>
          <w:sz w:val="20"/>
          <w:szCs w:val="20"/>
        </w:rPr>
        <w:t>日内或买方同意的更长一些的时间内，按买方同意的上述任何一种方式处理索赔事宜，买方将从货款中扣回索赔金额，同时保留进一步要求赔偿的权利。</w:t>
      </w:r>
    </w:p>
    <w:p>
      <w:pPr>
        <w:spacing w:line="360" w:lineRule="auto"/>
        <w:ind w:firstLine="378" w:firstLineChars="189"/>
        <w:rPr>
          <w:rFonts w:ascii="宋体" w:hAnsi="宋体" w:cs="宋体"/>
          <w:i/>
          <w:iCs/>
          <w:sz w:val="20"/>
          <w:szCs w:val="20"/>
        </w:rPr>
      </w:pPr>
      <w:r>
        <w:rPr>
          <w:rFonts w:hint="eastAsia" w:ascii="宋体" w:hAnsi="宋体" w:cs="宋体"/>
          <w:sz w:val="20"/>
          <w:szCs w:val="20"/>
        </w:rPr>
        <w:t>11.3如果卖方未能按期到货，卖方应向买方支付违约金，违约金比率为每迟交壹日，按合同总价的</w:t>
      </w:r>
      <w:r>
        <w:rPr>
          <w:rFonts w:hint="eastAsia" w:ascii="宋体" w:hAnsi="宋体" w:cs="宋体"/>
          <w:sz w:val="20"/>
          <w:szCs w:val="20"/>
          <w:u w:val="single"/>
        </w:rPr>
        <w:t>10</w:t>
      </w:r>
      <w:r>
        <w:rPr>
          <w:rFonts w:hint="eastAsia" w:ascii="宋体" w:hAnsi="宋体" w:cs="宋体"/>
          <w:sz w:val="20"/>
          <w:szCs w:val="20"/>
        </w:rPr>
        <w:t xml:space="preserve">‰计算，但是违约金的金额不得超过合同总价款的 </w:t>
      </w:r>
      <w:r>
        <w:rPr>
          <w:rFonts w:hint="eastAsia" w:ascii="宋体" w:hAnsi="宋体" w:cs="宋体"/>
          <w:sz w:val="20"/>
          <w:szCs w:val="20"/>
          <w:u w:val="single"/>
        </w:rPr>
        <w:t>20</w:t>
      </w:r>
      <w:r>
        <w:rPr>
          <w:rFonts w:hint="eastAsia" w:ascii="宋体" w:hAnsi="宋体" w:cs="宋体"/>
          <w:sz w:val="20"/>
          <w:szCs w:val="20"/>
        </w:rPr>
        <w:t xml:space="preserve"> %，如果卖方在达到违约金的最高限额后仍不能交货，买方有权就卖方违约而解除本合同，且卖方仍须支付上述违约金，并赔偿由此给买方造成的一切损失。</w:t>
      </w:r>
      <w:r>
        <w:rPr>
          <w:rFonts w:hint="eastAsia" w:ascii="宋体" w:hAnsi="宋体" w:cs="宋体"/>
          <w:i/>
          <w:iCs/>
          <w:sz w:val="20"/>
          <w:szCs w:val="20"/>
        </w:rPr>
        <w:t>（根据项目实际情况据实填写）</w:t>
      </w:r>
    </w:p>
    <w:p>
      <w:pPr>
        <w:spacing w:line="360" w:lineRule="auto"/>
        <w:ind w:firstLine="378" w:firstLineChars="189"/>
        <w:rPr>
          <w:rFonts w:ascii="宋体" w:hAnsi="宋体" w:cs="宋体"/>
          <w:i/>
          <w:iCs/>
          <w:sz w:val="20"/>
          <w:szCs w:val="20"/>
        </w:rPr>
      </w:pPr>
      <w:r>
        <w:rPr>
          <w:rFonts w:hint="eastAsia" w:ascii="宋体" w:hAnsi="宋体" w:cs="宋体"/>
          <w:sz w:val="20"/>
          <w:szCs w:val="20"/>
        </w:rPr>
        <w:t>11.4如卖方未按7.1条履行义务，从逾期之日起卖方每天按合同总价款的</w:t>
      </w:r>
      <w:r>
        <w:rPr>
          <w:rFonts w:hint="eastAsia" w:ascii="宋体" w:hAnsi="宋体" w:cs="宋体"/>
          <w:sz w:val="20"/>
          <w:szCs w:val="20"/>
          <w:u w:val="single"/>
        </w:rPr>
        <w:t xml:space="preserve"> 10 </w:t>
      </w:r>
      <w:r>
        <w:rPr>
          <w:rFonts w:hint="eastAsia" w:ascii="宋体" w:hAnsi="宋体" w:cs="宋体"/>
          <w:sz w:val="20"/>
          <w:szCs w:val="20"/>
        </w:rPr>
        <w:t>‰支付给买方作违约金，但是违约金的金额不得超过合同总价的</w:t>
      </w:r>
      <w:r>
        <w:rPr>
          <w:rFonts w:hint="eastAsia" w:ascii="宋体" w:hAnsi="宋体" w:cs="宋体"/>
          <w:sz w:val="20"/>
          <w:szCs w:val="20"/>
          <w:u w:val="single"/>
        </w:rPr>
        <w:t xml:space="preserve"> 20 </w:t>
      </w:r>
      <w:r>
        <w:rPr>
          <w:rFonts w:hint="eastAsia" w:ascii="宋体" w:hAnsi="宋体" w:cs="宋体"/>
          <w:sz w:val="20"/>
          <w:szCs w:val="20"/>
        </w:rPr>
        <w:t>%。如果卖方在达到违约金的最高限额或者不能使设备通过最终验收，买方有权就卖方违约而解除本合同，且卖方仍须支付上述违约金，并返还买方支付的设备款，并赔偿由此给买方造成的一切损失。</w:t>
      </w:r>
      <w:r>
        <w:rPr>
          <w:rFonts w:hint="eastAsia" w:ascii="宋体" w:hAnsi="宋体" w:cs="宋体"/>
          <w:i/>
          <w:iCs/>
          <w:sz w:val="20"/>
          <w:szCs w:val="20"/>
        </w:rPr>
        <w:t>（根据项目实际情况据实填写）</w:t>
      </w:r>
    </w:p>
    <w:p>
      <w:pPr>
        <w:spacing w:line="360" w:lineRule="auto"/>
        <w:ind w:firstLine="378" w:firstLineChars="189"/>
        <w:rPr>
          <w:rFonts w:ascii="宋体" w:hAnsi="宋体" w:cs="宋体"/>
          <w:sz w:val="20"/>
          <w:szCs w:val="20"/>
        </w:rPr>
      </w:pPr>
      <w:r>
        <w:rPr>
          <w:rFonts w:hint="eastAsia" w:ascii="宋体" w:hAnsi="宋体" w:cs="宋体"/>
          <w:sz w:val="20"/>
          <w:szCs w:val="20"/>
        </w:rPr>
        <w:t>11.5买方延期付款时（有正当拒付理由者除外），每日按延付金额的</w:t>
      </w:r>
      <w:r>
        <w:rPr>
          <w:rFonts w:hint="eastAsia" w:ascii="宋体" w:hAnsi="宋体" w:cs="宋体"/>
          <w:sz w:val="20"/>
          <w:szCs w:val="20"/>
          <w:u w:val="single"/>
        </w:rPr>
        <w:t xml:space="preserve"> 3 </w:t>
      </w:r>
      <w:r>
        <w:rPr>
          <w:rFonts w:hint="eastAsia" w:ascii="宋体" w:hAnsi="宋体" w:cs="宋体"/>
          <w:sz w:val="20"/>
          <w:szCs w:val="20"/>
        </w:rPr>
        <w:t>‰向卖方偿付延期付款违约金，但违约金总额不超过延付金额的</w:t>
      </w:r>
      <w:r>
        <w:rPr>
          <w:rFonts w:hint="eastAsia" w:ascii="宋体" w:hAnsi="宋体" w:cs="宋体"/>
          <w:sz w:val="20"/>
          <w:szCs w:val="20"/>
          <w:u w:val="single"/>
        </w:rPr>
        <w:t xml:space="preserve"> 50 </w:t>
      </w:r>
      <w:r>
        <w:rPr>
          <w:rFonts w:hint="eastAsia" w:ascii="宋体" w:hAnsi="宋体" w:cs="宋体"/>
          <w:sz w:val="20"/>
          <w:szCs w:val="20"/>
        </w:rPr>
        <w:t>‰。</w:t>
      </w:r>
    </w:p>
    <w:p>
      <w:pPr>
        <w:spacing w:line="360" w:lineRule="auto"/>
        <w:ind w:firstLine="378" w:firstLineChars="189"/>
        <w:rPr>
          <w:rFonts w:ascii="宋体" w:hAnsi="宋体" w:cs="宋体"/>
          <w:sz w:val="20"/>
          <w:szCs w:val="20"/>
        </w:rPr>
      </w:pPr>
      <w:r>
        <w:rPr>
          <w:rFonts w:hint="eastAsia" w:ascii="宋体" w:hAnsi="宋体" w:cs="宋体"/>
          <w:sz w:val="20"/>
          <w:szCs w:val="20"/>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pPr>
        <w:spacing w:line="360" w:lineRule="auto"/>
        <w:ind w:firstLine="378" w:firstLineChars="189"/>
        <w:rPr>
          <w:rFonts w:ascii="宋体" w:hAnsi="宋体" w:cs="宋体"/>
          <w:sz w:val="20"/>
          <w:szCs w:val="20"/>
        </w:rPr>
      </w:pPr>
      <w:r>
        <w:rPr>
          <w:rFonts w:hint="eastAsia" w:ascii="宋体" w:hAnsi="宋体" w:cs="宋体"/>
          <w:sz w:val="20"/>
          <w:szCs w:val="20"/>
        </w:rPr>
        <w:t>11.7如果卖方违反本合同其他约定（包括本合同及所有附件）应赔偿因此给买方造成的一切损失。</w:t>
      </w:r>
    </w:p>
    <w:p>
      <w:pPr>
        <w:spacing w:line="360" w:lineRule="auto"/>
        <w:ind w:firstLine="378" w:firstLineChars="189"/>
        <w:rPr>
          <w:rFonts w:ascii="宋体" w:hAnsi="宋体" w:cs="宋体"/>
          <w:sz w:val="20"/>
          <w:szCs w:val="20"/>
        </w:rPr>
      </w:pPr>
    </w:p>
    <w:p>
      <w:pPr>
        <w:pStyle w:val="2"/>
        <w:ind w:left="0" w:firstLine="379" w:firstLineChars="189"/>
        <w:jc w:val="both"/>
        <w:rPr>
          <w:rFonts w:ascii="宋体" w:hAnsi="宋体" w:cs="宋体"/>
          <w:sz w:val="20"/>
        </w:rPr>
      </w:pPr>
      <w:bookmarkStart w:id="210" w:name="_Toc25867"/>
      <w:bookmarkStart w:id="211" w:name="_Toc31554"/>
      <w:bookmarkStart w:id="212" w:name="_Toc1827"/>
      <w:bookmarkStart w:id="213" w:name="_Toc19889"/>
      <w:bookmarkStart w:id="214" w:name="_Toc1386"/>
      <w:bookmarkStart w:id="215" w:name="_Toc9172"/>
      <w:r>
        <w:rPr>
          <w:rFonts w:hint="eastAsia" w:ascii="宋体" w:hAnsi="宋体" w:cs="宋体"/>
          <w:sz w:val="20"/>
        </w:rPr>
        <w:t>12 合同的终止与解除</w:t>
      </w:r>
      <w:bookmarkEnd w:id="210"/>
      <w:bookmarkEnd w:id="211"/>
      <w:bookmarkEnd w:id="212"/>
      <w:bookmarkEnd w:id="213"/>
      <w:bookmarkEnd w:id="214"/>
      <w:bookmarkEnd w:id="215"/>
    </w:p>
    <w:p>
      <w:pPr>
        <w:spacing w:line="360" w:lineRule="auto"/>
        <w:ind w:firstLine="378" w:firstLineChars="189"/>
        <w:rPr>
          <w:rFonts w:ascii="宋体" w:hAnsi="宋体" w:cs="宋体"/>
          <w:sz w:val="20"/>
          <w:szCs w:val="20"/>
        </w:rPr>
      </w:pPr>
      <w:r>
        <w:rPr>
          <w:rFonts w:hint="eastAsia" w:ascii="宋体" w:hAnsi="宋体" w:cs="宋体"/>
          <w:sz w:val="20"/>
          <w:szCs w:val="20"/>
        </w:rPr>
        <w:t>12.1本合同订立后，卖方由于履行义务的能力或信用有严重缺陷，买方可以终止履行本合同，要求卖方返还已支付的款项并不承担违约责任。</w:t>
      </w:r>
    </w:p>
    <w:p>
      <w:pPr>
        <w:spacing w:line="360" w:lineRule="auto"/>
        <w:ind w:firstLine="378" w:firstLineChars="189"/>
        <w:rPr>
          <w:rFonts w:ascii="宋体" w:hAnsi="宋体" w:cs="宋体"/>
          <w:sz w:val="20"/>
          <w:szCs w:val="20"/>
        </w:rPr>
      </w:pPr>
      <w:r>
        <w:rPr>
          <w:rFonts w:hint="eastAsia" w:ascii="宋体" w:hAnsi="宋体" w:cs="宋体"/>
          <w:sz w:val="20"/>
          <w:szCs w:val="20"/>
        </w:rPr>
        <w:t>12.2经双方协商一致，可以解除本合同。</w:t>
      </w:r>
    </w:p>
    <w:p>
      <w:pPr>
        <w:spacing w:line="360" w:lineRule="auto"/>
        <w:ind w:firstLine="378" w:firstLineChars="189"/>
        <w:rPr>
          <w:rFonts w:ascii="宋体" w:hAnsi="宋体" w:cs="宋体"/>
          <w:sz w:val="20"/>
          <w:szCs w:val="20"/>
        </w:rPr>
      </w:pPr>
      <w:r>
        <w:rPr>
          <w:rFonts w:hint="eastAsia" w:ascii="宋体" w:hAnsi="宋体" w:cs="宋体"/>
          <w:sz w:val="20"/>
          <w:szCs w:val="20"/>
        </w:rPr>
        <w:t>12.3有下列情形之一的，买方可以解除本合同：</w:t>
      </w:r>
    </w:p>
    <w:p>
      <w:pPr>
        <w:spacing w:line="360" w:lineRule="auto"/>
        <w:ind w:firstLine="378" w:firstLineChars="189"/>
        <w:rPr>
          <w:rFonts w:ascii="宋体" w:hAnsi="宋体" w:cs="宋体"/>
          <w:sz w:val="20"/>
          <w:szCs w:val="20"/>
        </w:rPr>
      </w:pPr>
      <w:r>
        <w:rPr>
          <w:rFonts w:hint="eastAsia" w:ascii="宋体" w:hAnsi="宋体" w:cs="宋体"/>
          <w:sz w:val="20"/>
          <w:szCs w:val="20"/>
        </w:rPr>
        <w:t>12.3.1卖方明确表示或者以自己的行为表明不履行主要义务的；</w:t>
      </w:r>
    </w:p>
    <w:p>
      <w:pPr>
        <w:spacing w:line="360" w:lineRule="auto"/>
        <w:ind w:firstLine="378" w:firstLineChars="189"/>
        <w:rPr>
          <w:rFonts w:ascii="宋体" w:hAnsi="宋体" w:cs="宋体"/>
          <w:sz w:val="20"/>
          <w:szCs w:val="20"/>
        </w:rPr>
      </w:pPr>
      <w:r>
        <w:rPr>
          <w:rFonts w:hint="eastAsia" w:ascii="宋体" w:hAnsi="宋体" w:cs="宋体"/>
          <w:sz w:val="20"/>
          <w:szCs w:val="20"/>
        </w:rPr>
        <w:t>12.3.2按照本合同第11.3条或第11.4条的规定，达到违约金的最高限额；</w:t>
      </w:r>
    </w:p>
    <w:p>
      <w:pPr>
        <w:spacing w:line="360" w:lineRule="auto"/>
        <w:ind w:firstLine="378" w:firstLineChars="189"/>
        <w:rPr>
          <w:rFonts w:ascii="宋体" w:hAnsi="宋体" w:cs="宋体"/>
          <w:sz w:val="20"/>
          <w:szCs w:val="20"/>
        </w:rPr>
      </w:pPr>
      <w:r>
        <w:rPr>
          <w:rFonts w:hint="eastAsia" w:ascii="宋体" w:hAnsi="宋体" w:cs="宋体"/>
          <w:sz w:val="20"/>
          <w:szCs w:val="20"/>
        </w:rPr>
        <w:t>12.3.3卖方所提交的设备不符合本合同的规定；</w:t>
      </w:r>
    </w:p>
    <w:p>
      <w:pPr>
        <w:spacing w:line="360" w:lineRule="auto"/>
        <w:ind w:firstLine="378" w:firstLineChars="189"/>
        <w:rPr>
          <w:rFonts w:ascii="宋体" w:hAnsi="宋体" w:cs="宋体"/>
          <w:sz w:val="20"/>
          <w:szCs w:val="20"/>
        </w:rPr>
      </w:pPr>
      <w:r>
        <w:rPr>
          <w:rFonts w:hint="eastAsia" w:ascii="宋体" w:hAnsi="宋体" w:cs="宋体"/>
          <w:sz w:val="20"/>
          <w:szCs w:val="20"/>
        </w:rPr>
        <w:t>12.3.4卖方有其他违约行为。</w:t>
      </w:r>
    </w:p>
    <w:p>
      <w:pPr>
        <w:spacing w:line="360" w:lineRule="auto"/>
        <w:ind w:firstLine="378" w:firstLineChars="189"/>
        <w:rPr>
          <w:rFonts w:ascii="宋体" w:hAnsi="宋体" w:cs="宋体"/>
          <w:sz w:val="20"/>
          <w:szCs w:val="20"/>
        </w:rPr>
      </w:pPr>
      <w:r>
        <w:rPr>
          <w:rFonts w:hint="eastAsia" w:ascii="宋体" w:hAnsi="宋体" w:cs="宋体"/>
          <w:sz w:val="20"/>
          <w:szCs w:val="20"/>
        </w:rPr>
        <w:t>12.4卖方分批交付设备的，卖方对其中一批设备不交付或者交付不符合约定，致使该批设备不能实现本合同目的的，买方可以就该批设备解除合同。</w:t>
      </w:r>
    </w:p>
    <w:p>
      <w:pPr>
        <w:spacing w:line="360" w:lineRule="auto"/>
        <w:ind w:firstLine="378" w:firstLineChars="189"/>
        <w:rPr>
          <w:rFonts w:ascii="宋体" w:hAnsi="宋体" w:cs="宋体"/>
          <w:sz w:val="20"/>
          <w:szCs w:val="20"/>
        </w:rPr>
      </w:pPr>
      <w:r>
        <w:rPr>
          <w:rFonts w:hint="eastAsia" w:ascii="宋体" w:hAnsi="宋体" w:cs="宋体"/>
          <w:sz w:val="20"/>
          <w:szCs w:val="20"/>
        </w:rPr>
        <w:t>12.5卖方不交付其中一批设备或者交付不符合约定，致使今后其他各批设备的交付不能实现本合同目的的，买方可以就该批以及今后其他各批设备解除合同。</w:t>
      </w:r>
    </w:p>
    <w:p>
      <w:pPr>
        <w:spacing w:line="360" w:lineRule="auto"/>
        <w:ind w:firstLine="378" w:firstLineChars="189"/>
        <w:rPr>
          <w:rFonts w:ascii="宋体" w:hAnsi="宋体" w:cs="宋体"/>
          <w:sz w:val="20"/>
          <w:szCs w:val="20"/>
        </w:rPr>
      </w:pPr>
      <w:r>
        <w:rPr>
          <w:rFonts w:hint="eastAsia" w:ascii="宋体" w:hAnsi="宋体" w:cs="宋体"/>
          <w:sz w:val="20"/>
          <w:szCs w:val="20"/>
        </w:rPr>
        <w:t>12.6买方如果就其中一批设备解除合同，该批设备与其他各批设备相互依存的，可以就已经交付和未交付的各批设备解除合同。</w:t>
      </w:r>
    </w:p>
    <w:p>
      <w:pPr>
        <w:spacing w:line="360" w:lineRule="auto"/>
        <w:ind w:firstLine="378" w:firstLineChars="189"/>
        <w:rPr>
          <w:rFonts w:ascii="宋体" w:hAnsi="宋体" w:cs="宋体"/>
          <w:sz w:val="20"/>
          <w:szCs w:val="20"/>
        </w:rPr>
      </w:pPr>
      <w:r>
        <w:rPr>
          <w:rFonts w:hint="eastAsia" w:ascii="宋体" w:hAnsi="宋体" w:cs="宋体"/>
          <w:sz w:val="20"/>
          <w:szCs w:val="20"/>
        </w:rPr>
        <w:t>12.7因为卖方违约导致买方解除合同的，卖方应赔偿买方因此所遭受的一切损失。</w:t>
      </w:r>
    </w:p>
    <w:p>
      <w:pPr>
        <w:spacing w:line="360" w:lineRule="auto"/>
        <w:ind w:firstLine="378" w:firstLineChars="189"/>
        <w:rPr>
          <w:rFonts w:ascii="宋体" w:hAnsi="宋体" w:cs="宋体"/>
          <w:sz w:val="20"/>
          <w:szCs w:val="20"/>
        </w:rPr>
      </w:pPr>
    </w:p>
    <w:p>
      <w:pPr>
        <w:pStyle w:val="2"/>
        <w:ind w:left="0" w:firstLine="379" w:firstLineChars="189"/>
        <w:jc w:val="both"/>
        <w:rPr>
          <w:rFonts w:ascii="宋体" w:hAnsi="宋体" w:cs="宋体"/>
          <w:sz w:val="20"/>
        </w:rPr>
      </w:pPr>
      <w:bookmarkStart w:id="216" w:name="_Toc13671"/>
      <w:bookmarkStart w:id="217" w:name="_Toc7660"/>
      <w:bookmarkStart w:id="218" w:name="_Toc8370"/>
      <w:bookmarkStart w:id="219" w:name="_Toc31945"/>
      <w:bookmarkStart w:id="220" w:name="_Toc8620"/>
      <w:bookmarkStart w:id="221" w:name="_Toc14290"/>
      <w:r>
        <w:rPr>
          <w:rFonts w:hint="eastAsia" w:ascii="宋体" w:hAnsi="宋体" w:cs="宋体"/>
          <w:sz w:val="20"/>
        </w:rPr>
        <w:t>13 不可抗力</w:t>
      </w:r>
      <w:bookmarkEnd w:id="216"/>
      <w:bookmarkEnd w:id="217"/>
      <w:bookmarkEnd w:id="218"/>
      <w:bookmarkEnd w:id="219"/>
      <w:bookmarkEnd w:id="220"/>
      <w:bookmarkEnd w:id="221"/>
    </w:p>
    <w:p>
      <w:pPr>
        <w:spacing w:line="360" w:lineRule="auto"/>
        <w:ind w:firstLine="378" w:firstLineChars="189"/>
        <w:rPr>
          <w:rFonts w:ascii="宋体" w:hAnsi="宋体" w:cs="宋体"/>
          <w:sz w:val="20"/>
          <w:szCs w:val="20"/>
        </w:rPr>
      </w:pPr>
      <w:r>
        <w:rPr>
          <w:rFonts w:hint="eastAsia" w:ascii="宋体" w:hAnsi="宋体" w:cs="宋体"/>
          <w:sz w:val="20"/>
          <w:szCs w:val="20"/>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pacing w:line="360" w:lineRule="auto"/>
        <w:ind w:firstLine="378" w:firstLineChars="189"/>
        <w:rPr>
          <w:rFonts w:ascii="宋体" w:hAnsi="宋体" w:cs="宋体"/>
          <w:sz w:val="20"/>
          <w:szCs w:val="20"/>
        </w:rPr>
      </w:pPr>
      <w:r>
        <w:rPr>
          <w:rFonts w:hint="eastAsia" w:ascii="宋体" w:hAnsi="宋体" w:cs="宋体"/>
          <w:sz w:val="20"/>
          <w:szCs w:val="20"/>
        </w:rPr>
        <w:t>13.2各方应该通过协商决定是否终止本合同，或推迟全部或部分本合同的履行或免除对方全部或部分相关履行义务。</w:t>
      </w:r>
    </w:p>
    <w:p>
      <w:pPr>
        <w:spacing w:line="360" w:lineRule="auto"/>
        <w:ind w:firstLine="378" w:firstLineChars="189"/>
        <w:rPr>
          <w:rFonts w:ascii="宋体" w:hAnsi="宋体" w:cs="宋体"/>
          <w:sz w:val="20"/>
          <w:szCs w:val="20"/>
        </w:rPr>
      </w:pPr>
    </w:p>
    <w:p>
      <w:pPr>
        <w:pStyle w:val="2"/>
        <w:ind w:left="0" w:firstLine="379" w:firstLineChars="189"/>
        <w:jc w:val="both"/>
        <w:rPr>
          <w:rFonts w:ascii="宋体" w:hAnsi="宋体" w:cs="宋体"/>
          <w:sz w:val="20"/>
        </w:rPr>
      </w:pPr>
      <w:bookmarkStart w:id="222" w:name="_Toc637"/>
      <w:bookmarkStart w:id="223" w:name="_Toc31243"/>
      <w:bookmarkStart w:id="224" w:name="_Toc22319"/>
      <w:bookmarkStart w:id="225" w:name="_Toc19590"/>
      <w:bookmarkStart w:id="226" w:name="_Toc20807"/>
      <w:bookmarkStart w:id="227" w:name="_Toc30389"/>
      <w:r>
        <w:rPr>
          <w:rFonts w:hint="eastAsia" w:ascii="宋体" w:hAnsi="宋体" w:cs="宋体"/>
          <w:sz w:val="20"/>
        </w:rPr>
        <w:t>14 通讯</w:t>
      </w:r>
      <w:bookmarkEnd w:id="222"/>
      <w:bookmarkEnd w:id="223"/>
      <w:bookmarkEnd w:id="224"/>
      <w:bookmarkEnd w:id="225"/>
      <w:bookmarkEnd w:id="226"/>
      <w:bookmarkEnd w:id="227"/>
    </w:p>
    <w:p>
      <w:pPr>
        <w:spacing w:line="360" w:lineRule="auto"/>
        <w:ind w:firstLine="378" w:firstLineChars="189"/>
        <w:rPr>
          <w:rFonts w:ascii="宋体" w:hAnsi="宋体" w:cs="宋体"/>
          <w:sz w:val="20"/>
          <w:szCs w:val="20"/>
        </w:rPr>
      </w:pPr>
      <w:r>
        <w:rPr>
          <w:rFonts w:hint="eastAsia" w:ascii="宋体" w:hAnsi="宋体" w:cs="宋体"/>
          <w:sz w:val="20"/>
          <w:szCs w:val="20"/>
        </w:rPr>
        <w:t>14.1通讯地址：</w:t>
      </w:r>
    </w:p>
    <w:p>
      <w:pPr>
        <w:spacing w:line="360" w:lineRule="auto"/>
        <w:ind w:firstLine="378" w:firstLineChars="189"/>
        <w:rPr>
          <w:rFonts w:ascii="宋体" w:hAnsi="宋体" w:cs="宋体"/>
          <w:sz w:val="20"/>
          <w:szCs w:val="20"/>
        </w:rPr>
      </w:pPr>
      <w:r>
        <w:rPr>
          <w:rFonts w:hint="eastAsia" w:ascii="宋体" w:hAnsi="宋体" w:cs="宋体"/>
          <w:sz w:val="20"/>
          <w:szCs w:val="20"/>
        </w:rPr>
        <w:t>本合同下的任何通讯按照本合同双方提供的信息，以书信、传真、电子通讯方式或电话作出。</w:t>
      </w:r>
    </w:p>
    <w:p>
      <w:pPr>
        <w:spacing w:line="360" w:lineRule="auto"/>
        <w:ind w:firstLine="378" w:firstLineChars="189"/>
        <w:rPr>
          <w:rFonts w:ascii="宋体" w:hAnsi="宋体" w:cs="宋体"/>
          <w:sz w:val="20"/>
          <w:szCs w:val="20"/>
        </w:rPr>
      </w:pPr>
      <w:r>
        <w:rPr>
          <w:rFonts w:hint="eastAsia" w:ascii="宋体" w:hAnsi="宋体" w:cs="宋体"/>
          <w:sz w:val="20"/>
          <w:szCs w:val="20"/>
        </w:rPr>
        <w:t>14.2生效</w:t>
      </w:r>
    </w:p>
    <w:p>
      <w:pPr>
        <w:spacing w:line="360" w:lineRule="auto"/>
        <w:ind w:firstLine="378" w:firstLineChars="189"/>
        <w:rPr>
          <w:rFonts w:ascii="宋体" w:hAnsi="宋体" w:cs="宋体"/>
          <w:sz w:val="20"/>
          <w:szCs w:val="20"/>
        </w:rPr>
      </w:pPr>
      <w:r>
        <w:rPr>
          <w:rFonts w:hint="eastAsia" w:ascii="宋体" w:hAnsi="宋体" w:cs="宋体"/>
          <w:sz w:val="20"/>
          <w:szCs w:val="20"/>
        </w:rPr>
        <w:t>14.2.1书信。书信为送达时生效；</w:t>
      </w:r>
    </w:p>
    <w:p>
      <w:pPr>
        <w:spacing w:line="360" w:lineRule="auto"/>
        <w:ind w:firstLine="378" w:firstLineChars="189"/>
        <w:rPr>
          <w:rFonts w:ascii="宋体" w:hAnsi="宋体" w:cs="宋体"/>
          <w:sz w:val="20"/>
          <w:szCs w:val="20"/>
        </w:rPr>
      </w:pPr>
      <w:r>
        <w:rPr>
          <w:rFonts w:hint="eastAsia" w:ascii="宋体" w:hAnsi="宋体" w:cs="宋体"/>
          <w:sz w:val="20"/>
          <w:szCs w:val="20"/>
        </w:rPr>
        <w:t>14.2.2传真。发送人取得成功传输的信息时生效；</w:t>
      </w:r>
    </w:p>
    <w:p>
      <w:pPr>
        <w:spacing w:line="360" w:lineRule="auto"/>
        <w:ind w:firstLine="378" w:firstLineChars="189"/>
        <w:rPr>
          <w:rFonts w:ascii="宋体" w:hAnsi="宋体" w:cs="宋体"/>
          <w:sz w:val="20"/>
          <w:szCs w:val="20"/>
        </w:rPr>
      </w:pPr>
      <w:r>
        <w:rPr>
          <w:rFonts w:hint="eastAsia" w:ascii="宋体" w:hAnsi="宋体" w:cs="宋体"/>
          <w:sz w:val="20"/>
          <w:szCs w:val="20"/>
        </w:rPr>
        <w:t>14.2.3电子邮件。电子邮件于发送之时生效，前提是寄件者于该邮件发送后24小时内没有收到发送失败通知；</w:t>
      </w:r>
    </w:p>
    <w:p>
      <w:pPr>
        <w:spacing w:line="360" w:lineRule="auto"/>
        <w:ind w:firstLine="378" w:firstLineChars="189"/>
        <w:rPr>
          <w:rFonts w:ascii="宋体" w:hAnsi="宋体" w:cs="宋体"/>
          <w:sz w:val="20"/>
          <w:szCs w:val="20"/>
        </w:rPr>
      </w:pPr>
      <w:r>
        <w:rPr>
          <w:rFonts w:hint="eastAsia" w:ascii="宋体" w:hAnsi="宋体" w:cs="宋体"/>
          <w:sz w:val="20"/>
          <w:szCs w:val="20"/>
        </w:rPr>
        <w:t>14.2.4电话。电话于打出时生效，以电话作出的任何通讯必须以书信、传真或电子邮件确认，如果没有发送或者接收该确认不会使原有通讯失效。</w:t>
      </w:r>
    </w:p>
    <w:p>
      <w:pPr>
        <w:spacing w:line="360" w:lineRule="auto"/>
        <w:ind w:firstLine="378" w:firstLineChars="189"/>
        <w:rPr>
          <w:rFonts w:ascii="宋体" w:hAnsi="宋体" w:cs="宋体"/>
          <w:sz w:val="20"/>
          <w:szCs w:val="20"/>
        </w:rPr>
      </w:pPr>
      <w:r>
        <w:rPr>
          <w:rFonts w:hint="eastAsia" w:ascii="宋体" w:hAnsi="宋体" w:cs="宋体"/>
          <w:sz w:val="20"/>
          <w:szCs w:val="20"/>
        </w:rPr>
        <w:t>14.3书面法律证据。根据本合同以书信、传真或电子邮件方式送达任何订约方的任何通讯，将作为书面法律证据。</w:t>
      </w:r>
    </w:p>
    <w:p>
      <w:pPr>
        <w:rPr>
          <w:rFonts w:ascii="宋体" w:hAnsi="宋体" w:cs="宋体"/>
          <w:sz w:val="20"/>
          <w:szCs w:val="20"/>
        </w:rPr>
      </w:pPr>
      <w:r>
        <w:rPr>
          <w:rFonts w:hint="eastAsia" w:ascii="宋体" w:hAnsi="宋体" w:cs="宋体"/>
          <w:sz w:val="20"/>
          <w:szCs w:val="20"/>
        </w:rPr>
        <w:br w:type="page"/>
      </w:r>
    </w:p>
    <w:p>
      <w:pPr>
        <w:pStyle w:val="2"/>
        <w:ind w:left="0" w:firstLine="402" w:firstLineChars="200"/>
        <w:jc w:val="both"/>
        <w:rPr>
          <w:rFonts w:ascii="宋体" w:hAnsi="宋体" w:cs="宋体"/>
          <w:sz w:val="20"/>
        </w:rPr>
      </w:pPr>
      <w:bookmarkStart w:id="228" w:name="_Toc12250"/>
      <w:bookmarkStart w:id="229" w:name="_Toc9915"/>
      <w:bookmarkStart w:id="230" w:name="_Toc8262"/>
      <w:bookmarkStart w:id="231" w:name="_Toc23554"/>
      <w:bookmarkStart w:id="232" w:name="_Toc12984"/>
      <w:bookmarkStart w:id="233" w:name="_Toc11290"/>
      <w:r>
        <w:rPr>
          <w:rFonts w:hint="eastAsia" w:ascii="宋体" w:hAnsi="宋体" w:cs="宋体"/>
          <w:sz w:val="20"/>
        </w:rPr>
        <w:t>15 适用法律及争议解决</w:t>
      </w:r>
      <w:bookmarkEnd w:id="228"/>
      <w:bookmarkEnd w:id="229"/>
      <w:bookmarkEnd w:id="230"/>
      <w:bookmarkEnd w:id="231"/>
      <w:bookmarkEnd w:id="232"/>
      <w:bookmarkEnd w:id="233"/>
    </w:p>
    <w:p>
      <w:pPr>
        <w:spacing w:line="360" w:lineRule="auto"/>
        <w:ind w:firstLine="378" w:firstLineChars="189"/>
        <w:rPr>
          <w:rFonts w:ascii="宋体" w:hAnsi="宋体" w:cs="宋体"/>
          <w:sz w:val="20"/>
          <w:szCs w:val="20"/>
        </w:rPr>
      </w:pPr>
      <w:r>
        <w:rPr>
          <w:rFonts w:hint="eastAsia" w:ascii="宋体" w:hAnsi="宋体" w:cs="宋体"/>
          <w:sz w:val="20"/>
          <w:szCs w:val="20"/>
        </w:rPr>
        <w:t>15.1本合同条款的效力和解释适用中华人民共和国法律。</w:t>
      </w:r>
    </w:p>
    <w:p>
      <w:pPr>
        <w:spacing w:line="360" w:lineRule="auto"/>
        <w:ind w:firstLine="378" w:firstLineChars="189"/>
        <w:rPr>
          <w:rFonts w:ascii="宋体" w:hAnsi="宋体" w:cs="宋体"/>
          <w:sz w:val="20"/>
          <w:szCs w:val="20"/>
        </w:rPr>
      </w:pPr>
      <w:r>
        <w:rPr>
          <w:rFonts w:hint="eastAsia" w:ascii="宋体" w:hAnsi="宋体" w:cs="宋体"/>
          <w:sz w:val="20"/>
          <w:szCs w:val="20"/>
        </w:rPr>
        <w:t>15.2双方同意将本着诚信的态度协商解决本合同履行过程中产生的任何争议。如果争议事项不能通过双方协商解决，本合同双方同意采用向</w:t>
      </w:r>
      <w:r>
        <w:rPr>
          <w:rFonts w:hint="eastAsia" w:ascii="宋体" w:hAnsi="宋体" w:cs="宋体"/>
          <w:b/>
          <w:bCs/>
          <w:sz w:val="20"/>
          <w:szCs w:val="20"/>
        </w:rPr>
        <w:t>买方所在地</w:t>
      </w:r>
      <w:r>
        <w:rPr>
          <w:rFonts w:hint="eastAsia" w:ascii="宋体" w:hAnsi="宋体" w:cs="宋体"/>
          <w:sz w:val="20"/>
          <w:szCs w:val="20"/>
        </w:rPr>
        <w:t>人民法院提起诉讼的方式解决。</w:t>
      </w:r>
    </w:p>
    <w:p>
      <w:pPr>
        <w:spacing w:line="360" w:lineRule="auto"/>
        <w:ind w:firstLine="378" w:firstLineChars="189"/>
        <w:rPr>
          <w:rFonts w:ascii="宋体" w:hAnsi="宋体" w:cs="宋体"/>
          <w:sz w:val="20"/>
          <w:szCs w:val="20"/>
        </w:rPr>
      </w:pPr>
    </w:p>
    <w:p>
      <w:pPr>
        <w:pStyle w:val="2"/>
        <w:ind w:left="0" w:firstLine="379" w:firstLineChars="189"/>
        <w:jc w:val="both"/>
        <w:rPr>
          <w:rFonts w:ascii="宋体" w:hAnsi="宋体" w:cs="宋体"/>
          <w:sz w:val="20"/>
        </w:rPr>
      </w:pPr>
      <w:bookmarkStart w:id="234" w:name="_Toc18207"/>
      <w:bookmarkStart w:id="235" w:name="_Toc12320"/>
      <w:bookmarkStart w:id="236" w:name="_Toc23906"/>
      <w:bookmarkStart w:id="237" w:name="_Toc11943"/>
      <w:bookmarkStart w:id="238" w:name="_Toc12891"/>
      <w:bookmarkStart w:id="239" w:name="_Toc23765"/>
      <w:r>
        <w:rPr>
          <w:rFonts w:hint="eastAsia" w:ascii="宋体" w:hAnsi="宋体" w:cs="宋体"/>
          <w:sz w:val="20"/>
        </w:rPr>
        <w:t>16 附件</w:t>
      </w:r>
      <w:bookmarkEnd w:id="234"/>
      <w:bookmarkEnd w:id="235"/>
      <w:bookmarkEnd w:id="236"/>
      <w:bookmarkEnd w:id="237"/>
      <w:bookmarkEnd w:id="238"/>
      <w:bookmarkEnd w:id="239"/>
    </w:p>
    <w:p>
      <w:pPr>
        <w:spacing w:line="360" w:lineRule="auto"/>
        <w:ind w:firstLine="378" w:firstLineChars="189"/>
        <w:rPr>
          <w:rFonts w:ascii="宋体" w:hAnsi="宋体" w:cs="宋体"/>
          <w:sz w:val="20"/>
          <w:szCs w:val="20"/>
        </w:rPr>
      </w:pPr>
      <w:r>
        <w:rPr>
          <w:rFonts w:hint="eastAsia" w:ascii="宋体" w:hAnsi="宋体" w:cs="宋体"/>
          <w:sz w:val="20"/>
          <w:szCs w:val="20"/>
        </w:rPr>
        <w:t>本合同及其附件构成双方关于本合同标的之全部协议，包括但不限于下列文件：</w:t>
      </w:r>
    </w:p>
    <w:p>
      <w:pPr>
        <w:spacing w:line="360" w:lineRule="auto"/>
        <w:ind w:firstLine="378" w:firstLineChars="189"/>
        <w:rPr>
          <w:rFonts w:ascii="宋体" w:hAnsi="宋体" w:cs="宋体"/>
          <w:sz w:val="20"/>
          <w:szCs w:val="20"/>
        </w:rPr>
      </w:pPr>
      <w:r>
        <w:rPr>
          <w:rFonts w:hint="eastAsia" w:ascii="宋体" w:hAnsi="宋体" w:cs="宋体"/>
          <w:sz w:val="20"/>
          <w:szCs w:val="20"/>
        </w:rPr>
        <w:t>16.1技术协议书；</w:t>
      </w:r>
    </w:p>
    <w:p>
      <w:pPr>
        <w:spacing w:line="360" w:lineRule="auto"/>
        <w:ind w:firstLine="378" w:firstLineChars="189"/>
        <w:rPr>
          <w:rFonts w:ascii="宋体" w:hAnsi="宋体" w:cs="宋体"/>
          <w:sz w:val="20"/>
          <w:szCs w:val="20"/>
        </w:rPr>
      </w:pPr>
      <w:r>
        <w:rPr>
          <w:rFonts w:hint="eastAsia" w:ascii="宋体" w:hAnsi="宋体" w:cs="宋体"/>
          <w:sz w:val="20"/>
          <w:szCs w:val="20"/>
        </w:rPr>
        <w:t>16.2合同设备一览表；</w:t>
      </w:r>
    </w:p>
    <w:p>
      <w:pPr>
        <w:spacing w:line="360" w:lineRule="auto"/>
        <w:ind w:firstLine="378" w:firstLineChars="189"/>
        <w:rPr>
          <w:rFonts w:ascii="宋体" w:hAnsi="宋体" w:cs="宋体"/>
          <w:sz w:val="20"/>
          <w:szCs w:val="20"/>
        </w:rPr>
      </w:pPr>
      <w:r>
        <w:rPr>
          <w:rFonts w:hint="eastAsia" w:ascii="宋体" w:hAnsi="宋体" w:cs="宋体"/>
          <w:sz w:val="20"/>
          <w:szCs w:val="20"/>
        </w:rPr>
        <w:t>16.3卖方中标的设备投标书以及一切书面承诺；</w:t>
      </w:r>
    </w:p>
    <w:p>
      <w:pPr>
        <w:spacing w:line="360" w:lineRule="auto"/>
        <w:ind w:firstLine="378" w:firstLineChars="189"/>
        <w:rPr>
          <w:rFonts w:ascii="宋体" w:hAnsi="宋体" w:cs="宋体"/>
          <w:sz w:val="20"/>
          <w:szCs w:val="20"/>
        </w:rPr>
      </w:pPr>
      <w:r>
        <w:rPr>
          <w:rFonts w:hint="eastAsia" w:ascii="宋体" w:hAnsi="宋体" w:cs="宋体"/>
          <w:sz w:val="20"/>
          <w:szCs w:val="20"/>
        </w:rPr>
        <w:t>16.4招标文件。</w:t>
      </w:r>
    </w:p>
    <w:p>
      <w:pPr>
        <w:spacing w:line="360" w:lineRule="auto"/>
        <w:ind w:firstLine="378" w:firstLineChars="189"/>
        <w:rPr>
          <w:rFonts w:ascii="宋体" w:hAnsi="宋体" w:cs="宋体"/>
          <w:sz w:val="20"/>
          <w:szCs w:val="20"/>
        </w:rPr>
      </w:pPr>
      <w:r>
        <w:rPr>
          <w:rFonts w:hint="eastAsia" w:ascii="宋体" w:hAnsi="宋体" w:cs="宋体"/>
          <w:sz w:val="20"/>
          <w:szCs w:val="20"/>
        </w:rPr>
        <w:t>上述附件内容与本合同约定有冲突的，以本合同约定为准。</w:t>
      </w:r>
    </w:p>
    <w:p>
      <w:pPr>
        <w:spacing w:line="360" w:lineRule="auto"/>
        <w:ind w:firstLine="378" w:firstLineChars="189"/>
        <w:rPr>
          <w:rFonts w:ascii="宋体" w:hAnsi="宋体" w:cs="宋体"/>
          <w:sz w:val="20"/>
          <w:szCs w:val="20"/>
        </w:rPr>
      </w:pPr>
    </w:p>
    <w:p>
      <w:pPr>
        <w:pStyle w:val="2"/>
        <w:ind w:left="0" w:firstLine="379" w:firstLineChars="189"/>
        <w:jc w:val="both"/>
        <w:rPr>
          <w:rFonts w:ascii="宋体" w:hAnsi="宋体" w:cs="宋体"/>
          <w:sz w:val="20"/>
        </w:rPr>
      </w:pPr>
      <w:bookmarkStart w:id="240" w:name="_Toc26884"/>
      <w:bookmarkStart w:id="241" w:name="_Toc28356"/>
      <w:bookmarkStart w:id="242" w:name="_Toc31331"/>
      <w:bookmarkStart w:id="243" w:name="_Toc17052"/>
      <w:bookmarkStart w:id="244" w:name="_Toc27202"/>
      <w:bookmarkStart w:id="245" w:name="_Toc17656"/>
      <w:r>
        <w:rPr>
          <w:rFonts w:hint="eastAsia" w:ascii="宋体" w:hAnsi="宋体" w:cs="宋体"/>
          <w:sz w:val="20"/>
        </w:rPr>
        <w:t>17 其他规定</w:t>
      </w:r>
      <w:bookmarkEnd w:id="240"/>
      <w:bookmarkEnd w:id="241"/>
      <w:bookmarkEnd w:id="242"/>
      <w:bookmarkEnd w:id="243"/>
      <w:bookmarkEnd w:id="244"/>
      <w:bookmarkEnd w:id="245"/>
    </w:p>
    <w:p>
      <w:pPr>
        <w:spacing w:line="360" w:lineRule="auto"/>
        <w:ind w:firstLine="378" w:firstLineChars="189"/>
        <w:rPr>
          <w:rFonts w:ascii="宋体" w:hAnsi="宋体" w:cs="宋体"/>
          <w:sz w:val="20"/>
          <w:szCs w:val="20"/>
        </w:rPr>
      </w:pPr>
      <w:r>
        <w:rPr>
          <w:rFonts w:hint="eastAsia" w:ascii="宋体" w:hAnsi="宋体" w:cs="宋体"/>
          <w:sz w:val="20"/>
          <w:szCs w:val="20"/>
        </w:rPr>
        <w:t>17.1本合同及其附件构成了双方就本合同所含交易而达成的全部合同，并取代双方先前与该等交易有关的全部口头和书面合同。</w:t>
      </w:r>
    </w:p>
    <w:p>
      <w:pPr>
        <w:spacing w:line="360" w:lineRule="auto"/>
        <w:ind w:firstLine="378" w:firstLineChars="189"/>
        <w:rPr>
          <w:rFonts w:ascii="宋体" w:hAnsi="宋体" w:cs="宋体"/>
          <w:sz w:val="20"/>
          <w:szCs w:val="20"/>
        </w:rPr>
      </w:pPr>
      <w:r>
        <w:rPr>
          <w:rFonts w:hint="eastAsia" w:ascii="宋体" w:hAnsi="宋体" w:cs="宋体"/>
          <w:sz w:val="20"/>
          <w:szCs w:val="20"/>
        </w:rPr>
        <w:t>17.2如果本合同的任何条款和条件在任何时间成为非法、无效或不可强制执行的，则其他条款不应受其影响。</w:t>
      </w:r>
    </w:p>
    <w:p>
      <w:pPr>
        <w:spacing w:line="360" w:lineRule="auto"/>
        <w:ind w:firstLine="378" w:firstLineChars="189"/>
        <w:rPr>
          <w:rFonts w:ascii="宋体" w:hAnsi="宋体" w:cs="宋体"/>
          <w:sz w:val="20"/>
          <w:szCs w:val="20"/>
        </w:rPr>
      </w:pPr>
      <w:r>
        <w:rPr>
          <w:rFonts w:hint="eastAsia" w:ascii="宋体" w:hAnsi="宋体" w:cs="宋体"/>
          <w:sz w:val="20"/>
          <w:szCs w:val="20"/>
        </w:rPr>
        <w:t>17.3除非另有规定，一方未行使或迟延行使本合同项下的权利、权力或特权并不构成放弃这些权利、权力和特权，而单一或部分行使这些权利、权力和特权并不排斥行使任何其他权利、权力和特权。</w:t>
      </w:r>
    </w:p>
    <w:p>
      <w:pPr>
        <w:spacing w:line="360" w:lineRule="auto"/>
        <w:ind w:firstLine="378" w:firstLineChars="189"/>
        <w:rPr>
          <w:rFonts w:ascii="宋体" w:hAnsi="宋体" w:cs="宋体"/>
          <w:sz w:val="20"/>
          <w:szCs w:val="20"/>
        </w:rPr>
      </w:pPr>
      <w:bookmarkStart w:id="246" w:name="_Toc29136"/>
      <w:bookmarkStart w:id="247" w:name="_Toc19077"/>
      <w:bookmarkStart w:id="248" w:name="_Toc17952"/>
      <w:r>
        <w:rPr>
          <w:rFonts w:hint="eastAsia" w:ascii="宋体" w:hAnsi="宋体" w:cs="宋体"/>
          <w:sz w:val="20"/>
          <w:szCs w:val="20"/>
        </w:rPr>
        <w:t>17.4监造，在合同设备的制造过程中，买方有权派出代表对合同设备制造过程中的关键工序进行质量监督，卖方有配合买方监造的义务。</w:t>
      </w:r>
    </w:p>
    <w:p>
      <w:pPr>
        <w:spacing w:line="360" w:lineRule="auto"/>
        <w:ind w:firstLine="378" w:firstLineChars="189"/>
        <w:rPr>
          <w:rFonts w:ascii="宋体" w:hAnsi="宋体" w:cs="宋体"/>
          <w:sz w:val="20"/>
          <w:szCs w:val="20"/>
        </w:rPr>
      </w:pPr>
      <w:r>
        <w:rPr>
          <w:rFonts w:hint="eastAsia" w:ascii="宋体" w:hAnsi="宋体" w:cs="宋体"/>
          <w:sz w:val="20"/>
          <w:szCs w:val="20"/>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spacing w:line="360" w:lineRule="auto"/>
        <w:ind w:firstLine="378" w:firstLineChars="189"/>
        <w:rPr>
          <w:rFonts w:ascii="宋体" w:hAnsi="宋体" w:cs="宋体"/>
          <w:sz w:val="20"/>
          <w:szCs w:val="20"/>
        </w:rPr>
      </w:pPr>
    </w:p>
    <w:p>
      <w:pPr>
        <w:pStyle w:val="2"/>
        <w:ind w:left="0" w:firstLine="379" w:firstLineChars="189"/>
        <w:jc w:val="both"/>
        <w:rPr>
          <w:rFonts w:ascii="宋体" w:hAnsi="宋体" w:cs="宋体"/>
          <w:sz w:val="20"/>
        </w:rPr>
      </w:pPr>
      <w:bookmarkStart w:id="249" w:name="_Toc31184"/>
      <w:bookmarkStart w:id="250" w:name="_Toc13120"/>
      <w:bookmarkStart w:id="251" w:name="_Toc25122"/>
      <w:r>
        <w:rPr>
          <w:rFonts w:hint="eastAsia" w:ascii="宋体" w:hAnsi="宋体" w:cs="宋体"/>
          <w:sz w:val="20"/>
        </w:rPr>
        <w:t>18 签署事项</w:t>
      </w:r>
      <w:bookmarkEnd w:id="246"/>
      <w:bookmarkEnd w:id="247"/>
      <w:bookmarkEnd w:id="248"/>
      <w:bookmarkEnd w:id="249"/>
      <w:bookmarkEnd w:id="250"/>
      <w:bookmarkEnd w:id="251"/>
    </w:p>
    <w:p>
      <w:pPr>
        <w:spacing w:line="360" w:lineRule="auto"/>
        <w:ind w:firstLine="378" w:firstLineChars="189"/>
        <w:rPr>
          <w:rFonts w:ascii="宋体" w:hAnsi="宋体" w:cs="宋体"/>
          <w:sz w:val="20"/>
          <w:szCs w:val="20"/>
        </w:rPr>
      </w:pPr>
      <w:r>
        <w:rPr>
          <w:rFonts w:hint="eastAsia" w:ascii="宋体" w:hAnsi="宋体" w:cs="宋体"/>
          <w:sz w:val="20"/>
          <w:szCs w:val="20"/>
        </w:rPr>
        <w:t>本合同一式份，买方持份，卖方持份；本合同经双方签署后生效。</w:t>
      </w:r>
    </w:p>
    <w:p>
      <w:pPr>
        <w:spacing w:line="360" w:lineRule="auto"/>
        <w:ind w:firstLine="378" w:firstLineChars="189"/>
        <w:rPr>
          <w:rFonts w:ascii="宋体" w:hAnsi="宋体" w:cs="宋体"/>
          <w:sz w:val="20"/>
          <w:szCs w:val="20"/>
        </w:rPr>
      </w:pPr>
      <w:r>
        <w:rPr>
          <w:rFonts w:hint="eastAsia" w:ascii="宋体" w:hAnsi="宋体" w:cs="宋体"/>
          <w:sz w:val="20"/>
          <w:szCs w:val="20"/>
        </w:rPr>
        <w:t>（以下无正文）</w:t>
      </w:r>
    </w:p>
    <w:p>
      <w:pPr>
        <w:ind w:firstLine="400" w:firstLineChars="200"/>
        <w:rPr>
          <w:rFonts w:ascii="宋体" w:hAnsi="宋体" w:cs="宋体"/>
          <w:sz w:val="20"/>
          <w:szCs w:val="20"/>
        </w:rPr>
      </w:pPr>
    </w:p>
    <w:p>
      <w:pPr>
        <w:rPr>
          <w:rFonts w:ascii="宋体" w:hAnsi="宋体"/>
          <w:snapToGrid w:val="0"/>
          <w:kern w:val="0"/>
          <w:sz w:val="20"/>
          <w:szCs w:val="20"/>
        </w:rPr>
      </w:pPr>
      <w:r>
        <w:rPr>
          <w:rFonts w:hint="eastAsia" w:ascii="宋体" w:hAnsi="宋体"/>
          <w:snapToGrid w:val="0"/>
          <w:kern w:val="0"/>
          <w:sz w:val="20"/>
          <w:szCs w:val="20"/>
        </w:rPr>
        <w:br w:type="page"/>
      </w:r>
    </w:p>
    <w:p>
      <w:pPr>
        <w:widowControl/>
        <w:adjustRightInd w:val="0"/>
        <w:snapToGrid w:val="0"/>
        <w:spacing w:line="360" w:lineRule="auto"/>
        <w:jc w:val="left"/>
        <w:rPr>
          <w:rFonts w:ascii="宋体" w:hAnsi="宋体"/>
          <w:snapToGrid w:val="0"/>
          <w:kern w:val="0"/>
          <w:sz w:val="20"/>
          <w:szCs w:val="20"/>
        </w:rPr>
      </w:pPr>
      <w:r>
        <w:rPr>
          <w:rFonts w:hint="eastAsia" w:ascii="宋体" w:hAnsi="宋体"/>
          <w:snapToGrid w:val="0"/>
          <w:kern w:val="0"/>
          <w:sz w:val="20"/>
          <w:szCs w:val="20"/>
        </w:rPr>
        <w:t>（本页为编号为【】设备采购合同的签署页）</w:t>
      </w:r>
    </w:p>
    <w:p>
      <w:pPr>
        <w:widowControl/>
        <w:adjustRightInd w:val="0"/>
        <w:snapToGrid w:val="0"/>
        <w:spacing w:line="360" w:lineRule="auto"/>
        <w:jc w:val="left"/>
        <w:rPr>
          <w:rFonts w:ascii="宋体" w:hAnsi="宋体"/>
          <w:snapToGrid w:val="0"/>
          <w:kern w:val="0"/>
          <w:sz w:val="20"/>
          <w:szCs w:val="20"/>
        </w:rPr>
      </w:pPr>
      <w:r>
        <w:rPr>
          <w:rFonts w:hint="eastAsia" w:ascii="宋体" w:hAnsi="宋体"/>
          <w:snapToGrid w:val="0"/>
          <w:kern w:val="0"/>
          <w:sz w:val="20"/>
          <w:szCs w:val="20"/>
        </w:rPr>
        <w:t>招标方（盖章）：                               投标方（盖章）：</w:t>
      </w:r>
    </w:p>
    <w:p>
      <w:pPr>
        <w:widowControl/>
        <w:adjustRightInd w:val="0"/>
        <w:snapToGrid w:val="0"/>
        <w:spacing w:line="360" w:lineRule="auto"/>
        <w:jc w:val="left"/>
        <w:rPr>
          <w:rFonts w:ascii="宋体" w:hAnsi="宋体"/>
          <w:snapToGrid w:val="0"/>
          <w:kern w:val="0"/>
          <w:sz w:val="20"/>
          <w:szCs w:val="20"/>
        </w:rPr>
      </w:pPr>
      <w:r>
        <w:rPr>
          <w:rFonts w:ascii="宋体" w:hAnsi="宋体"/>
          <w:snapToGrid w:val="0"/>
          <w:kern w:val="0"/>
          <w:sz w:val="20"/>
          <w:szCs w:val="20"/>
        </w:rPr>
        <w:t>法定代表人或代理人（签字）：          法定代表人或代理人（签字）：</w:t>
      </w:r>
    </w:p>
    <w:p>
      <w:pPr>
        <w:widowControl/>
        <w:adjustRightInd w:val="0"/>
        <w:snapToGrid w:val="0"/>
        <w:spacing w:line="360" w:lineRule="auto"/>
        <w:jc w:val="left"/>
        <w:rPr>
          <w:rFonts w:ascii="宋体" w:hAnsi="宋体"/>
          <w:snapToGrid w:val="0"/>
          <w:kern w:val="0"/>
          <w:sz w:val="20"/>
          <w:szCs w:val="20"/>
        </w:rPr>
      </w:pPr>
      <w:r>
        <w:rPr>
          <w:rFonts w:ascii="宋体" w:hAnsi="宋体"/>
          <w:snapToGrid w:val="0"/>
          <w:kern w:val="0"/>
          <w:sz w:val="20"/>
          <w:szCs w:val="20"/>
        </w:rPr>
        <w:t xml:space="preserve">地  址：                             地  址： </w:t>
      </w:r>
    </w:p>
    <w:p>
      <w:pPr>
        <w:widowControl/>
        <w:adjustRightInd w:val="0"/>
        <w:snapToGrid w:val="0"/>
        <w:spacing w:line="360" w:lineRule="auto"/>
        <w:jc w:val="left"/>
        <w:rPr>
          <w:rFonts w:ascii="宋体" w:hAnsi="宋体"/>
          <w:snapToGrid w:val="0"/>
          <w:kern w:val="0"/>
          <w:sz w:val="20"/>
          <w:szCs w:val="20"/>
        </w:rPr>
      </w:pPr>
      <w:r>
        <w:rPr>
          <w:rFonts w:ascii="宋体" w:hAnsi="宋体"/>
          <w:snapToGrid w:val="0"/>
          <w:kern w:val="0"/>
          <w:sz w:val="20"/>
          <w:szCs w:val="20"/>
        </w:rPr>
        <w:t xml:space="preserve">电话：                                       电话： </w:t>
      </w:r>
    </w:p>
    <w:p>
      <w:pPr>
        <w:widowControl/>
        <w:adjustRightInd w:val="0"/>
        <w:snapToGrid w:val="0"/>
        <w:spacing w:line="360" w:lineRule="auto"/>
        <w:jc w:val="left"/>
        <w:rPr>
          <w:rFonts w:ascii="宋体" w:hAnsi="宋体"/>
          <w:snapToGrid w:val="0"/>
          <w:kern w:val="0"/>
          <w:sz w:val="20"/>
          <w:szCs w:val="20"/>
        </w:rPr>
      </w:pPr>
      <w:r>
        <w:rPr>
          <w:rFonts w:ascii="宋体" w:hAnsi="宋体"/>
          <w:snapToGrid w:val="0"/>
          <w:kern w:val="0"/>
          <w:sz w:val="20"/>
          <w:szCs w:val="20"/>
        </w:rPr>
        <w:t xml:space="preserve">传真：                                       传真： </w:t>
      </w:r>
    </w:p>
    <w:p>
      <w:pPr>
        <w:widowControl/>
        <w:adjustRightInd w:val="0"/>
        <w:snapToGrid w:val="0"/>
        <w:spacing w:line="360" w:lineRule="auto"/>
        <w:jc w:val="left"/>
        <w:rPr>
          <w:rFonts w:ascii="宋体" w:hAnsi="宋体"/>
          <w:snapToGrid w:val="0"/>
          <w:kern w:val="0"/>
          <w:sz w:val="20"/>
          <w:szCs w:val="20"/>
        </w:rPr>
      </w:pPr>
      <w:r>
        <w:rPr>
          <w:rFonts w:ascii="宋体" w:hAnsi="宋体"/>
          <w:snapToGrid w:val="0"/>
          <w:kern w:val="0"/>
          <w:sz w:val="20"/>
          <w:szCs w:val="20"/>
        </w:rPr>
        <w:t xml:space="preserve">开户银行：                           开户银行：   </w:t>
      </w:r>
    </w:p>
    <w:p>
      <w:pPr>
        <w:widowControl/>
        <w:adjustRightInd w:val="0"/>
        <w:snapToGrid w:val="0"/>
        <w:spacing w:line="360" w:lineRule="auto"/>
        <w:jc w:val="left"/>
        <w:rPr>
          <w:rFonts w:ascii="宋体" w:hAnsi="宋体"/>
          <w:snapToGrid w:val="0"/>
          <w:kern w:val="0"/>
          <w:sz w:val="20"/>
          <w:szCs w:val="20"/>
        </w:rPr>
      </w:pPr>
      <w:r>
        <w:rPr>
          <w:rFonts w:ascii="宋体" w:hAnsi="宋体"/>
          <w:snapToGrid w:val="0"/>
          <w:kern w:val="0"/>
          <w:sz w:val="20"/>
          <w:szCs w:val="20"/>
        </w:rPr>
        <w:t xml:space="preserve">账  号：                             账 号： </w:t>
      </w:r>
    </w:p>
    <w:p/>
    <w:p>
      <w:pPr>
        <w:pStyle w:val="2"/>
        <w:ind w:left="0"/>
        <w:jc w:val="both"/>
      </w:pPr>
    </w:p>
    <w:p>
      <w:pPr>
        <w:pStyle w:val="2"/>
        <w:ind w:left="0"/>
        <w:jc w:val="both"/>
        <w:rPr>
          <w:sz w:val="24"/>
          <w:szCs w:val="24"/>
        </w:rPr>
      </w:pPr>
    </w:p>
    <w:p>
      <w:pPr>
        <w:pStyle w:val="2"/>
        <w:ind w:left="0"/>
        <w:jc w:val="both"/>
        <w:rPr>
          <w:sz w:val="24"/>
          <w:szCs w:val="24"/>
        </w:rPr>
      </w:pPr>
    </w:p>
    <w:p>
      <w:pPr>
        <w:pStyle w:val="2"/>
        <w:ind w:left="0"/>
        <w:jc w:val="both"/>
        <w:rPr>
          <w:sz w:val="24"/>
          <w:szCs w:val="24"/>
        </w:rPr>
      </w:pPr>
    </w:p>
    <w:p>
      <w:pPr>
        <w:pStyle w:val="2"/>
        <w:ind w:left="0"/>
        <w:jc w:val="both"/>
        <w:rPr>
          <w:sz w:val="24"/>
          <w:szCs w:val="24"/>
        </w:rPr>
      </w:pPr>
    </w:p>
    <w:p>
      <w:pPr>
        <w:pStyle w:val="2"/>
        <w:ind w:left="0"/>
        <w:jc w:val="both"/>
        <w:rPr>
          <w:sz w:val="24"/>
          <w:szCs w:val="24"/>
        </w:rPr>
      </w:pPr>
    </w:p>
    <w:p>
      <w:pPr>
        <w:pStyle w:val="2"/>
        <w:ind w:left="0"/>
        <w:jc w:val="both"/>
        <w:rPr>
          <w:sz w:val="24"/>
          <w:szCs w:val="24"/>
        </w:rPr>
      </w:pPr>
    </w:p>
    <w:p>
      <w:pPr>
        <w:pStyle w:val="2"/>
        <w:ind w:left="0"/>
        <w:jc w:val="both"/>
        <w:rPr>
          <w:sz w:val="24"/>
          <w:szCs w:val="24"/>
        </w:rPr>
      </w:pPr>
    </w:p>
    <w:p>
      <w:pPr>
        <w:pStyle w:val="2"/>
        <w:ind w:left="0"/>
        <w:jc w:val="both"/>
        <w:rPr>
          <w:sz w:val="24"/>
          <w:szCs w:val="24"/>
        </w:rPr>
      </w:pPr>
    </w:p>
    <w:p>
      <w:pPr>
        <w:pStyle w:val="2"/>
        <w:ind w:left="0"/>
        <w:jc w:val="both"/>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br w:type="page"/>
      </w:r>
    </w:p>
    <w:p>
      <w:pPr>
        <w:pStyle w:val="2"/>
        <w:ind w:left="0"/>
        <w:jc w:val="both"/>
        <w:rPr>
          <w:rFonts w:ascii="宋体" w:hAnsi="宋体" w:cs="宋体"/>
          <w:sz w:val="20"/>
        </w:rPr>
      </w:pPr>
      <w:bookmarkStart w:id="252" w:name="_Toc13336"/>
      <w:bookmarkStart w:id="253" w:name="_Toc23538"/>
      <w:bookmarkStart w:id="254" w:name="_Toc777"/>
      <w:r>
        <w:rPr>
          <w:rFonts w:hint="eastAsia" w:ascii="宋体" w:hAnsi="宋体" w:cs="宋体"/>
          <w:sz w:val="20"/>
        </w:rPr>
        <w:t>附件一：设备清单明细表</w:t>
      </w:r>
      <w:bookmarkEnd w:id="252"/>
      <w:bookmarkEnd w:id="253"/>
      <w:bookmarkEnd w:id="254"/>
    </w:p>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541"/>
        <w:gridCol w:w="2126"/>
        <w:gridCol w:w="748"/>
        <w:gridCol w:w="812"/>
        <w:gridCol w:w="708"/>
        <w:gridCol w:w="708"/>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89" w:type="dxa"/>
            <w:vAlign w:val="center"/>
          </w:tcPr>
          <w:p>
            <w:pPr>
              <w:pStyle w:val="57"/>
              <w:ind w:left="402" w:hanging="402"/>
              <w:jc w:val="center"/>
              <w:rPr>
                <w:rFonts w:ascii="宋体" w:hAnsi="宋体" w:cs="宋体"/>
                <w:b/>
                <w:sz w:val="20"/>
                <w:szCs w:val="20"/>
              </w:rPr>
            </w:pPr>
            <w:r>
              <w:rPr>
                <w:rFonts w:hint="eastAsia" w:ascii="宋体" w:hAnsi="宋体" w:cs="宋体"/>
                <w:b/>
                <w:sz w:val="20"/>
                <w:szCs w:val="20"/>
              </w:rPr>
              <w:t>序号</w:t>
            </w:r>
          </w:p>
        </w:tc>
        <w:tc>
          <w:tcPr>
            <w:tcW w:w="1541" w:type="dxa"/>
            <w:vAlign w:val="center"/>
          </w:tcPr>
          <w:p>
            <w:pPr>
              <w:pStyle w:val="57"/>
              <w:ind w:left="402" w:hanging="402"/>
              <w:jc w:val="left"/>
              <w:rPr>
                <w:rFonts w:ascii="宋体" w:hAnsi="宋体" w:cs="宋体"/>
                <w:b/>
                <w:sz w:val="20"/>
                <w:szCs w:val="20"/>
              </w:rPr>
            </w:pPr>
            <w:r>
              <w:rPr>
                <w:rFonts w:hint="eastAsia" w:ascii="宋体" w:hAnsi="宋体" w:cs="宋体"/>
                <w:b/>
                <w:sz w:val="20"/>
                <w:szCs w:val="20"/>
              </w:rPr>
              <w:t>产品及部件名称</w:t>
            </w:r>
          </w:p>
        </w:tc>
        <w:tc>
          <w:tcPr>
            <w:tcW w:w="2126" w:type="dxa"/>
            <w:vAlign w:val="center"/>
          </w:tcPr>
          <w:p>
            <w:pPr>
              <w:pStyle w:val="57"/>
              <w:ind w:left="402" w:hanging="402"/>
              <w:jc w:val="center"/>
              <w:rPr>
                <w:rFonts w:ascii="宋体" w:hAnsi="宋体" w:cs="宋体"/>
                <w:b/>
                <w:sz w:val="20"/>
                <w:szCs w:val="20"/>
              </w:rPr>
            </w:pPr>
            <w:r>
              <w:rPr>
                <w:rFonts w:hint="eastAsia" w:ascii="宋体" w:hAnsi="宋体" w:cs="宋体"/>
                <w:b/>
                <w:sz w:val="20"/>
                <w:szCs w:val="20"/>
              </w:rPr>
              <w:t>规格型号及</w:t>
            </w:r>
          </w:p>
          <w:p>
            <w:pPr>
              <w:pStyle w:val="57"/>
              <w:ind w:left="402" w:hanging="402"/>
              <w:jc w:val="center"/>
              <w:rPr>
                <w:rFonts w:ascii="宋体" w:hAnsi="宋体" w:cs="宋体"/>
                <w:b/>
                <w:sz w:val="20"/>
                <w:szCs w:val="20"/>
              </w:rPr>
            </w:pPr>
            <w:r>
              <w:rPr>
                <w:rFonts w:hint="eastAsia" w:ascii="宋体" w:hAnsi="宋体" w:cs="宋体"/>
                <w:b/>
                <w:sz w:val="20"/>
                <w:szCs w:val="20"/>
              </w:rPr>
              <w:t>技术参数</w:t>
            </w:r>
          </w:p>
        </w:tc>
        <w:tc>
          <w:tcPr>
            <w:tcW w:w="748" w:type="dxa"/>
            <w:vAlign w:val="center"/>
          </w:tcPr>
          <w:p>
            <w:pPr>
              <w:pStyle w:val="57"/>
              <w:ind w:left="402" w:hanging="402"/>
              <w:jc w:val="center"/>
              <w:rPr>
                <w:rFonts w:ascii="宋体" w:hAnsi="宋体" w:cs="宋体"/>
                <w:b/>
                <w:sz w:val="20"/>
                <w:szCs w:val="20"/>
              </w:rPr>
            </w:pPr>
            <w:r>
              <w:rPr>
                <w:rFonts w:hint="eastAsia" w:ascii="宋体" w:hAnsi="宋体" w:cs="宋体"/>
                <w:b/>
                <w:sz w:val="20"/>
                <w:szCs w:val="20"/>
              </w:rPr>
              <w:t>单位</w:t>
            </w:r>
          </w:p>
        </w:tc>
        <w:tc>
          <w:tcPr>
            <w:tcW w:w="812" w:type="dxa"/>
            <w:vAlign w:val="center"/>
          </w:tcPr>
          <w:p>
            <w:pPr>
              <w:pStyle w:val="57"/>
              <w:ind w:left="402" w:hanging="402"/>
              <w:jc w:val="center"/>
              <w:rPr>
                <w:rFonts w:ascii="宋体" w:hAnsi="宋体" w:cs="宋体"/>
                <w:b/>
                <w:sz w:val="20"/>
                <w:szCs w:val="20"/>
              </w:rPr>
            </w:pPr>
            <w:r>
              <w:rPr>
                <w:rFonts w:hint="eastAsia" w:ascii="宋体" w:hAnsi="宋体" w:cs="宋体"/>
                <w:b/>
                <w:sz w:val="20"/>
                <w:szCs w:val="20"/>
              </w:rPr>
              <w:t>数量</w:t>
            </w:r>
          </w:p>
        </w:tc>
        <w:tc>
          <w:tcPr>
            <w:tcW w:w="708" w:type="dxa"/>
            <w:vAlign w:val="center"/>
          </w:tcPr>
          <w:p>
            <w:pPr>
              <w:pStyle w:val="57"/>
              <w:ind w:left="402" w:hanging="402"/>
              <w:jc w:val="center"/>
              <w:rPr>
                <w:rFonts w:ascii="宋体" w:hAnsi="宋体" w:cs="宋体"/>
                <w:b/>
                <w:sz w:val="20"/>
                <w:szCs w:val="20"/>
              </w:rPr>
            </w:pPr>
            <w:r>
              <w:rPr>
                <w:rFonts w:hint="eastAsia" w:ascii="宋体" w:hAnsi="宋体" w:cs="宋体"/>
                <w:b/>
                <w:sz w:val="20"/>
                <w:szCs w:val="20"/>
              </w:rPr>
              <w:t>单价</w:t>
            </w:r>
          </w:p>
        </w:tc>
        <w:tc>
          <w:tcPr>
            <w:tcW w:w="708" w:type="dxa"/>
            <w:vAlign w:val="center"/>
          </w:tcPr>
          <w:p>
            <w:pPr>
              <w:pStyle w:val="57"/>
              <w:ind w:left="402" w:hanging="402"/>
              <w:jc w:val="center"/>
              <w:rPr>
                <w:rFonts w:ascii="宋体" w:hAnsi="宋体" w:cs="宋体"/>
                <w:b/>
                <w:sz w:val="20"/>
                <w:szCs w:val="20"/>
              </w:rPr>
            </w:pPr>
            <w:r>
              <w:rPr>
                <w:rFonts w:hint="eastAsia" w:ascii="宋体" w:hAnsi="宋体" w:cs="宋体"/>
                <w:b/>
                <w:sz w:val="20"/>
                <w:szCs w:val="20"/>
              </w:rPr>
              <w:t>总价</w:t>
            </w:r>
          </w:p>
        </w:tc>
        <w:tc>
          <w:tcPr>
            <w:tcW w:w="708" w:type="dxa"/>
            <w:vAlign w:val="center"/>
          </w:tcPr>
          <w:p>
            <w:pPr>
              <w:pStyle w:val="57"/>
              <w:ind w:left="402" w:hanging="402"/>
              <w:jc w:val="center"/>
              <w:rPr>
                <w:rFonts w:ascii="宋体" w:hAnsi="宋体" w:cs="宋体"/>
                <w:b/>
                <w:sz w:val="20"/>
                <w:szCs w:val="20"/>
              </w:rPr>
            </w:pPr>
            <w:r>
              <w:rPr>
                <w:rFonts w:hint="eastAsia" w:ascii="宋体" w:hAnsi="宋体" w:cs="宋体"/>
                <w:b/>
                <w:sz w:val="20"/>
                <w:szCs w:val="20"/>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57"/>
              <w:ind w:left="400" w:hanging="400"/>
              <w:jc w:val="center"/>
              <w:rPr>
                <w:rFonts w:ascii="宋体" w:hAnsi="宋体" w:cs="宋体"/>
                <w:sz w:val="20"/>
                <w:szCs w:val="20"/>
              </w:rPr>
            </w:pPr>
            <w:r>
              <w:rPr>
                <w:rFonts w:hint="eastAsia" w:ascii="宋体" w:hAnsi="宋体" w:cs="宋体"/>
                <w:sz w:val="20"/>
                <w:szCs w:val="20"/>
              </w:rPr>
              <w:t>1</w:t>
            </w:r>
          </w:p>
        </w:tc>
        <w:tc>
          <w:tcPr>
            <w:tcW w:w="1541" w:type="dxa"/>
            <w:vAlign w:val="center"/>
          </w:tcPr>
          <w:p>
            <w:pPr>
              <w:pStyle w:val="57"/>
              <w:ind w:left="400" w:hanging="400"/>
              <w:jc w:val="center"/>
              <w:rPr>
                <w:rFonts w:ascii="宋体" w:hAnsi="宋体" w:cs="宋体"/>
                <w:sz w:val="20"/>
                <w:szCs w:val="20"/>
              </w:rPr>
            </w:pPr>
          </w:p>
        </w:tc>
        <w:tc>
          <w:tcPr>
            <w:tcW w:w="2126" w:type="dxa"/>
            <w:vAlign w:val="center"/>
          </w:tcPr>
          <w:p>
            <w:pPr>
              <w:pStyle w:val="57"/>
              <w:ind w:left="400" w:hanging="400"/>
              <w:jc w:val="center"/>
              <w:rPr>
                <w:rFonts w:ascii="宋体" w:hAnsi="宋体" w:cs="宋体"/>
                <w:sz w:val="20"/>
                <w:szCs w:val="20"/>
              </w:rPr>
            </w:pPr>
          </w:p>
        </w:tc>
        <w:tc>
          <w:tcPr>
            <w:tcW w:w="748" w:type="dxa"/>
            <w:vAlign w:val="center"/>
          </w:tcPr>
          <w:p>
            <w:pPr>
              <w:pStyle w:val="57"/>
              <w:ind w:left="400" w:hanging="400"/>
              <w:jc w:val="center"/>
              <w:rPr>
                <w:rFonts w:ascii="宋体" w:hAnsi="宋体" w:cs="宋体"/>
                <w:sz w:val="20"/>
                <w:szCs w:val="20"/>
              </w:rPr>
            </w:pPr>
          </w:p>
        </w:tc>
        <w:tc>
          <w:tcPr>
            <w:tcW w:w="812"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57"/>
              <w:ind w:left="400" w:hanging="400"/>
              <w:jc w:val="center"/>
              <w:rPr>
                <w:rFonts w:ascii="宋体" w:hAnsi="宋体" w:cs="宋体"/>
                <w:sz w:val="20"/>
                <w:szCs w:val="20"/>
              </w:rPr>
            </w:pPr>
            <w:r>
              <w:rPr>
                <w:rFonts w:hint="eastAsia" w:ascii="宋体" w:hAnsi="宋体" w:cs="宋体"/>
                <w:sz w:val="20"/>
                <w:szCs w:val="20"/>
              </w:rPr>
              <w:t>2</w:t>
            </w:r>
          </w:p>
        </w:tc>
        <w:tc>
          <w:tcPr>
            <w:tcW w:w="1541" w:type="dxa"/>
            <w:vAlign w:val="center"/>
          </w:tcPr>
          <w:p>
            <w:pPr>
              <w:pStyle w:val="57"/>
              <w:ind w:left="400" w:hanging="400"/>
              <w:jc w:val="center"/>
              <w:rPr>
                <w:rFonts w:ascii="宋体" w:hAnsi="宋体" w:cs="宋体"/>
                <w:sz w:val="20"/>
                <w:szCs w:val="20"/>
              </w:rPr>
            </w:pPr>
          </w:p>
        </w:tc>
        <w:tc>
          <w:tcPr>
            <w:tcW w:w="2126" w:type="dxa"/>
            <w:vAlign w:val="center"/>
          </w:tcPr>
          <w:p>
            <w:pPr>
              <w:pStyle w:val="57"/>
              <w:ind w:left="400" w:hanging="400"/>
              <w:jc w:val="center"/>
              <w:rPr>
                <w:rFonts w:ascii="宋体" w:hAnsi="宋体" w:cs="宋体"/>
                <w:sz w:val="20"/>
                <w:szCs w:val="20"/>
              </w:rPr>
            </w:pPr>
          </w:p>
        </w:tc>
        <w:tc>
          <w:tcPr>
            <w:tcW w:w="748" w:type="dxa"/>
            <w:vAlign w:val="center"/>
          </w:tcPr>
          <w:p>
            <w:pPr>
              <w:pStyle w:val="57"/>
              <w:ind w:left="400" w:hanging="400"/>
              <w:jc w:val="center"/>
              <w:rPr>
                <w:rFonts w:ascii="宋体" w:hAnsi="宋体" w:cs="宋体"/>
                <w:sz w:val="20"/>
                <w:szCs w:val="20"/>
              </w:rPr>
            </w:pPr>
          </w:p>
        </w:tc>
        <w:tc>
          <w:tcPr>
            <w:tcW w:w="812"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57"/>
              <w:ind w:left="400" w:hanging="400"/>
              <w:jc w:val="center"/>
              <w:rPr>
                <w:rFonts w:ascii="宋体" w:hAnsi="宋体" w:cs="宋体"/>
                <w:sz w:val="20"/>
                <w:szCs w:val="20"/>
              </w:rPr>
            </w:pPr>
            <w:r>
              <w:rPr>
                <w:rFonts w:hint="eastAsia" w:ascii="宋体" w:hAnsi="宋体" w:cs="宋体"/>
                <w:sz w:val="20"/>
                <w:szCs w:val="20"/>
              </w:rPr>
              <w:t>…</w:t>
            </w:r>
          </w:p>
        </w:tc>
        <w:tc>
          <w:tcPr>
            <w:tcW w:w="1541" w:type="dxa"/>
            <w:vAlign w:val="center"/>
          </w:tcPr>
          <w:p>
            <w:pPr>
              <w:pStyle w:val="57"/>
              <w:ind w:left="400" w:hanging="400"/>
              <w:jc w:val="center"/>
              <w:rPr>
                <w:rFonts w:ascii="宋体" w:hAnsi="宋体" w:cs="宋体"/>
                <w:sz w:val="20"/>
                <w:szCs w:val="20"/>
              </w:rPr>
            </w:pPr>
          </w:p>
        </w:tc>
        <w:tc>
          <w:tcPr>
            <w:tcW w:w="2126" w:type="dxa"/>
            <w:vAlign w:val="center"/>
          </w:tcPr>
          <w:p>
            <w:pPr>
              <w:pStyle w:val="57"/>
              <w:ind w:left="400" w:hanging="400"/>
              <w:jc w:val="center"/>
              <w:rPr>
                <w:rFonts w:ascii="宋体" w:hAnsi="宋体" w:cs="宋体"/>
                <w:sz w:val="20"/>
                <w:szCs w:val="20"/>
              </w:rPr>
            </w:pPr>
          </w:p>
        </w:tc>
        <w:tc>
          <w:tcPr>
            <w:tcW w:w="748" w:type="dxa"/>
            <w:vAlign w:val="center"/>
          </w:tcPr>
          <w:p>
            <w:pPr>
              <w:pStyle w:val="57"/>
              <w:ind w:left="400" w:hanging="400"/>
              <w:jc w:val="center"/>
              <w:rPr>
                <w:rFonts w:ascii="宋体" w:hAnsi="宋体" w:cs="宋体"/>
                <w:sz w:val="20"/>
                <w:szCs w:val="20"/>
              </w:rPr>
            </w:pPr>
          </w:p>
        </w:tc>
        <w:tc>
          <w:tcPr>
            <w:tcW w:w="812"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c>
          <w:tcPr>
            <w:tcW w:w="708" w:type="dxa"/>
            <w:vAlign w:val="center"/>
          </w:tcPr>
          <w:p>
            <w:pPr>
              <w:pStyle w:val="57"/>
              <w:ind w:left="400" w:hanging="400"/>
              <w:jc w:val="center"/>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89" w:type="dxa"/>
            <w:vAlign w:val="center"/>
          </w:tcPr>
          <w:p>
            <w:pPr>
              <w:pStyle w:val="57"/>
              <w:ind w:left="400" w:hanging="400"/>
              <w:jc w:val="center"/>
              <w:rPr>
                <w:rFonts w:ascii="宋体" w:hAnsi="宋体" w:cs="宋体"/>
                <w:sz w:val="20"/>
                <w:szCs w:val="20"/>
              </w:rPr>
            </w:pPr>
            <w:r>
              <w:rPr>
                <w:rFonts w:hint="eastAsia" w:ascii="宋体" w:hAnsi="宋体" w:cs="宋体"/>
                <w:sz w:val="20"/>
                <w:szCs w:val="20"/>
              </w:rPr>
              <w:t>合计</w:t>
            </w:r>
          </w:p>
        </w:tc>
        <w:tc>
          <w:tcPr>
            <w:tcW w:w="1541" w:type="dxa"/>
            <w:vAlign w:val="center"/>
          </w:tcPr>
          <w:p>
            <w:pPr>
              <w:pStyle w:val="57"/>
              <w:ind w:left="400" w:hanging="400"/>
              <w:jc w:val="center"/>
              <w:rPr>
                <w:rFonts w:ascii="宋体" w:hAnsi="宋体" w:cs="宋体"/>
                <w:sz w:val="20"/>
                <w:szCs w:val="20"/>
              </w:rPr>
            </w:pPr>
          </w:p>
        </w:tc>
        <w:tc>
          <w:tcPr>
            <w:tcW w:w="2126" w:type="dxa"/>
            <w:vAlign w:val="center"/>
          </w:tcPr>
          <w:p>
            <w:pPr>
              <w:pStyle w:val="57"/>
              <w:ind w:left="400" w:hanging="400"/>
              <w:jc w:val="center"/>
              <w:rPr>
                <w:rFonts w:ascii="宋体" w:hAnsi="宋体" w:cs="宋体"/>
                <w:sz w:val="20"/>
                <w:szCs w:val="20"/>
              </w:rPr>
            </w:pPr>
          </w:p>
        </w:tc>
        <w:tc>
          <w:tcPr>
            <w:tcW w:w="748" w:type="dxa"/>
            <w:vAlign w:val="center"/>
          </w:tcPr>
          <w:p>
            <w:pPr>
              <w:pStyle w:val="57"/>
              <w:ind w:left="400" w:hanging="400"/>
              <w:jc w:val="center"/>
              <w:rPr>
                <w:rFonts w:ascii="宋体" w:hAnsi="宋体" w:cs="宋体"/>
                <w:sz w:val="20"/>
                <w:szCs w:val="20"/>
              </w:rPr>
            </w:pPr>
          </w:p>
        </w:tc>
        <w:tc>
          <w:tcPr>
            <w:tcW w:w="812" w:type="dxa"/>
            <w:vAlign w:val="center"/>
          </w:tcPr>
          <w:p>
            <w:pPr>
              <w:pStyle w:val="57"/>
              <w:ind w:left="400" w:hanging="400"/>
              <w:jc w:val="center"/>
              <w:rPr>
                <w:rFonts w:ascii="宋体" w:hAnsi="宋体" w:cs="宋体"/>
                <w:sz w:val="20"/>
                <w:szCs w:val="20"/>
              </w:rPr>
            </w:pPr>
          </w:p>
        </w:tc>
        <w:tc>
          <w:tcPr>
            <w:tcW w:w="708" w:type="dxa"/>
            <w:vAlign w:val="center"/>
          </w:tcPr>
          <w:p>
            <w:pPr>
              <w:jc w:val="center"/>
              <w:rPr>
                <w:rFonts w:ascii="宋体" w:hAnsi="宋体" w:cs="宋体"/>
                <w:sz w:val="20"/>
                <w:szCs w:val="20"/>
              </w:rPr>
            </w:pPr>
          </w:p>
        </w:tc>
        <w:tc>
          <w:tcPr>
            <w:tcW w:w="708" w:type="dxa"/>
            <w:vAlign w:val="center"/>
          </w:tcPr>
          <w:p>
            <w:pPr>
              <w:jc w:val="center"/>
              <w:rPr>
                <w:rFonts w:ascii="宋体" w:hAnsi="宋体" w:cs="宋体"/>
                <w:sz w:val="20"/>
                <w:szCs w:val="20"/>
              </w:rPr>
            </w:pPr>
          </w:p>
        </w:tc>
        <w:tc>
          <w:tcPr>
            <w:tcW w:w="708" w:type="dxa"/>
            <w:vAlign w:val="center"/>
          </w:tcPr>
          <w:p>
            <w:pPr>
              <w:jc w:val="center"/>
              <w:rPr>
                <w:rFonts w:ascii="宋体" w:hAnsi="宋体" w:cs="宋体"/>
                <w:sz w:val="20"/>
                <w:szCs w:val="20"/>
              </w:rPr>
            </w:pPr>
          </w:p>
        </w:tc>
      </w:tr>
    </w:tbl>
    <w:p>
      <w:pPr>
        <w:pStyle w:val="2"/>
        <w:ind w:left="0"/>
        <w:jc w:val="both"/>
        <w:rPr>
          <w:rFonts w:ascii="宋体" w:hAnsi="宋体" w:cs="宋体"/>
          <w:sz w:val="20"/>
        </w:rPr>
      </w:pPr>
    </w:p>
    <w:p>
      <w:pPr>
        <w:pStyle w:val="2"/>
        <w:ind w:left="0"/>
        <w:jc w:val="both"/>
        <w:rPr>
          <w:rFonts w:ascii="宋体" w:hAnsi="宋体" w:cs="宋体"/>
          <w:b w:val="0"/>
          <w:bCs/>
          <w:i/>
          <w:iCs w:val="0"/>
          <w:sz w:val="20"/>
        </w:rPr>
      </w:pPr>
      <w:bookmarkStart w:id="255" w:name="_Toc25384"/>
      <w:bookmarkStart w:id="256" w:name="_Toc9330"/>
      <w:bookmarkStart w:id="257" w:name="_Toc23742"/>
      <w:r>
        <w:rPr>
          <w:rFonts w:hint="eastAsia" w:ascii="宋体" w:hAnsi="宋体" w:cs="宋体"/>
          <w:sz w:val="20"/>
        </w:rPr>
        <w:t>附件二 技术协议书</w:t>
      </w:r>
      <w:bookmarkEnd w:id="255"/>
      <w:bookmarkEnd w:id="256"/>
      <w:bookmarkEnd w:id="257"/>
    </w:p>
    <w:p>
      <w:pPr>
        <w:jc w:val="center"/>
        <w:rPr>
          <w:rFonts w:ascii="宋体" w:hAnsi="宋体"/>
          <w:b/>
          <w:iCs/>
          <w:sz w:val="36"/>
          <w:szCs w:val="36"/>
        </w:rPr>
      </w:pPr>
      <w:r>
        <w:rPr>
          <w:rFonts w:hint="eastAsia" w:ascii="宋体" w:hAnsi="宋体" w:cs="宋体"/>
          <w:sz w:val="20"/>
          <w:szCs w:val="20"/>
        </w:rPr>
        <w:br w:type="page"/>
      </w:r>
      <w:bookmarkEnd w:id="136"/>
      <w:bookmarkStart w:id="258" w:name="_Toc10722"/>
      <w:bookmarkStart w:id="259" w:name="_Toc1573"/>
      <w:r>
        <w:rPr>
          <w:rStyle w:val="328"/>
          <w:rFonts w:hint="eastAsia"/>
        </w:rPr>
        <w:t>第六章附件</w:t>
      </w:r>
      <w:bookmarkEnd w:id="258"/>
      <w:bookmarkEnd w:id="259"/>
    </w:p>
    <w:p>
      <w:pPr>
        <w:pStyle w:val="62"/>
        <w:ind w:right="210"/>
        <w:rPr>
          <w:rFonts w:ascii="宋体" w:hAnsi="宋体"/>
        </w:rPr>
      </w:pPr>
    </w:p>
    <w:p>
      <w:pPr>
        <w:pStyle w:val="62"/>
        <w:ind w:right="210"/>
        <w:rPr>
          <w:rFonts w:ascii="宋体" w:hAnsi="宋体"/>
        </w:rPr>
      </w:pPr>
      <w:r>
        <w:rPr>
          <w:rFonts w:hint="eastAsia" w:ascii="宋体" w:hAnsi="宋体"/>
        </w:rPr>
        <w:t>说明：</w:t>
      </w:r>
    </w:p>
    <w:p>
      <w:pPr>
        <w:spacing w:line="560" w:lineRule="exact"/>
        <w:ind w:firstLine="480" w:firstLineChars="200"/>
        <w:rPr>
          <w:rFonts w:ascii="宋体" w:hAnsi="宋体"/>
          <w:sz w:val="24"/>
        </w:rPr>
      </w:pPr>
      <w:r>
        <w:rPr>
          <w:rFonts w:hint="eastAsia" w:ascii="宋体" w:hAnsi="宋体"/>
          <w:sz w:val="24"/>
        </w:rPr>
        <w:t>1、投标方须认真填写和提交本部分中的附件文件；</w:t>
      </w:r>
    </w:p>
    <w:p>
      <w:pPr>
        <w:spacing w:line="560" w:lineRule="exact"/>
        <w:ind w:firstLine="480" w:firstLineChars="200"/>
        <w:rPr>
          <w:rFonts w:ascii="宋体" w:hAnsi="宋体"/>
          <w:sz w:val="24"/>
        </w:rPr>
      </w:pPr>
      <w:r>
        <w:rPr>
          <w:rFonts w:hint="eastAsia" w:ascii="宋体" w:hAnsi="宋体"/>
          <w:sz w:val="24"/>
        </w:rPr>
        <w:t>2、对附件文件中所要求的内容应给予明确的答复；</w:t>
      </w:r>
    </w:p>
    <w:p>
      <w:pPr>
        <w:spacing w:line="560" w:lineRule="exact"/>
        <w:ind w:firstLine="480" w:firstLineChars="200"/>
        <w:rPr>
          <w:rFonts w:ascii="宋体" w:hAnsi="宋体"/>
          <w:sz w:val="24"/>
        </w:rPr>
      </w:pPr>
      <w:r>
        <w:rPr>
          <w:rFonts w:hint="eastAsia" w:ascii="宋体" w:hAnsi="宋体"/>
          <w:sz w:val="24"/>
        </w:rPr>
        <w:t>3、附件文件的签字人应保证其对一切问题的答复、所做的声明及出具的资格资质文件、资料等具有真实性和准确性；</w:t>
      </w:r>
    </w:p>
    <w:p>
      <w:pPr>
        <w:spacing w:line="560" w:lineRule="exact"/>
        <w:ind w:firstLine="480" w:firstLineChars="200"/>
        <w:rPr>
          <w:rFonts w:ascii="宋体" w:hAnsi="宋体"/>
          <w:sz w:val="24"/>
        </w:rPr>
      </w:pPr>
      <w:r>
        <w:rPr>
          <w:rFonts w:hint="eastAsia" w:ascii="宋体" w:hAnsi="宋体"/>
          <w:sz w:val="24"/>
        </w:rPr>
        <w:t>4、招标方将对投标方提交的文件、资料等内容予以保密，但不退还；</w:t>
      </w:r>
    </w:p>
    <w:p>
      <w:pPr>
        <w:spacing w:line="560" w:lineRule="exact"/>
        <w:ind w:firstLine="480" w:firstLineChars="200"/>
        <w:rPr>
          <w:rFonts w:ascii="宋体" w:hAnsi="宋体"/>
          <w:sz w:val="24"/>
        </w:rPr>
      </w:pPr>
      <w:r>
        <w:rPr>
          <w:rFonts w:hint="eastAsia" w:ascii="宋体" w:hAnsi="宋体"/>
          <w:sz w:val="24"/>
        </w:rPr>
        <w:t>5、所有附件文件应以中文书写，作为投标文件的组成部分。</w:t>
      </w:r>
    </w:p>
    <w:p/>
    <w:p/>
    <w:p/>
    <w:p>
      <w:pPr>
        <w:pStyle w:val="4"/>
        <w:spacing w:before="120" w:after="120" w:line="560" w:lineRule="exact"/>
        <w:rPr>
          <w:rFonts w:ascii="宋体" w:hAnsi="宋体" w:cs="宋体"/>
          <w:b w:val="0"/>
          <w:bCs w:val="0"/>
          <w:sz w:val="24"/>
          <w:szCs w:val="24"/>
        </w:rPr>
        <w:sectPr>
          <w:footerReference r:id="rId7" w:type="default"/>
          <w:pgSz w:w="11907" w:h="16840"/>
          <w:pgMar w:top="1702" w:right="1418" w:bottom="1418" w:left="1418" w:header="851" w:footer="822" w:gutter="0"/>
          <w:cols w:space="720" w:num="1"/>
          <w:docGrid w:linePitch="290" w:charSpace="-3931"/>
        </w:sectPr>
      </w:pPr>
    </w:p>
    <w:p>
      <w:pPr>
        <w:pStyle w:val="4"/>
        <w:spacing w:before="120" w:after="120" w:line="560" w:lineRule="exact"/>
        <w:rPr>
          <w:rFonts w:ascii="宋体" w:hAnsi="宋体" w:cs="宋体"/>
          <w:b w:val="0"/>
          <w:bCs w:val="0"/>
          <w:sz w:val="24"/>
          <w:szCs w:val="24"/>
        </w:rPr>
      </w:pPr>
      <w:bookmarkStart w:id="260" w:name="_Toc24165"/>
      <w:bookmarkStart w:id="261" w:name="_Toc21339"/>
      <w:bookmarkStart w:id="262" w:name="_Toc22650"/>
      <w:r>
        <w:rPr>
          <w:rFonts w:hint="eastAsia" w:ascii="宋体" w:hAnsi="宋体" w:cs="宋体"/>
          <w:b w:val="0"/>
          <w:bCs w:val="0"/>
          <w:sz w:val="24"/>
          <w:szCs w:val="24"/>
        </w:rPr>
        <w:t>附件一：投标函</w:t>
      </w:r>
      <w:bookmarkEnd w:id="260"/>
      <w:bookmarkEnd w:id="261"/>
      <w:bookmarkEnd w:id="262"/>
    </w:p>
    <w:p>
      <w:pPr>
        <w:jc w:val="center"/>
        <w:rPr>
          <w:rFonts w:ascii="宋体" w:hAnsi="宋体"/>
          <w:b/>
          <w:bCs/>
          <w:sz w:val="36"/>
          <w:szCs w:val="36"/>
        </w:rPr>
      </w:pPr>
      <w:r>
        <w:rPr>
          <w:rFonts w:hint="eastAsia" w:ascii="宋体" w:hAnsi="宋体"/>
          <w:b/>
          <w:bCs/>
          <w:sz w:val="36"/>
          <w:szCs w:val="36"/>
        </w:rPr>
        <w:t>投标函</w:t>
      </w:r>
    </w:p>
    <w:p>
      <w:pPr>
        <w:pStyle w:val="44"/>
        <w:adjustRightInd w:val="0"/>
        <w:snapToGrid w:val="0"/>
        <w:spacing w:beforeLines="30" w:line="460" w:lineRule="exact"/>
        <w:ind w:left="0" w:leftChars="0"/>
        <w:rPr>
          <w:rFonts w:ascii="宋体" w:hAnsi="宋体"/>
          <w:i/>
          <w:iCs/>
          <w:sz w:val="24"/>
        </w:rPr>
      </w:pPr>
      <w:r>
        <w:rPr>
          <w:rFonts w:hint="eastAsia" w:ascii="宋体" w:hAnsi="宋体"/>
          <w:kern w:val="2"/>
          <w:sz w:val="24"/>
        </w:rPr>
        <w:t>重汽（济南）轻卡有限公司：</w:t>
      </w:r>
    </w:p>
    <w:p>
      <w:pPr>
        <w:spacing w:before="30" w:line="460" w:lineRule="exact"/>
        <w:ind w:firstLine="480" w:firstLineChars="200"/>
        <w:rPr>
          <w:rFonts w:ascii="宋体" w:hAnsi="宋体"/>
          <w:sz w:val="24"/>
        </w:rPr>
      </w:pPr>
      <w:r>
        <w:rPr>
          <w:rFonts w:hint="eastAsia" w:ascii="宋体" w:hAnsi="宋体"/>
          <w:sz w:val="24"/>
        </w:rPr>
        <w:t>按照《中华人民共和国招标投标法》等有关法律规定，我们根据项目名称为招标文件的要求，对</w:t>
      </w:r>
      <w:r>
        <w:rPr>
          <w:rFonts w:hint="eastAsia" w:ascii="宋体" w:hAnsi="宋体"/>
          <w:sz w:val="24"/>
          <w:u w:val="single"/>
        </w:rPr>
        <w:t xml:space="preserve">                 （</w:t>
      </w:r>
      <w:r>
        <w:rPr>
          <w:rFonts w:hint="eastAsia" w:ascii="宋体" w:hAnsi="宋体"/>
          <w:sz w:val="24"/>
        </w:rPr>
        <w:t>项目名称）（设备名称）进行投标。由投标方（全称）正式委托全权代表（姓名、职务）提交投标文件正本一份，副本四份，并保证所提供的全部资料的真实性、准确性。</w:t>
      </w:r>
    </w:p>
    <w:p>
      <w:pPr>
        <w:tabs>
          <w:tab w:val="left" w:pos="105"/>
        </w:tabs>
        <w:adjustRightInd w:val="0"/>
        <w:snapToGrid w:val="0"/>
        <w:spacing w:beforeLines="30" w:line="460" w:lineRule="exact"/>
        <w:ind w:firstLine="480" w:firstLineChars="200"/>
        <w:rPr>
          <w:rFonts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pPr>
        <w:tabs>
          <w:tab w:val="left" w:pos="105"/>
        </w:tabs>
        <w:adjustRightInd w:val="0"/>
        <w:snapToGrid w:val="0"/>
        <w:spacing w:beforeLines="30" w:line="460" w:lineRule="exact"/>
        <w:ind w:firstLine="480" w:firstLineChars="200"/>
        <w:rPr>
          <w:rFonts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pPr>
        <w:adjustRightInd w:val="0"/>
        <w:snapToGrid w:val="0"/>
        <w:spacing w:beforeLines="30" w:line="460" w:lineRule="exact"/>
        <w:ind w:firstLine="480" w:firstLineChars="200"/>
        <w:rPr>
          <w:rFonts w:ascii="宋体" w:hAnsi="宋体"/>
          <w:sz w:val="24"/>
        </w:rPr>
      </w:pPr>
      <w:r>
        <w:rPr>
          <w:rFonts w:hint="eastAsia" w:ascii="宋体" w:hAnsi="宋体"/>
          <w:sz w:val="24"/>
        </w:rPr>
        <w:t>（3）我方已详细检查所有招标文件、附件以及所提供的参考文件等，因模糊和误解产生的一切后果，由我方自负。</w:t>
      </w:r>
    </w:p>
    <w:p>
      <w:pPr>
        <w:adjustRightInd w:val="0"/>
        <w:snapToGrid w:val="0"/>
        <w:spacing w:beforeLines="30" w:line="460" w:lineRule="exact"/>
        <w:ind w:firstLine="480" w:firstLineChars="200"/>
        <w:rPr>
          <w:rFonts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pPr>
        <w:adjustRightInd w:val="0"/>
        <w:snapToGrid w:val="0"/>
        <w:spacing w:beforeLines="30" w:line="460" w:lineRule="exact"/>
        <w:ind w:firstLine="480" w:firstLineChars="200"/>
        <w:rPr>
          <w:rFonts w:ascii="宋体" w:hAnsi="宋体"/>
          <w:sz w:val="24"/>
        </w:rPr>
      </w:pPr>
      <w:r>
        <w:rPr>
          <w:rFonts w:hint="eastAsia" w:ascii="宋体" w:hAnsi="宋体"/>
          <w:sz w:val="24"/>
        </w:rPr>
        <w:t>（5）我方同意招标方的要求，提供与递交投标文件有关的其他数据和资料。</w:t>
      </w:r>
    </w:p>
    <w:p>
      <w:pPr>
        <w:adjustRightInd w:val="0"/>
        <w:snapToGrid w:val="0"/>
        <w:spacing w:beforeLines="30" w:line="460" w:lineRule="exact"/>
        <w:ind w:firstLine="480" w:firstLineChars="200"/>
        <w:rPr>
          <w:rFonts w:ascii="宋体" w:hAnsi="宋体"/>
          <w:sz w:val="24"/>
        </w:rPr>
      </w:pPr>
      <w:r>
        <w:rPr>
          <w:rFonts w:hint="eastAsia" w:ascii="宋体" w:hAnsi="宋体"/>
          <w:bCs/>
          <w:sz w:val="24"/>
        </w:rPr>
        <w:t>（6）我方愿按《中华人民共和国</w:t>
      </w:r>
      <w:r>
        <w:rPr>
          <w:rFonts w:hint="eastAsia" w:ascii="宋体" w:hAnsi="宋体"/>
          <w:bCs/>
          <w:sz w:val="24"/>
          <w:lang w:val="en-US" w:eastAsia="zh-CN"/>
        </w:rPr>
        <w:t>民法典</w:t>
      </w:r>
      <w:r>
        <w:rPr>
          <w:rFonts w:hint="eastAsia" w:ascii="宋体" w:hAnsi="宋体"/>
          <w:bCs/>
          <w:sz w:val="24"/>
        </w:rPr>
        <w:t>》履行自己的全部责任。</w:t>
      </w:r>
    </w:p>
    <w:p>
      <w:pPr>
        <w:adjustRightInd w:val="0"/>
        <w:snapToGrid w:val="0"/>
        <w:spacing w:beforeLines="30" w:line="460" w:lineRule="exact"/>
        <w:ind w:firstLine="480" w:firstLineChars="200"/>
        <w:rPr>
          <w:rFonts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，招标方有权不做任何解释。</w:t>
      </w:r>
    </w:p>
    <w:p>
      <w:pPr>
        <w:adjustRightInd w:val="0"/>
        <w:snapToGrid w:val="0"/>
        <w:spacing w:beforeLines="30" w:line="460" w:lineRule="exact"/>
        <w:ind w:firstLine="480" w:firstLineChars="200"/>
        <w:rPr>
          <w:rFonts w:ascii="宋体" w:hAnsi="宋体"/>
          <w:sz w:val="24"/>
        </w:rPr>
      </w:pPr>
      <w:r>
        <w:rPr>
          <w:rFonts w:hint="eastAsia" w:ascii="宋体" w:hAnsi="宋体"/>
          <w:sz w:val="24"/>
        </w:rPr>
        <w:t>（8）我方同意按招标文件规定交纳投标保证金、中标服务费，遵守贵机构有关招标的各项规定。</w:t>
      </w:r>
    </w:p>
    <w:p>
      <w:pPr>
        <w:pStyle w:val="30"/>
        <w:spacing w:after="0" w:line="460" w:lineRule="exact"/>
        <w:ind w:left="-2" w:firstLine="480"/>
        <w:rPr>
          <w:rFonts w:ascii="宋体" w:hAnsi="宋体"/>
          <w:sz w:val="24"/>
        </w:rPr>
      </w:pPr>
      <w:r>
        <w:rPr>
          <w:rFonts w:hint="eastAsia" w:ascii="宋体" w:hAnsi="宋体"/>
          <w:sz w:val="24"/>
        </w:rPr>
        <w:t>（9）与本报价有关的所有往来信函，应按下列地址进行：</w:t>
      </w:r>
    </w:p>
    <w:p>
      <w:pPr>
        <w:tabs>
          <w:tab w:val="left" w:pos="6660"/>
        </w:tabs>
        <w:adjustRightInd w:val="0"/>
        <w:snapToGrid w:val="0"/>
        <w:spacing w:beforeLines="30"/>
        <w:ind w:firstLine="1200" w:firstLineChars="500"/>
        <w:rPr>
          <w:rFonts w:ascii="宋体" w:hAnsi="宋体"/>
          <w:sz w:val="24"/>
        </w:rPr>
      </w:pPr>
    </w:p>
    <w:p>
      <w:pPr>
        <w:tabs>
          <w:tab w:val="left" w:pos="6660"/>
        </w:tabs>
        <w:adjustRightInd w:val="0"/>
        <w:snapToGrid w:val="0"/>
        <w:spacing w:beforeLines="30"/>
        <w:ind w:firstLine="720" w:firstLineChars="300"/>
        <w:rPr>
          <w:rFonts w:ascii="宋体" w:hAnsi="宋体"/>
          <w:sz w:val="24"/>
        </w:rPr>
      </w:pPr>
      <w:r>
        <w:rPr>
          <w:rFonts w:hint="eastAsia" w:ascii="宋体" w:hAnsi="宋体"/>
          <w:sz w:val="24"/>
        </w:rPr>
        <w:t>地址：                           邮政编码：</w:t>
      </w:r>
    </w:p>
    <w:p>
      <w:pPr>
        <w:tabs>
          <w:tab w:val="left" w:pos="6660"/>
        </w:tabs>
        <w:adjustRightInd w:val="0"/>
        <w:snapToGrid w:val="0"/>
        <w:spacing w:beforeLines="30"/>
        <w:ind w:firstLine="720" w:firstLineChars="300"/>
        <w:rPr>
          <w:rFonts w:ascii="宋体" w:hAnsi="宋体"/>
          <w:sz w:val="24"/>
        </w:rPr>
      </w:pPr>
      <w:r>
        <w:rPr>
          <w:rFonts w:hint="eastAsia" w:ascii="宋体" w:hAnsi="宋体"/>
          <w:sz w:val="24"/>
        </w:rPr>
        <w:t>电话：                           传真：</w:t>
      </w:r>
    </w:p>
    <w:p>
      <w:pPr>
        <w:tabs>
          <w:tab w:val="left" w:pos="6660"/>
        </w:tabs>
        <w:adjustRightInd w:val="0"/>
        <w:snapToGrid w:val="0"/>
        <w:spacing w:beforeLines="30"/>
        <w:ind w:firstLine="720" w:firstLineChars="300"/>
        <w:rPr>
          <w:rFonts w:ascii="宋体" w:hAnsi="宋体"/>
          <w:sz w:val="24"/>
        </w:rPr>
      </w:pPr>
      <w:r>
        <w:rPr>
          <w:rFonts w:hint="eastAsia" w:ascii="宋体" w:hAnsi="宋体"/>
          <w:sz w:val="24"/>
        </w:rPr>
        <w:t>电子信箱：</w:t>
      </w:r>
    </w:p>
    <w:p>
      <w:pPr>
        <w:tabs>
          <w:tab w:val="left" w:pos="6660"/>
        </w:tabs>
        <w:adjustRightInd w:val="0"/>
        <w:snapToGrid w:val="0"/>
        <w:spacing w:beforeLines="30"/>
        <w:ind w:firstLine="720" w:firstLineChars="300"/>
        <w:rPr>
          <w:rFonts w:ascii="宋体" w:hAnsi="宋体"/>
          <w:sz w:val="24"/>
        </w:rPr>
      </w:pPr>
      <w:r>
        <w:rPr>
          <w:rFonts w:hint="eastAsia" w:ascii="宋体" w:hAnsi="宋体"/>
          <w:sz w:val="24"/>
        </w:rPr>
        <w:t>投标方全称：                     开户银行名称：</w:t>
      </w:r>
    </w:p>
    <w:p>
      <w:pPr>
        <w:tabs>
          <w:tab w:val="left" w:pos="6660"/>
        </w:tabs>
        <w:adjustRightInd w:val="0"/>
        <w:snapToGrid w:val="0"/>
        <w:spacing w:beforeLines="30"/>
        <w:ind w:firstLine="720" w:firstLineChars="300"/>
        <w:rPr>
          <w:rFonts w:ascii="宋体" w:hAnsi="宋体"/>
          <w:sz w:val="24"/>
        </w:rPr>
      </w:pPr>
      <w:r>
        <w:rPr>
          <w:rFonts w:hint="eastAsia" w:ascii="宋体" w:hAnsi="宋体"/>
          <w:sz w:val="24"/>
        </w:rPr>
        <w:t>公章：                           银行帐号：</w:t>
      </w:r>
    </w:p>
    <w:p>
      <w:pPr>
        <w:tabs>
          <w:tab w:val="left" w:pos="6660"/>
        </w:tabs>
        <w:adjustRightInd w:val="0"/>
        <w:snapToGrid w:val="0"/>
        <w:spacing w:beforeLines="30"/>
        <w:ind w:firstLine="720" w:firstLineChars="300"/>
        <w:rPr>
          <w:rFonts w:ascii="宋体" w:hAnsi="宋体"/>
          <w:sz w:val="24"/>
        </w:rPr>
      </w:pPr>
      <w:r>
        <w:rPr>
          <w:rFonts w:hint="eastAsia" w:ascii="宋体" w:hAnsi="宋体"/>
          <w:sz w:val="24"/>
        </w:rPr>
        <w:t>法人代表签字：                   开户行地址：</w:t>
      </w:r>
    </w:p>
    <w:p>
      <w:pPr>
        <w:pStyle w:val="30"/>
        <w:adjustRightInd w:val="0"/>
        <w:snapToGrid w:val="0"/>
        <w:spacing w:after="0"/>
        <w:ind w:left="571" w:leftChars="272" w:firstLine="480"/>
        <w:jc w:val="right"/>
        <w:rPr>
          <w:rFonts w:ascii="宋体" w:hAnsi="宋体"/>
          <w:sz w:val="24"/>
        </w:rPr>
      </w:pPr>
    </w:p>
    <w:p>
      <w:pPr>
        <w:spacing w:line="360" w:lineRule="auto"/>
        <w:ind w:left="795" w:firstLine="6960" w:firstLineChars="2900"/>
        <w:rPr>
          <w:sz w:val="24"/>
          <w:szCs w:val="24"/>
        </w:rPr>
      </w:pPr>
      <w:r>
        <w:rPr>
          <w:rFonts w:hint="eastAsia" w:ascii="宋体" w:hAnsi="宋体"/>
          <w:sz w:val="24"/>
        </w:rPr>
        <w:t>年  月  日</w:t>
      </w:r>
    </w:p>
    <w:p>
      <w:pPr>
        <w:pStyle w:val="4"/>
        <w:spacing w:before="120" w:after="120" w:line="360" w:lineRule="exact"/>
        <w:rPr>
          <w:rFonts w:ascii="宋体" w:hAnsi="宋体"/>
          <w:b w:val="0"/>
          <w:bCs w:val="0"/>
          <w:sz w:val="24"/>
          <w:szCs w:val="24"/>
        </w:rPr>
      </w:pPr>
      <w:r>
        <w:rPr>
          <w:rFonts w:ascii="宋体" w:hAnsi="宋体"/>
          <w:sz w:val="24"/>
          <w:szCs w:val="24"/>
        </w:rPr>
        <w:br w:type="page"/>
      </w:r>
      <w:bookmarkStart w:id="263" w:name="_Toc453709582"/>
      <w:bookmarkStart w:id="264" w:name="_Toc1334"/>
      <w:bookmarkStart w:id="265" w:name="_Toc11519"/>
      <w:bookmarkStart w:id="266" w:name="_Toc3102"/>
      <w:r>
        <w:rPr>
          <w:rFonts w:hint="eastAsia" w:ascii="宋体" w:hAnsi="宋体" w:cs="宋体"/>
          <w:b w:val="0"/>
          <w:bCs w:val="0"/>
          <w:sz w:val="24"/>
          <w:szCs w:val="24"/>
        </w:rPr>
        <w:t>附件二：授权委托书</w:t>
      </w:r>
      <w:bookmarkEnd w:id="263"/>
      <w:bookmarkEnd w:id="264"/>
      <w:bookmarkEnd w:id="265"/>
      <w:bookmarkEnd w:id="266"/>
    </w:p>
    <w:p>
      <w:pPr>
        <w:pStyle w:val="30"/>
        <w:spacing w:after="0"/>
        <w:rPr>
          <w:rFonts w:ascii="宋体" w:hAnsi="宋体"/>
        </w:rPr>
      </w:pPr>
    </w:p>
    <w:p>
      <w:pPr>
        <w:pStyle w:val="30"/>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pPr>
        <w:pStyle w:val="30"/>
        <w:spacing w:after="0" w:line="460" w:lineRule="exact"/>
        <w:jc w:val="center"/>
        <w:rPr>
          <w:rFonts w:ascii="宋体" w:hAnsi="宋体"/>
          <w:b/>
          <w:bCs/>
          <w:sz w:val="32"/>
          <w:szCs w:val="32"/>
        </w:rPr>
      </w:pPr>
    </w:p>
    <w:p>
      <w:pPr>
        <w:pStyle w:val="30"/>
        <w:spacing w:after="0" w:line="560" w:lineRule="exact"/>
        <w:rPr>
          <w:rFonts w:ascii="宋体" w:hAnsi="宋体"/>
          <w:sz w:val="24"/>
          <w:szCs w:val="24"/>
          <w:u w:val="single"/>
        </w:rPr>
      </w:pPr>
      <w:r>
        <w:rPr>
          <w:rFonts w:hint="eastAsia" w:ascii="宋体" w:hAnsi="宋体" w:cs="宋体"/>
          <w:sz w:val="24"/>
          <w:szCs w:val="24"/>
          <w:u w:val="single"/>
        </w:rPr>
        <w:t xml:space="preserve"> 重汽（济南）轻卡有限公司 ：</w:t>
      </w:r>
    </w:p>
    <w:p>
      <w:pPr>
        <w:pStyle w:val="30"/>
        <w:spacing w:after="0" w:line="560" w:lineRule="exact"/>
        <w:ind w:firstLine="480"/>
        <w:rPr>
          <w:rFonts w:ascii="宋体" w:hAnsi="宋体"/>
          <w:sz w:val="24"/>
          <w:szCs w:val="24"/>
        </w:rPr>
      </w:pPr>
      <w:r>
        <w:rPr>
          <w:rFonts w:hint="eastAsia" w:ascii="宋体" w:hAnsi="宋体" w:cs="宋体"/>
          <w:sz w:val="24"/>
          <w:szCs w:val="24"/>
        </w:rPr>
        <w:t>（投标方名称）法定代表人授权我公司（职务或职称）（姓名）为我单位本次投标授权代理人，全权处理济南轻卡制造公司皮卡胎压检测标定等生产及检测设备项目-后窗玻璃打胶机项目投标活动</w:t>
      </w:r>
      <w:r>
        <w:rPr>
          <w:rFonts w:hint="eastAsia" w:ascii="宋体" w:hAnsi="宋体" w:cs="宋体"/>
          <w:sz w:val="24"/>
          <w:szCs w:val="24"/>
          <w:lang w:eastAsia="zh-CN"/>
        </w:rPr>
        <w:t>、</w:t>
      </w:r>
      <w:r>
        <w:rPr>
          <w:rFonts w:hint="eastAsia" w:ascii="宋体" w:hAnsi="宋体" w:cs="宋体"/>
          <w:sz w:val="24"/>
          <w:szCs w:val="24"/>
          <w:lang w:val="en-US" w:eastAsia="zh-CN"/>
        </w:rPr>
        <w:t>合同签订</w:t>
      </w:r>
      <w:r>
        <w:rPr>
          <w:rFonts w:hint="eastAsia" w:ascii="宋体" w:hAnsi="宋体" w:cs="宋体"/>
          <w:sz w:val="24"/>
          <w:szCs w:val="24"/>
        </w:rPr>
        <w:t>等一切事宜。</w:t>
      </w:r>
    </w:p>
    <w:p>
      <w:pPr>
        <w:adjustRightInd w:val="0"/>
        <w:snapToGrid w:val="0"/>
        <w:spacing w:beforeLines="30" w:line="360" w:lineRule="auto"/>
        <w:ind w:firstLine="480" w:firstLineChars="200"/>
        <w:rPr>
          <w:rFonts w:ascii="宋体" w:hAnsi="宋体"/>
          <w:sz w:val="24"/>
        </w:rPr>
      </w:pPr>
      <w:r>
        <w:rPr>
          <w:rFonts w:hint="eastAsia" w:ascii="宋体" w:hAnsi="宋体"/>
          <w:sz w:val="24"/>
        </w:rPr>
        <w:t>委托期限：</w:t>
      </w:r>
    </w:p>
    <w:p>
      <w:pPr>
        <w:adjustRightInd w:val="0"/>
        <w:snapToGrid w:val="0"/>
        <w:spacing w:beforeLines="30" w:line="312" w:lineRule="auto"/>
        <w:ind w:firstLine="480" w:firstLineChars="200"/>
        <w:rPr>
          <w:rFonts w:ascii="宋体" w:hAnsi="宋体"/>
          <w:sz w:val="24"/>
        </w:rPr>
      </w:pPr>
      <w:r>
        <w:rPr>
          <w:rFonts w:hint="eastAsia" w:ascii="宋体" w:hAnsi="宋体"/>
          <w:sz w:val="24"/>
        </w:rPr>
        <w:t>全权代表无转委权。特此委托。</w:t>
      </w:r>
      <w:r>
        <w:pict>
          <v:rect id="矩形 2" o:spid="_x0000_s1039" o:spt="1" style="position:absolute;left:0pt;margin-left:25.45pt;margin-top:19.35pt;height:122.25pt;width:209.25pt;z-index:251659264;mso-width-relative:page;mso-height-relative:page;" coordsize="21600,21600" o:gfxdata="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pUfy2AAAAAkBAAAPAAAAAAAAAAEAIAAAACIA&#10;AABkcnMvZG93bnJldi54bWxQSwECFAAUAAAACACHTuJAh5WlVQkCAAA4BAAADgAAAAAAAAABACAA&#10;AAAnAQAAZHJzL2Uyb0RvYy54bWxQSwUGAAAAAAYABgBZAQAAogUAAAAA&#10;">
            <v:path/>
            <v:fill focussize="0,0"/>
            <v:stroke/>
            <v:imagedata o:title=""/>
            <o:lock v:ext="edit"/>
            <v:textbox>
              <w:txbxContent>
                <w:p>
                  <w:pPr>
                    <w:jc w:val="center"/>
                  </w:pPr>
                </w:p>
                <w:p>
                  <w:pPr>
                    <w:jc w:val="center"/>
                  </w:pPr>
                </w:p>
                <w:p>
                  <w:pPr>
                    <w:jc w:val="center"/>
                  </w:pPr>
                </w:p>
                <w:p>
                  <w:pPr>
                    <w:jc w:val="center"/>
                  </w:pPr>
                  <w:r>
                    <w:rPr>
                      <w:rFonts w:hint="eastAsia"/>
                    </w:rPr>
                    <w:t>法定代表人身份证复印件（正面）</w:t>
                  </w:r>
                </w:p>
                <w:p>
                  <w:pPr>
                    <w:jc w:val="center"/>
                  </w:pPr>
                </w:p>
                <w:p>
                  <w:pPr>
                    <w:jc w:val="center"/>
                  </w:pPr>
                </w:p>
              </w:txbxContent>
            </v:textbox>
          </v:rect>
        </w:pict>
      </w:r>
      <w:r>
        <w:pict>
          <v:rect id="矩形 4" o:spid="_x0000_s1038" o:spt="1" style="position:absolute;left:0pt;margin-left:25.45pt;margin-top:145.35pt;height:122.25pt;width:209.25pt;z-index:251661312;mso-width-relative:page;mso-height-relative:page;" coordsize="21600,21600" o:gfxdata="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P4KwtgAAAAKAQAADwAAAAAAAAABACAAAAAi&#10;AAAAZHJzL2Rvd25yZXYueG1sUEsBAhQAFAAAAAgAh07iQEc2KBYKAgAAOAQAAA4AAAAAAAAAAQAg&#10;AAAAJwEAAGRycy9lMm9Eb2MueG1sUEsFBgAAAAAGAAYAWQEAAKMFAAAAAA==&#10;">
            <v:path/>
            <v:fill focussize="0,0"/>
            <v:stroke/>
            <v:imagedata o:title=""/>
            <o:lock v:ext="edit"/>
            <v:textbox>
              <w:txbxContent>
                <w:p>
                  <w:pPr>
                    <w:jc w:val="center"/>
                  </w:pPr>
                  <w:r>
                    <w:rPr>
                      <w:rFonts w:hint="eastAsia"/>
                    </w:rPr>
                    <w:t>授权代理人身份证复印件（正面）</w:t>
                  </w:r>
                </w:p>
              </w:txbxContent>
            </v:textbox>
          </v:rect>
        </w:pict>
      </w:r>
      <w:r>
        <w:pict>
          <v:rect id="矩形 3" o:spid="_x0000_s1037" o:spt="1" style="position:absolute;left:0pt;margin-left:245.95pt;margin-top:19.35pt;height:122.25pt;width:198pt;z-index:251660288;mso-width-relative:page;mso-height-relative:page;" coordsize="21600,21600" o:gfxdata="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u5wT2AAAAAoBAAAPAAAAAAAAAAEAIAAAACIA&#10;AABkcnMvZG93bnJldi54bWxQSwECFAAUAAAACACHTuJA7tXRggkCAAA4BAAADgAAAAAAAAABACAA&#10;AAAnAQAAZHJzL2Uyb0RvYy54bWxQSwUGAAAAAAYABgBZAQAAogUAAAAA&#10;">
            <v:path/>
            <v:fill focussize="0,0"/>
            <v:stroke/>
            <v:imagedata o:title=""/>
            <o:lock v:ext="edit"/>
            <v:textbox>
              <w:txbxContent>
                <w:p>
                  <w:pPr>
                    <w:jc w:val="center"/>
                  </w:pPr>
                </w:p>
                <w:p>
                  <w:pPr>
                    <w:jc w:val="center"/>
                  </w:pPr>
                </w:p>
                <w:p>
                  <w:pPr>
                    <w:jc w:val="center"/>
                  </w:pPr>
                </w:p>
                <w:p>
                  <w:pPr>
                    <w:jc w:val="center"/>
                  </w:pPr>
                  <w:r>
                    <w:rPr>
                      <w:rFonts w:hint="eastAsia"/>
                    </w:rPr>
                    <w:t>法定代表人身份证复印件（反面）</w:t>
                  </w:r>
                </w:p>
                <w:p>
                  <w:pPr>
                    <w:jc w:val="center"/>
                  </w:pPr>
                </w:p>
              </w:txbxContent>
            </v:textbox>
          </v:rect>
        </w:pict>
      </w:r>
      <w:r>
        <w:pict>
          <v:rect id="矩形 5" o:spid="_x0000_s1036" o:spt="1" style="position:absolute;left:0pt;margin-left:245.95pt;margin-top:144.6pt;height:122.25pt;width:198pt;z-index:251662336;mso-width-relative:page;mso-height-relative:page;" coordsize="21600,21600" o:gfxdata="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ctpajaAAAACwEAAA8AAAAAAAAAAQAg&#10;AAAAIgAAAGRycy9kb3ducmV2LnhtbFBLAQIUABQAAAAIAIdO4kBNUMEUDAIAADgEAAAOAAAAAAAA&#10;AAEAIAAAACkBAABkcnMvZTJvRG9jLnhtbFBLBQYAAAAABgAGAFkBAACnBQAAAAA=&#10;">
            <v:path/>
            <v:fill focussize="0,0"/>
            <v:stroke/>
            <v:imagedata o:title=""/>
            <o:lock v:ext="edit"/>
            <v:textbox>
              <w:txbxContent>
                <w:p>
                  <w:pPr>
                    <w:jc w:val="center"/>
                  </w:pPr>
                  <w:r>
                    <w:rPr>
                      <w:rFonts w:hint="eastAsia"/>
                    </w:rPr>
                    <w:t>授权代理人身份证复印件（反面）</w:t>
                  </w:r>
                </w:p>
              </w:txbxContent>
            </v:textbox>
          </v:rect>
        </w:pict>
      </w: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rPr>
          <w:rFonts w:ascii="宋体" w:hAnsi="宋体"/>
          <w:sz w:val="24"/>
        </w:rPr>
      </w:pPr>
    </w:p>
    <w:p>
      <w:pPr>
        <w:pStyle w:val="30"/>
        <w:spacing w:after="0" w:line="560" w:lineRule="exact"/>
        <w:rPr>
          <w:rFonts w:ascii="宋体" w:hAnsi="宋体"/>
          <w:sz w:val="24"/>
          <w:szCs w:val="24"/>
        </w:rPr>
      </w:pPr>
      <w:r>
        <w:rPr>
          <w:rFonts w:hint="eastAsia" w:ascii="宋体" w:hAnsi="宋体" w:cs="宋体"/>
          <w:sz w:val="24"/>
          <w:szCs w:val="24"/>
        </w:rPr>
        <w:t>单位名称（公章）：</w:t>
      </w:r>
    </w:p>
    <w:p>
      <w:pPr>
        <w:pStyle w:val="30"/>
        <w:spacing w:after="0" w:line="560" w:lineRule="exact"/>
        <w:rPr>
          <w:rFonts w:ascii="宋体" w:hAnsi="宋体"/>
          <w:sz w:val="24"/>
          <w:szCs w:val="24"/>
        </w:rPr>
      </w:pPr>
      <w:r>
        <w:rPr>
          <w:rFonts w:hint="eastAsia" w:ascii="宋体" w:hAnsi="宋体" w:cs="宋体"/>
          <w:sz w:val="24"/>
          <w:szCs w:val="24"/>
        </w:rPr>
        <w:t>法定代表人签字：</w:t>
      </w:r>
    </w:p>
    <w:p>
      <w:pPr>
        <w:pStyle w:val="30"/>
        <w:spacing w:after="0" w:line="560" w:lineRule="exact"/>
        <w:rPr>
          <w:rFonts w:ascii="宋体" w:hAnsi="宋体"/>
          <w:sz w:val="24"/>
          <w:szCs w:val="24"/>
        </w:rPr>
      </w:pPr>
      <w:r>
        <w:rPr>
          <w:rFonts w:hint="eastAsia" w:ascii="宋体" w:hAnsi="宋体" w:cs="宋体"/>
          <w:sz w:val="24"/>
          <w:szCs w:val="24"/>
        </w:rPr>
        <w:t>授权代理人签字：</w:t>
      </w:r>
    </w:p>
    <w:p>
      <w:pPr>
        <w:pStyle w:val="30"/>
        <w:spacing w:after="0" w:line="560" w:lineRule="exact"/>
        <w:rPr>
          <w:rFonts w:ascii="宋体" w:hAnsi="宋体"/>
          <w:sz w:val="24"/>
          <w:szCs w:val="24"/>
        </w:rPr>
      </w:pPr>
    </w:p>
    <w:p>
      <w:pPr>
        <w:pStyle w:val="30"/>
        <w:spacing w:after="0" w:line="560" w:lineRule="exact"/>
        <w:ind w:left="5880" w:right="283" w:rightChars="135" w:firstLine="420"/>
        <w:jc w:val="right"/>
        <w:rPr>
          <w:rFonts w:ascii="宋体" w:hAnsi="宋体"/>
          <w:sz w:val="24"/>
          <w:szCs w:val="24"/>
        </w:rPr>
      </w:pPr>
      <w:r>
        <w:rPr>
          <w:rFonts w:hint="eastAsia" w:ascii="宋体" w:hAnsi="宋体" w:cs="宋体"/>
          <w:sz w:val="24"/>
          <w:szCs w:val="24"/>
        </w:rPr>
        <w:t>年月日</w:t>
      </w:r>
    </w:p>
    <w:p>
      <w:pPr>
        <w:pStyle w:val="30"/>
        <w:spacing w:after="0" w:line="560" w:lineRule="exact"/>
        <w:rPr>
          <w:rFonts w:ascii="宋体" w:hAnsi="宋体"/>
        </w:rPr>
      </w:pPr>
    </w:p>
    <w:p>
      <w:pPr>
        <w:pStyle w:val="4"/>
        <w:spacing w:before="120" w:after="120" w:line="360" w:lineRule="exact"/>
        <w:rPr>
          <w:rFonts w:ascii="宋体" w:hAnsi="宋体" w:cs="宋体"/>
          <w:b w:val="0"/>
          <w:bCs w:val="0"/>
          <w:sz w:val="24"/>
          <w:szCs w:val="24"/>
        </w:rPr>
      </w:pPr>
      <w:bookmarkStart w:id="267" w:name="_Toc14032"/>
      <w:bookmarkStart w:id="268" w:name="_Toc26482"/>
      <w:bookmarkStart w:id="269" w:name="_Toc424118183"/>
      <w:bookmarkStart w:id="270" w:name="_Toc516"/>
      <w:bookmarkStart w:id="271" w:name="_Toc32379"/>
      <w:bookmarkStart w:id="272" w:name="_Toc353881014"/>
      <w:bookmarkStart w:id="273" w:name="_Toc518655806"/>
      <w:bookmarkStart w:id="274" w:name="_Toc32246"/>
      <w:r>
        <w:rPr>
          <w:rFonts w:hint="eastAsia" w:ascii="宋体" w:hAnsi="宋体" w:cs="宋体"/>
          <w:b w:val="0"/>
          <w:bCs w:val="0"/>
          <w:sz w:val="24"/>
          <w:szCs w:val="24"/>
        </w:rPr>
        <w:t>附件三、投标方基本情况表</w:t>
      </w:r>
      <w:bookmarkEnd w:id="267"/>
      <w:bookmarkEnd w:id="268"/>
      <w:bookmarkEnd w:id="269"/>
      <w:bookmarkEnd w:id="270"/>
      <w:bookmarkEnd w:id="271"/>
      <w:bookmarkEnd w:id="272"/>
      <w:bookmarkEnd w:id="273"/>
      <w:bookmarkEnd w:id="274"/>
    </w:p>
    <w:p>
      <w:pPr>
        <w:pStyle w:val="30"/>
        <w:spacing w:after="0" w:line="460" w:lineRule="exact"/>
        <w:jc w:val="center"/>
      </w:pPr>
      <w:r>
        <w:rPr>
          <w:rFonts w:hint="eastAsia" w:ascii="宋体" w:hAnsi="宋体" w:cs="宋体"/>
          <w:b/>
          <w:bCs/>
          <w:sz w:val="32"/>
          <w:szCs w:val="32"/>
        </w:rPr>
        <w:t>投标方基本情况表</w:t>
      </w:r>
    </w:p>
    <w:p>
      <w:pPr>
        <w:rPr>
          <w:rFonts w:ascii="宋体" w:hAnsi="宋体"/>
          <w:sz w:val="24"/>
        </w:rPr>
      </w:pPr>
    </w:p>
    <w:p>
      <w:pPr>
        <w:spacing w:line="60" w:lineRule="exact"/>
        <w:rPr>
          <w:rFonts w:ascii="宋体" w:hAnsi="宋体"/>
          <w:sz w:val="24"/>
        </w:rPr>
      </w:pP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单位</w:t>
            </w:r>
          </w:p>
          <w:p>
            <w:pPr>
              <w:jc w:val="center"/>
              <w:rPr>
                <w:rFonts w:ascii="宋体" w:hAnsi="宋体"/>
                <w:sz w:val="18"/>
                <w:szCs w:val="18"/>
              </w:rPr>
            </w:pPr>
            <w:r>
              <w:rPr>
                <w:rFonts w:hint="eastAsia" w:ascii="宋体" w:hAnsi="宋体"/>
                <w:sz w:val="18"/>
                <w:szCs w:val="18"/>
              </w:rPr>
              <w:t>名称</w:t>
            </w:r>
          </w:p>
        </w:tc>
        <w:tc>
          <w:tcPr>
            <w:tcW w:w="1440" w:type="dxa"/>
            <w:gridSpan w:val="3"/>
            <w:vAlign w:val="center"/>
          </w:tcPr>
          <w:p>
            <w:pPr>
              <w:jc w:val="center"/>
              <w:rPr>
                <w:rFonts w:ascii="宋体" w:hAnsi="宋体"/>
                <w:sz w:val="18"/>
                <w:szCs w:val="18"/>
              </w:rPr>
            </w:pPr>
          </w:p>
        </w:tc>
        <w:tc>
          <w:tcPr>
            <w:tcW w:w="540" w:type="dxa"/>
            <w:gridSpan w:val="3"/>
            <w:vAlign w:val="center"/>
          </w:tcPr>
          <w:p>
            <w:pPr>
              <w:jc w:val="center"/>
              <w:rPr>
                <w:rFonts w:ascii="宋体" w:hAnsi="宋体"/>
                <w:sz w:val="18"/>
                <w:szCs w:val="18"/>
              </w:rPr>
            </w:pPr>
            <w:r>
              <w:rPr>
                <w:rFonts w:hint="eastAsia" w:ascii="宋体" w:hAnsi="宋体"/>
                <w:sz w:val="18"/>
                <w:szCs w:val="18"/>
              </w:rPr>
              <w:t>代  号</w:t>
            </w:r>
          </w:p>
        </w:tc>
        <w:tc>
          <w:tcPr>
            <w:tcW w:w="720" w:type="dxa"/>
            <w:gridSpan w:val="3"/>
            <w:vAlign w:val="center"/>
          </w:tcPr>
          <w:p>
            <w:pPr>
              <w:jc w:val="center"/>
              <w:rPr>
                <w:rFonts w:ascii="宋体" w:hAnsi="宋体"/>
                <w:sz w:val="18"/>
                <w:szCs w:val="18"/>
              </w:rPr>
            </w:pPr>
          </w:p>
        </w:tc>
        <w:tc>
          <w:tcPr>
            <w:tcW w:w="629" w:type="dxa"/>
            <w:gridSpan w:val="3"/>
            <w:vAlign w:val="center"/>
          </w:tcPr>
          <w:p>
            <w:pPr>
              <w:jc w:val="center"/>
              <w:rPr>
                <w:rFonts w:ascii="宋体" w:hAnsi="宋体"/>
                <w:sz w:val="18"/>
                <w:szCs w:val="18"/>
              </w:rPr>
            </w:pPr>
            <w:r>
              <w:rPr>
                <w:rFonts w:hint="eastAsia" w:ascii="宋体" w:hAnsi="宋体"/>
                <w:sz w:val="18"/>
                <w:szCs w:val="18"/>
              </w:rPr>
              <w:t>电话</w:t>
            </w:r>
          </w:p>
        </w:tc>
        <w:tc>
          <w:tcPr>
            <w:tcW w:w="712" w:type="dxa"/>
            <w:vAlign w:val="center"/>
          </w:tcPr>
          <w:p>
            <w:pPr>
              <w:jc w:val="center"/>
              <w:rPr>
                <w:rFonts w:ascii="宋体" w:hAnsi="宋体"/>
                <w:sz w:val="18"/>
                <w:szCs w:val="18"/>
              </w:rPr>
            </w:pPr>
          </w:p>
        </w:tc>
        <w:tc>
          <w:tcPr>
            <w:tcW w:w="639" w:type="dxa"/>
            <w:gridSpan w:val="2"/>
            <w:vAlign w:val="center"/>
          </w:tcPr>
          <w:p>
            <w:pPr>
              <w:jc w:val="center"/>
              <w:rPr>
                <w:rFonts w:ascii="宋体" w:hAnsi="宋体"/>
                <w:sz w:val="18"/>
                <w:szCs w:val="18"/>
              </w:rPr>
            </w:pPr>
            <w:r>
              <w:rPr>
                <w:rFonts w:hint="eastAsia" w:ascii="宋体" w:hAnsi="宋体"/>
                <w:sz w:val="18"/>
                <w:szCs w:val="18"/>
              </w:rPr>
              <w:t>主管</w:t>
            </w:r>
          </w:p>
          <w:p>
            <w:pPr>
              <w:jc w:val="center"/>
              <w:rPr>
                <w:rFonts w:ascii="宋体" w:hAnsi="宋体"/>
                <w:sz w:val="18"/>
                <w:szCs w:val="18"/>
              </w:rPr>
            </w:pPr>
            <w:r>
              <w:rPr>
                <w:rFonts w:hint="eastAsia" w:ascii="宋体" w:hAnsi="宋体"/>
                <w:sz w:val="18"/>
                <w:szCs w:val="18"/>
              </w:rPr>
              <w:t>部门</w:t>
            </w:r>
          </w:p>
        </w:tc>
        <w:tc>
          <w:tcPr>
            <w:tcW w:w="900" w:type="dxa"/>
            <w:gridSpan w:val="3"/>
            <w:vAlign w:val="center"/>
          </w:tcPr>
          <w:p>
            <w:pPr>
              <w:jc w:val="center"/>
              <w:rPr>
                <w:rFonts w:ascii="宋体" w:hAnsi="宋体"/>
                <w:sz w:val="18"/>
                <w:szCs w:val="18"/>
              </w:rPr>
            </w:pPr>
          </w:p>
        </w:tc>
        <w:tc>
          <w:tcPr>
            <w:tcW w:w="1296" w:type="dxa"/>
            <w:gridSpan w:val="4"/>
            <w:vAlign w:val="center"/>
          </w:tcPr>
          <w:p>
            <w:pPr>
              <w:jc w:val="center"/>
              <w:rPr>
                <w:rFonts w:ascii="宋体" w:hAnsi="宋体"/>
                <w:sz w:val="18"/>
                <w:szCs w:val="18"/>
              </w:rPr>
            </w:pPr>
            <w:r>
              <w:rPr>
                <w:rFonts w:hint="eastAsia" w:ascii="宋体" w:hAnsi="宋体"/>
                <w:sz w:val="18"/>
                <w:szCs w:val="18"/>
              </w:rPr>
              <w:t>企业负责人</w:t>
            </w:r>
          </w:p>
        </w:tc>
        <w:tc>
          <w:tcPr>
            <w:tcW w:w="603" w:type="dxa"/>
            <w:vAlign w:val="center"/>
          </w:tcPr>
          <w:p>
            <w:pPr>
              <w:jc w:val="center"/>
              <w:rPr>
                <w:rFonts w:ascii="宋体" w:hAnsi="宋体"/>
                <w:sz w:val="18"/>
                <w:szCs w:val="18"/>
              </w:rPr>
            </w:pPr>
          </w:p>
        </w:tc>
        <w:tc>
          <w:tcPr>
            <w:tcW w:w="716" w:type="dxa"/>
            <w:gridSpan w:val="2"/>
            <w:vAlign w:val="center"/>
          </w:tcPr>
          <w:p>
            <w:pPr>
              <w:jc w:val="center"/>
              <w:rPr>
                <w:rFonts w:ascii="宋体" w:hAnsi="宋体"/>
                <w:sz w:val="18"/>
                <w:szCs w:val="18"/>
              </w:rPr>
            </w:pPr>
            <w:r>
              <w:rPr>
                <w:rFonts w:hint="eastAsia" w:ascii="宋体" w:hAnsi="宋体"/>
                <w:sz w:val="18"/>
                <w:szCs w:val="18"/>
              </w:rPr>
              <w:t>职务</w:t>
            </w:r>
          </w:p>
        </w:tc>
        <w:tc>
          <w:tcPr>
            <w:tcW w:w="60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地 址</w:t>
            </w:r>
          </w:p>
        </w:tc>
        <w:tc>
          <w:tcPr>
            <w:tcW w:w="1440" w:type="dxa"/>
            <w:gridSpan w:val="3"/>
            <w:vAlign w:val="center"/>
          </w:tcPr>
          <w:p>
            <w:pPr>
              <w:jc w:val="center"/>
              <w:rPr>
                <w:rFonts w:ascii="宋体" w:hAnsi="宋体"/>
                <w:sz w:val="18"/>
                <w:szCs w:val="18"/>
              </w:rPr>
            </w:pPr>
          </w:p>
        </w:tc>
        <w:tc>
          <w:tcPr>
            <w:tcW w:w="540" w:type="dxa"/>
            <w:gridSpan w:val="3"/>
            <w:vAlign w:val="center"/>
          </w:tcPr>
          <w:p>
            <w:pPr>
              <w:jc w:val="center"/>
              <w:rPr>
                <w:rFonts w:ascii="宋体" w:hAnsi="宋体"/>
                <w:sz w:val="18"/>
                <w:szCs w:val="18"/>
              </w:rPr>
            </w:pPr>
            <w:r>
              <w:rPr>
                <w:rFonts w:hint="eastAsia" w:ascii="宋体" w:hAnsi="宋体"/>
                <w:sz w:val="18"/>
                <w:szCs w:val="18"/>
              </w:rPr>
              <w:t>邮箱</w:t>
            </w:r>
          </w:p>
        </w:tc>
        <w:tc>
          <w:tcPr>
            <w:tcW w:w="720" w:type="dxa"/>
            <w:gridSpan w:val="3"/>
            <w:vAlign w:val="center"/>
          </w:tcPr>
          <w:p>
            <w:pPr>
              <w:jc w:val="center"/>
              <w:rPr>
                <w:rFonts w:ascii="宋体" w:hAnsi="宋体"/>
                <w:sz w:val="18"/>
                <w:szCs w:val="18"/>
              </w:rPr>
            </w:pPr>
          </w:p>
        </w:tc>
        <w:tc>
          <w:tcPr>
            <w:tcW w:w="629" w:type="dxa"/>
            <w:gridSpan w:val="3"/>
            <w:vAlign w:val="center"/>
          </w:tcPr>
          <w:p>
            <w:pPr>
              <w:jc w:val="center"/>
              <w:rPr>
                <w:rFonts w:ascii="宋体" w:hAnsi="宋体"/>
                <w:sz w:val="18"/>
                <w:szCs w:val="18"/>
              </w:rPr>
            </w:pPr>
            <w:r>
              <w:rPr>
                <w:rFonts w:hint="eastAsia" w:ascii="宋体" w:hAnsi="宋体"/>
                <w:sz w:val="18"/>
                <w:szCs w:val="18"/>
              </w:rPr>
              <w:t>传真</w:t>
            </w:r>
          </w:p>
        </w:tc>
        <w:tc>
          <w:tcPr>
            <w:tcW w:w="712" w:type="dxa"/>
            <w:vAlign w:val="center"/>
          </w:tcPr>
          <w:p>
            <w:pPr>
              <w:jc w:val="center"/>
              <w:rPr>
                <w:rFonts w:ascii="宋体" w:hAnsi="宋体"/>
                <w:sz w:val="18"/>
                <w:szCs w:val="18"/>
              </w:rPr>
            </w:pPr>
          </w:p>
        </w:tc>
        <w:tc>
          <w:tcPr>
            <w:tcW w:w="639" w:type="dxa"/>
            <w:gridSpan w:val="2"/>
            <w:vAlign w:val="center"/>
          </w:tcPr>
          <w:p>
            <w:pPr>
              <w:jc w:val="center"/>
              <w:rPr>
                <w:rFonts w:ascii="宋体" w:hAnsi="宋体"/>
                <w:sz w:val="18"/>
                <w:szCs w:val="18"/>
              </w:rPr>
            </w:pPr>
            <w:r>
              <w:rPr>
                <w:rFonts w:hint="eastAsia" w:ascii="宋体" w:hAnsi="宋体"/>
                <w:sz w:val="18"/>
                <w:szCs w:val="18"/>
              </w:rPr>
              <w:t>经济</w:t>
            </w:r>
          </w:p>
          <w:p>
            <w:pPr>
              <w:jc w:val="center"/>
              <w:rPr>
                <w:rFonts w:ascii="宋体" w:hAnsi="宋体"/>
                <w:sz w:val="18"/>
                <w:szCs w:val="18"/>
              </w:rPr>
            </w:pPr>
            <w:r>
              <w:rPr>
                <w:rFonts w:hint="eastAsia" w:ascii="宋体" w:hAnsi="宋体"/>
                <w:sz w:val="18"/>
                <w:szCs w:val="18"/>
              </w:rPr>
              <w:t>类型</w:t>
            </w:r>
          </w:p>
        </w:tc>
        <w:tc>
          <w:tcPr>
            <w:tcW w:w="900" w:type="dxa"/>
            <w:gridSpan w:val="3"/>
            <w:vAlign w:val="center"/>
          </w:tcPr>
          <w:p>
            <w:pPr>
              <w:jc w:val="center"/>
              <w:rPr>
                <w:rFonts w:ascii="宋体" w:hAnsi="宋体"/>
                <w:sz w:val="18"/>
                <w:szCs w:val="18"/>
              </w:rPr>
            </w:pPr>
          </w:p>
        </w:tc>
        <w:tc>
          <w:tcPr>
            <w:tcW w:w="1296" w:type="dxa"/>
            <w:gridSpan w:val="4"/>
            <w:vAlign w:val="center"/>
          </w:tcPr>
          <w:p>
            <w:pPr>
              <w:jc w:val="center"/>
              <w:rPr>
                <w:rFonts w:ascii="宋体" w:hAnsi="宋体"/>
                <w:sz w:val="18"/>
                <w:szCs w:val="18"/>
              </w:rPr>
            </w:pPr>
            <w:r>
              <w:rPr>
                <w:rFonts w:hint="eastAsia" w:ascii="宋体" w:hAnsi="宋体"/>
                <w:sz w:val="18"/>
                <w:szCs w:val="18"/>
              </w:rPr>
              <w:t>授权代表</w:t>
            </w:r>
          </w:p>
        </w:tc>
        <w:tc>
          <w:tcPr>
            <w:tcW w:w="603" w:type="dxa"/>
            <w:vAlign w:val="center"/>
          </w:tcPr>
          <w:p>
            <w:pPr>
              <w:jc w:val="center"/>
              <w:rPr>
                <w:rFonts w:ascii="宋体" w:hAnsi="宋体"/>
                <w:sz w:val="18"/>
                <w:szCs w:val="18"/>
              </w:rPr>
            </w:pPr>
          </w:p>
        </w:tc>
        <w:tc>
          <w:tcPr>
            <w:tcW w:w="716" w:type="dxa"/>
            <w:gridSpan w:val="2"/>
            <w:vAlign w:val="center"/>
          </w:tcPr>
          <w:p>
            <w:pPr>
              <w:jc w:val="center"/>
              <w:rPr>
                <w:rFonts w:ascii="宋体" w:hAnsi="宋体"/>
                <w:sz w:val="18"/>
                <w:szCs w:val="18"/>
              </w:rPr>
            </w:pPr>
            <w:r>
              <w:rPr>
                <w:rFonts w:hint="eastAsia" w:ascii="宋体" w:hAnsi="宋体"/>
                <w:sz w:val="18"/>
                <w:szCs w:val="18"/>
              </w:rPr>
              <w:t>职务</w:t>
            </w:r>
          </w:p>
        </w:tc>
        <w:tc>
          <w:tcPr>
            <w:tcW w:w="60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一、单</w:t>
            </w:r>
          </w:p>
          <w:p>
            <w:pPr>
              <w:jc w:val="center"/>
              <w:rPr>
                <w:rFonts w:ascii="宋体" w:hAnsi="宋体"/>
                <w:sz w:val="18"/>
                <w:szCs w:val="18"/>
              </w:rPr>
            </w:pPr>
            <w:r>
              <w:rPr>
                <w:rFonts w:hint="eastAsia" w:ascii="宋体" w:hAnsi="宋体"/>
                <w:sz w:val="18"/>
                <w:szCs w:val="18"/>
              </w:rPr>
              <w:t>位简历</w:t>
            </w:r>
          </w:p>
          <w:p>
            <w:pPr>
              <w:jc w:val="center"/>
              <w:rPr>
                <w:rFonts w:ascii="宋体" w:hAnsi="宋体"/>
                <w:sz w:val="18"/>
                <w:szCs w:val="18"/>
              </w:rPr>
            </w:pPr>
            <w:r>
              <w:rPr>
                <w:rFonts w:hint="eastAsia" w:ascii="宋体" w:hAnsi="宋体"/>
                <w:sz w:val="18"/>
                <w:szCs w:val="18"/>
              </w:rPr>
              <w:t>及机构</w:t>
            </w:r>
          </w:p>
        </w:tc>
        <w:tc>
          <w:tcPr>
            <w:tcW w:w="4041" w:type="dxa"/>
            <w:gridSpan w:val="13"/>
            <w:tcBorders>
              <w:bottom w:val="single" w:color="auto" w:sz="4" w:space="0"/>
            </w:tcBorders>
            <w:vAlign w:val="center"/>
          </w:tcPr>
          <w:p>
            <w:pPr>
              <w:jc w:val="center"/>
              <w:rPr>
                <w:rFonts w:ascii="宋体" w:hAnsi="宋体"/>
                <w:sz w:val="18"/>
                <w:szCs w:val="18"/>
              </w:rPr>
            </w:pPr>
          </w:p>
          <w:p>
            <w:pPr>
              <w:jc w:val="center"/>
              <w:rPr>
                <w:rFonts w:ascii="宋体" w:hAnsi="宋体"/>
                <w:sz w:val="18"/>
                <w:szCs w:val="18"/>
              </w:rPr>
            </w:pPr>
          </w:p>
          <w:p>
            <w:pPr>
              <w:pStyle w:val="24"/>
              <w:spacing w:before="0"/>
              <w:jc w:val="center"/>
              <w:rPr>
                <w:rFonts w:ascii="宋体" w:hAnsi="宋体"/>
                <w:sz w:val="18"/>
                <w:szCs w:val="18"/>
              </w:rPr>
            </w:pPr>
          </w:p>
        </w:tc>
        <w:tc>
          <w:tcPr>
            <w:tcW w:w="639"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单位优</w:t>
            </w:r>
          </w:p>
          <w:p>
            <w:pPr>
              <w:jc w:val="center"/>
              <w:rPr>
                <w:rFonts w:ascii="宋体" w:hAnsi="宋体"/>
                <w:sz w:val="18"/>
                <w:szCs w:val="18"/>
              </w:rPr>
            </w:pPr>
            <w:r>
              <w:rPr>
                <w:rFonts w:hint="eastAsia" w:ascii="宋体" w:hAnsi="宋体"/>
                <w:sz w:val="18"/>
                <w:szCs w:val="18"/>
              </w:rPr>
              <w:t>势及特</w:t>
            </w:r>
          </w:p>
          <w:p>
            <w:pPr>
              <w:jc w:val="center"/>
              <w:rPr>
                <w:rFonts w:ascii="宋体" w:hAnsi="宋体"/>
                <w:sz w:val="18"/>
                <w:szCs w:val="18"/>
              </w:rPr>
            </w:pPr>
            <w:r>
              <w:rPr>
                <w:rFonts w:hint="eastAsia" w:ascii="宋体" w:hAnsi="宋体"/>
                <w:sz w:val="18"/>
                <w:szCs w:val="18"/>
              </w:rPr>
              <w:t>长</w:t>
            </w:r>
          </w:p>
        </w:tc>
        <w:tc>
          <w:tcPr>
            <w:tcW w:w="4122" w:type="dxa"/>
            <w:gridSpan w:val="11"/>
            <w:tcBorders>
              <w:bottom w:val="single" w:color="auto" w:sz="4" w:space="0"/>
            </w:tcBorders>
            <w:vAlign w:val="center"/>
          </w:tcPr>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二、单</w:t>
            </w:r>
          </w:p>
          <w:p>
            <w:pPr>
              <w:jc w:val="center"/>
              <w:rPr>
                <w:rFonts w:ascii="宋体" w:hAnsi="宋体"/>
                <w:sz w:val="18"/>
                <w:szCs w:val="18"/>
              </w:rPr>
            </w:pPr>
            <w:r>
              <w:rPr>
                <w:rFonts w:hint="eastAsia" w:ascii="宋体" w:hAnsi="宋体"/>
                <w:sz w:val="18"/>
                <w:szCs w:val="18"/>
              </w:rPr>
              <w:t>位概况</w:t>
            </w:r>
          </w:p>
        </w:tc>
        <w:tc>
          <w:tcPr>
            <w:tcW w:w="500" w:type="dxa"/>
            <w:vMerge w:val="restart"/>
            <w:tcBorders>
              <w:bottom w:val="single" w:color="auto" w:sz="4" w:space="0"/>
            </w:tcBorders>
            <w:vAlign w:val="center"/>
          </w:tcPr>
          <w:p>
            <w:pPr>
              <w:jc w:val="center"/>
              <w:rPr>
                <w:rFonts w:ascii="宋体" w:hAnsi="宋体"/>
                <w:sz w:val="18"/>
                <w:szCs w:val="18"/>
              </w:rPr>
            </w:pPr>
            <w:r>
              <w:rPr>
                <w:rFonts w:hint="eastAsia" w:ascii="宋体" w:hAnsi="宋体"/>
                <w:sz w:val="18"/>
                <w:szCs w:val="18"/>
              </w:rPr>
              <w:t>职工</w:t>
            </w:r>
          </w:p>
          <w:p>
            <w:pPr>
              <w:jc w:val="center"/>
              <w:rPr>
                <w:rFonts w:ascii="宋体" w:hAnsi="宋体"/>
                <w:sz w:val="18"/>
                <w:szCs w:val="18"/>
              </w:rPr>
            </w:pPr>
            <w:r>
              <w:rPr>
                <w:rFonts w:hint="eastAsia" w:ascii="宋体" w:hAnsi="宋体"/>
                <w:sz w:val="18"/>
                <w:szCs w:val="18"/>
              </w:rPr>
              <w:t>总数</w:t>
            </w:r>
          </w:p>
        </w:tc>
        <w:tc>
          <w:tcPr>
            <w:tcW w:w="1303" w:type="dxa"/>
            <w:gridSpan w:val="4"/>
            <w:vMerge w:val="restart"/>
            <w:tcBorders>
              <w:bottom w:val="single" w:color="auto" w:sz="4" w:space="0"/>
            </w:tcBorders>
          </w:tcPr>
          <w:p>
            <w:pPr>
              <w:rPr>
                <w:rFonts w:ascii="宋体" w:hAnsi="宋体"/>
                <w:position w:val="-28"/>
                <w:sz w:val="18"/>
                <w:szCs w:val="18"/>
              </w:rPr>
            </w:pPr>
            <w:r>
              <w:rPr>
                <w:rFonts w:hint="eastAsia" w:ascii="宋体" w:hAnsi="宋体"/>
                <w:position w:val="-28"/>
                <w:sz w:val="18"/>
                <w:szCs w:val="18"/>
              </w:rPr>
              <w:t>人</w:t>
            </w:r>
          </w:p>
          <w:p>
            <w:pPr>
              <w:rPr>
                <w:rFonts w:ascii="宋体" w:hAnsi="宋体"/>
                <w:sz w:val="18"/>
                <w:szCs w:val="18"/>
              </w:rPr>
            </w:pPr>
          </w:p>
        </w:tc>
        <w:tc>
          <w:tcPr>
            <w:tcW w:w="2238" w:type="dxa"/>
            <w:gridSpan w:val="8"/>
            <w:vMerge w:val="restart"/>
            <w:tcBorders>
              <w:bottom w:val="single" w:color="auto" w:sz="4" w:space="0"/>
            </w:tcBorders>
            <w:vAlign w:val="center"/>
          </w:tcPr>
          <w:p>
            <w:pPr>
              <w:rPr>
                <w:rFonts w:ascii="宋体" w:hAnsi="宋体"/>
                <w:sz w:val="18"/>
                <w:szCs w:val="18"/>
              </w:rPr>
            </w:pPr>
            <w:r>
              <w:rPr>
                <w:rFonts w:hint="eastAsia" w:ascii="宋体" w:hAnsi="宋体"/>
                <w:sz w:val="18"/>
                <w:szCs w:val="18"/>
              </w:rPr>
              <w:t>生产工人      人</w:t>
            </w:r>
          </w:p>
          <w:p>
            <w:pPr>
              <w:rPr>
                <w:rFonts w:ascii="宋体" w:hAnsi="宋体"/>
                <w:sz w:val="18"/>
                <w:szCs w:val="18"/>
              </w:rPr>
            </w:pPr>
            <w:r>
              <w:rPr>
                <w:rFonts w:hint="eastAsia" w:ascii="宋体" w:hAnsi="宋体"/>
                <w:sz w:val="18"/>
                <w:szCs w:val="18"/>
              </w:rPr>
              <w:t>工程技术人员    人</w:t>
            </w:r>
          </w:p>
        </w:tc>
        <w:tc>
          <w:tcPr>
            <w:tcW w:w="639" w:type="dxa"/>
            <w:gridSpan w:val="2"/>
            <w:vMerge w:val="restart"/>
            <w:tcBorders>
              <w:bottom w:val="single" w:color="auto" w:sz="4" w:space="0"/>
            </w:tcBorders>
            <w:vAlign w:val="center"/>
          </w:tcPr>
          <w:p>
            <w:pPr>
              <w:jc w:val="center"/>
              <w:rPr>
                <w:rFonts w:ascii="宋体" w:hAnsi="宋体"/>
                <w:sz w:val="18"/>
                <w:szCs w:val="18"/>
              </w:rPr>
            </w:pPr>
            <w:r>
              <w:rPr>
                <w:rFonts w:hint="eastAsia" w:ascii="宋体" w:hAnsi="宋体"/>
                <w:sz w:val="18"/>
                <w:szCs w:val="18"/>
              </w:rPr>
              <w:t>上一年</w:t>
            </w:r>
          </w:p>
        </w:tc>
        <w:tc>
          <w:tcPr>
            <w:tcW w:w="999" w:type="dxa"/>
            <w:gridSpan w:val="4"/>
            <w:tcBorders>
              <w:bottom w:val="single" w:color="auto" w:sz="4" w:space="0"/>
            </w:tcBorders>
            <w:vAlign w:val="center"/>
          </w:tcPr>
          <w:p>
            <w:pPr>
              <w:jc w:val="center"/>
              <w:rPr>
                <w:rFonts w:ascii="宋体" w:hAnsi="宋体"/>
                <w:sz w:val="18"/>
                <w:szCs w:val="18"/>
              </w:rPr>
            </w:pPr>
            <w:r>
              <w:rPr>
                <w:rFonts w:hint="eastAsia" w:ascii="宋体" w:hAnsi="宋体"/>
                <w:sz w:val="18"/>
                <w:szCs w:val="18"/>
              </w:rPr>
              <w:t>指标名称</w:t>
            </w:r>
          </w:p>
        </w:tc>
        <w:tc>
          <w:tcPr>
            <w:tcW w:w="1028"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计算单位</w:t>
            </w:r>
          </w:p>
        </w:tc>
        <w:tc>
          <w:tcPr>
            <w:tcW w:w="2095" w:type="dxa"/>
            <w:gridSpan w:val="5"/>
            <w:tcBorders>
              <w:bottom w:val="single" w:color="auto" w:sz="4" w:space="0"/>
            </w:tcBorders>
            <w:vAlign w:val="center"/>
          </w:tcPr>
          <w:p>
            <w:pPr>
              <w:jc w:val="center"/>
              <w:rPr>
                <w:rFonts w:ascii="宋体" w:hAnsi="宋体"/>
                <w:sz w:val="18"/>
                <w:szCs w:val="18"/>
              </w:rPr>
            </w:pPr>
            <w:r>
              <w:rPr>
                <w:rFonts w:hint="eastAsia" w:ascii="宋体" w:hAnsi="宋体"/>
                <w:sz w:val="18"/>
                <w:szCs w:val="18"/>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bottom w:val="single" w:color="auto" w:sz="4" w:space="0"/>
            </w:tcBorders>
            <w:vAlign w:val="center"/>
          </w:tcPr>
          <w:p>
            <w:pPr>
              <w:jc w:val="center"/>
              <w:rPr>
                <w:rFonts w:ascii="宋体" w:hAnsi="宋体"/>
                <w:sz w:val="18"/>
                <w:szCs w:val="18"/>
              </w:rPr>
            </w:pPr>
          </w:p>
        </w:tc>
        <w:tc>
          <w:tcPr>
            <w:tcW w:w="1303" w:type="dxa"/>
            <w:gridSpan w:val="4"/>
            <w:vMerge w:val="continue"/>
            <w:tcBorders>
              <w:bottom w:val="single" w:color="auto" w:sz="4" w:space="0"/>
            </w:tcBorders>
          </w:tcPr>
          <w:p>
            <w:pPr>
              <w:rPr>
                <w:rFonts w:ascii="宋体" w:hAnsi="宋体"/>
                <w:sz w:val="18"/>
                <w:szCs w:val="18"/>
              </w:rPr>
            </w:pPr>
          </w:p>
        </w:tc>
        <w:tc>
          <w:tcPr>
            <w:tcW w:w="2238" w:type="dxa"/>
            <w:gridSpan w:val="8"/>
            <w:vMerge w:val="continue"/>
            <w:tcBorders>
              <w:bottom w:val="single" w:color="auto" w:sz="4" w:space="0"/>
            </w:tcBorders>
          </w:tcPr>
          <w:p>
            <w:pPr>
              <w:rPr>
                <w:rFonts w:ascii="宋体" w:hAnsi="宋体"/>
                <w:sz w:val="18"/>
                <w:szCs w:val="18"/>
              </w:rPr>
            </w:pPr>
          </w:p>
        </w:tc>
        <w:tc>
          <w:tcPr>
            <w:tcW w:w="639" w:type="dxa"/>
            <w:gridSpan w:val="2"/>
            <w:vMerge w:val="continue"/>
            <w:tcBorders>
              <w:bottom w:val="single" w:color="auto" w:sz="4" w:space="0"/>
            </w:tcBorders>
          </w:tcPr>
          <w:p>
            <w:pPr>
              <w:rPr>
                <w:rFonts w:ascii="宋体" w:hAnsi="宋体"/>
                <w:sz w:val="18"/>
                <w:szCs w:val="18"/>
              </w:rPr>
            </w:pPr>
          </w:p>
        </w:tc>
        <w:tc>
          <w:tcPr>
            <w:tcW w:w="999" w:type="dxa"/>
            <w:gridSpan w:val="4"/>
            <w:tcBorders>
              <w:bottom w:val="single" w:color="auto" w:sz="4" w:space="0"/>
            </w:tcBorders>
            <w:vAlign w:val="center"/>
          </w:tcPr>
          <w:p>
            <w:pPr>
              <w:jc w:val="center"/>
              <w:rPr>
                <w:rFonts w:ascii="宋体" w:hAnsi="宋体"/>
                <w:sz w:val="18"/>
                <w:szCs w:val="18"/>
              </w:rPr>
            </w:pPr>
            <w:r>
              <w:rPr>
                <w:rFonts w:hint="eastAsia" w:ascii="宋体" w:hAnsi="宋体"/>
                <w:sz w:val="18"/>
                <w:szCs w:val="18"/>
              </w:rPr>
              <w:t>工业总产值</w:t>
            </w:r>
          </w:p>
        </w:tc>
        <w:tc>
          <w:tcPr>
            <w:tcW w:w="1028" w:type="dxa"/>
            <w:gridSpan w:val="2"/>
            <w:tcBorders>
              <w:bottom w:val="single" w:color="auto" w:sz="4" w:space="0"/>
            </w:tcBorders>
            <w:vAlign w:val="center"/>
          </w:tcPr>
          <w:p>
            <w:pPr>
              <w:rPr>
                <w:rFonts w:ascii="宋体" w:hAnsi="宋体"/>
                <w:sz w:val="18"/>
                <w:szCs w:val="18"/>
              </w:rPr>
            </w:pPr>
            <w:r>
              <w:rPr>
                <w:rFonts w:hint="eastAsia" w:ascii="宋体" w:hAnsi="宋体"/>
                <w:sz w:val="18"/>
                <w:szCs w:val="18"/>
              </w:rPr>
              <w:t>万元</w:t>
            </w:r>
          </w:p>
        </w:tc>
        <w:tc>
          <w:tcPr>
            <w:tcW w:w="2095" w:type="dxa"/>
            <w:gridSpan w:val="5"/>
            <w:tcBorders>
              <w:bottom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流动</w:t>
            </w:r>
          </w:p>
          <w:p>
            <w:pPr>
              <w:jc w:val="center"/>
              <w:rPr>
                <w:rFonts w:ascii="宋体" w:hAnsi="宋体"/>
                <w:sz w:val="18"/>
                <w:szCs w:val="18"/>
              </w:rPr>
            </w:pPr>
            <w:r>
              <w:rPr>
                <w:rFonts w:hint="eastAsia" w:ascii="宋体" w:hAnsi="宋体"/>
                <w:sz w:val="18"/>
                <w:szCs w:val="18"/>
              </w:rPr>
              <w:t>资金</w:t>
            </w:r>
          </w:p>
        </w:tc>
        <w:tc>
          <w:tcPr>
            <w:tcW w:w="1303" w:type="dxa"/>
            <w:gridSpan w:val="4"/>
            <w:vMerge w:val="restart"/>
            <w:tcBorders>
              <w:top w:val="single" w:color="auto" w:sz="4" w:space="0"/>
            </w:tcBorders>
          </w:tcPr>
          <w:p>
            <w:pPr>
              <w:rPr>
                <w:rFonts w:ascii="宋体" w:hAnsi="宋体"/>
                <w:position w:val="-30"/>
                <w:sz w:val="18"/>
                <w:szCs w:val="18"/>
              </w:rPr>
            </w:pPr>
            <w:r>
              <w:rPr>
                <w:rFonts w:hint="eastAsia" w:ascii="宋体" w:hAnsi="宋体"/>
                <w:position w:val="-30"/>
                <w:sz w:val="18"/>
                <w:szCs w:val="18"/>
              </w:rPr>
              <w:t>万元</w:t>
            </w:r>
          </w:p>
        </w:tc>
        <w:tc>
          <w:tcPr>
            <w:tcW w:w="441" w:type="dxa"/>
            <w:gridSpan w:val="3"/>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资金</w:t>
            </w:r>
          </w:p>
          <w:p>
            <w:pPr>
              <w:jc w:val="center"/>
              <w:rPr>
                <w:rFonts w:ascii="宋体" w:hAnsi="宋体"/>
                <w:sz w:val="18"/>
                <w:szCs w:val="18"/>
              </w:rPr>
            </w:pPr>
            <w:r>
              <w:rPr>
                <w:rFonts w:hint="eastAsia" w:ascii="宋体" w:hAnsi="宋体"/>
                <w:sz w:val="18"/>
                <w:szCs w:val="18"/>
              </w:rPr>
              <w:t>来源</w:t>
            </w: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自有</w:t>
            </w:r>
          </w:p>
          <w:p>
            <w:pPr>
              <w:jc w:val="center"/>
              <w:rPr>
                <w:rFonts w:ascii="宋体" w:hAnsi="宋体"/>
                <w:sz w:val="18"/>
                <w:szCs w:val="18"/>
              </w:rPr>
            </w:pPr>
            <w:r>
              <w:rPr>
                <w:rFonts w:hint="eastAsia" w:ascii="宋体" w:hAnsi="宋体"/>
                <w:sz w:val="18"/>
                <w:szCs w:val="18"/>
              </w:rPr>
              <w:t>资金</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万元</w:t>
            </w:r>
          </w:p>
        </w:tc>
        <w:tc>
          <w:tcPr>
            <w:tcW w:w="639" w:type="dxa"/>
            <w:gridSpan w:val="2"/>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主要经</w:t>
            </w:r>
          </w:p>
          <w:p>
            <w:pPr>
              <w:jc w:val="center"/>
              <w:rPr>
                <w:rFonts w:ascii="宋体" w:hAnsi="宋体"/>
                <w:sz w:val="18"/>
                <w:szCs w:val="18"/>
              </w:rPr>
            </w:pPr>
            <w:r>
              <w:rPr>
                <w:rFonts w:hint="eastAsia" w:ascii="宋体" w:hAnsi="宋体"/>
                <w:sz w:val="18"/>
                <w:szCs w:val="18"/>
              </w:rPr>
              <w:t>济指标</w:t>
            </w:r>
          </w:p>
        </w:tc>
        <w:tc>
          <w:tcPr>
            <w:tcW w:w="999" w:type="dxa"/>
            <w:gridSpan w:val="4"/>
            <w:tcBorders>
              <w:top w:val="single" w:color="auto" w:sz="4" w:space="0"/>
            </w:tcBorders>
            <w:vAlign w:val="center"/>
          </w:tcPr>
          <w:p>
            <w:pPr>
              <w:jc w:val="center"/>
              <w:rPr>
                <w:rFonts w:ascii="宋体" w:hAnsi="宋体"/>
                <w:sz w:val="18"/>
                <w:szCs w:val="18"/>
              </w:rPr>
            </w:pPr>
            <w:r>
              <w:rPr>
                <w:rFonts w:hint="eastAsia" w:ascii="宋体" w:hAnsi="宋体"/>
                <w:sz w:val="18"/>
                <w:szCs w:val="18"/>
              </w:rPr>
              <w:t>实现利润</w:t>
            </w:r>
          </w:p>
        </w:tc>
        <w:tc>
          <w:tcPr>
            <w:tcW w:w="1028" w:type="dxa"/>
            <w:gridSpan w:val="2"/>
            <w:tcBorders>
              <w:top w:val="single" w:color="auto" w:sz="4" w:space="0"/>
            </w:tcBorders>
            <w:vAlign w:val="center"/>
          </w:tcPr>
          <w:p>
            <w:pPr>
              <w:rPr>
                <w:rFonts w:ascii="宋体" w:hAnsi="宋体"/>
                <w:sz w:val="18"/>
                <w:szCs w:val="18"/>
              </w:rPr>
            </w:pPr>
            <w:r>
              <w:rPr>
                <w:rFonts w:hint="eastAsia" w:ascii="宋体" w:hAnsi="宋体"/>
                <w:sz w:val="18"/>
                <w:szCs w:val="18"/>
              </w:rPr>
              <w:t>万 元</w:t>
            </w:r>
          </w:p>
        </w:tc>
        <w:tc>
          <w:tcPr>
            <w:tcW w:w="2095" w:type="dxa"/>
            <w:gridSpan w:val="5"/>
            <w:tcBorders>
              <w:top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top w:val="single" w:color="auto" w:sz="4" w:space="0"/>
              <w:bottom w:val="single" w:color="auto" w:sz="4" w:space="0"/>
            </w:tcBorders>
            <w:vAlign w:val="center"/>
          </w:tcPr>
          <w:p>
            <w:pPr>
              <w:jc w:val="center"/>
              <w:rPr>
                <w:rFonts w:ascii="宋体" w:hAnsi="宋体"/>
                <w:sz w:val="18"/>
                <w:szCs w:val="18"/>
              </w:rPr>
            </w:pPr>
          </w:p>
        </w:tc>
        <w:tc>
          <w:tcPr>
            <w:tcW w:w="1303" w:type="dxa"/>
            <w:gridSpan w:val="4"/>
            <w:vMerge w:val="continue"/>
            <w:tcBorders>
              <w:top w:val="single" w:color="auto" w:sz="4" w:space="0"/>
              <w:bottom w:val="single" w:color="auto" w:sz="4" w:space="0"/>
            </w:tcBorders>
          </w:tcPr>
          <w:p>
            <w:pPr>
              <w:rPr>
                <w:rFonts w:ascii="宋体" w:hAnsi="宋体"/>
                <w:sz w:val="18"/>
                <w:szCs w:val="18"/>
              </w:rPr>
            </w:pPr>
          </w:p>
        </w:tc>
        <w:tc>
          <w:tcPr>
            <w:tcW w:w="441" w:type="dxa"/>
            <w:gridSpan w:val="3"/>
            <w:vMerge w:val="continue"/>
            <w:tcBorders>
              <w:top w:val="single" w:color="auto" w:sz="4" w:space="0"/>
              <w:bottom w:val="single" w:color="auto" w:sz="4" w:space="0"/>
            </w:tcBorders>
            <w:vAlign w:val="center"/>
          </w:tcPr>
          <w:p>
            <w:pPr>
              <w:jc w:val="center"/>
              <w:rPr>
                <w:rFonts w:ascii="宋体" w:hAnsi="宋体"/>
                <w:sz w:val="18"/>
                <w:szCs w:val="18"/>
              </w:rPr>
            </w:pPr>
          </w:p>
        </w:tc>
        <w:tc>
          <w:tcPr>
            <w:tcW w:w="665" w:type="dxa"/>
            <w:gridSpan w:val="3"/>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银行</w:t>
            </w:r>
          </w:p>
          <w:p>
            <w:pPr>
              <w:jc w:val="center"/>
              <w:rPr>
                <w:rFonts w:ascii="宋体" w:hAnsi="宋体"/>
                <w:sz w:val="18"/>
                <w:szCs w:val="18"/>
              </w:rPr>
            </w:pPr>
            <w:r>
              <w:rPr>
                <w:rFonts w:hint="eastAsia" w:ascii="宋体" w:hAnsi="宋体"/>
                <w:sz w:val="18"/>
                <w:szCs w:val="18"/>
              </w:rPr>
              <w:t>贷款</w:t>
            </w:r>
          </w:p>
        </w:tc>
        <w:tc>
          <w:tcPr>
            <w:tcW w:w="1132" w:type="dxa"/>
            <w:gridSpan w:val="2"/>
            <w:tcBorders>
              <w:top w:val="single" w:color="auto" w:sz="4" w:space="0"/>
              <w:bottom w:val="single" w:color="auto" w:sz="4" w:space="0"/>
            </w:tcBorders>
            <w:vAlign w:val="center"/>
          </w:tcPr>
          <w:p>
            <w:pPr>
              <w:jc w:val="right"/>
              <w:rPr>
                <w:rFonts w:ascii="宋体" w:hAnsi="宋体"/>
                <w:sz w:val="18"/>
                <w:szCs w:val="18"/>
              </w:rPr>
            </w:pPr>
            <w:r>
              <w:rPr>
                <w:rFonts w:hint="eastAsia" w:ascii="宋体" w:hAnsi="宋体"/>
                <w:sz w:val="18"/>
                <w:szCs w:val="18"/>
              </w:rPr>
              <w:t>万元</w:t>
            </w:r>
          </w:p>
        </w:tc>
        <w:tc>
          <w:tcPr>
            <w:tcW w:w="639" w:type="dxa"/>
            <w:gridSpan w:val="2"/>
            <w:vMerge w:val="continue"/>
            <w:tcBorders>
              <w:top w:val="single" w:color="auto" w:sz="4" w:space="0"/>
              <w:bottom w:val="single" w:color="auto" w:sz="4" w:space="0"/>
            </w:tcBorders>
          </w:tcPr>
          <w:p>
            <w:pPr>
              <w:rPr>
                <w:rFonts w:ascii="宋体" w:hAnsi="宋体"/>
                <w:sz w:val="18"/>
                <w:szCs w:val="18"/>
              </w:rPr>
            </w:pPr>
          </w:p>
        </w:tc>
        <w:tc>
          <w:tcPr>
            <w:tcW w:w="613" w:type="dxa"/>
            <w:gridSpan w:val="2"/>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主 要</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产 品</w:t>
            </w:r>
          </w:p>
        </w:tc>
        <w:tc>
          <w:tcPr>
            <w:tcW w:w="3509" w:type="dxa"/>
            <w:gridSpan w:val="9"/>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固定</w:t>
            </w:r>
          </w:p>
          <w:p>
            <w:pPr>
              <w:jc w:val="center"/>
              <w:rPr>
                <w:rFonts w:ascii="宋体" w:hAnsi="宋体"/>
                <w:sz w:val="18"/>
                <w:szCs w:val="18"/>
              </w:rPr>
            </w:pPr>
            <w:r>
              <w:rPr>
                <w:rFonts w:hint="eastAsia" w:ascii="宋体" w:hAnsi="宋体"/>
                <w:sz w:val="18"/>
                <w:szCs w:val="18"/>
              </w:rPr>
              <w:t>资产</w:t>
            </w:r>
          </w:p>
        </w:tc>
        <w:tc>
          <w:tcPr>
            <w:tcW w:w="1303" w:type="dxa"/>
            <w:gridSpan w:val="4"/>
            <w:vMerge w:val="restart"/>
            <w:tcBorders>
              <w:top w:val="single" w:color="auto" w:sz="4" w:space="0"/>
            </w:tcBorders>
            <w:vAlign w:val="center"/>
          </w:tcPr>
          <w:p>
            <w:pPr>
              <w:rPr>
                <w:rFonts w:ascii="宋体" w:hAnsi="宋体"/>
                <w:sz w:val="18"/>
                <w:szCs w:val="18"/>
              </w:rPr>
            </w:pPr>
            <w:r>
              <w:rPr>
                <w:rFonts w:hint="eastAsia" w:ascii="宋体" w:hAnsi="宋体"/>
                <w:sz w:val="18"/>
                <w:szCs w:val="18"/>
              </w:rPr>
              <w:t>原值   万元</w:t>
            </w:r>
          </w:p>
          <w:p>
            <w:pPr>
              <w:rPr>
                <w:rFonts w:ascii="宋体" w:hAnsi="宋体"/>
                <w:sz w:val="18"/>
                <w:szCs w:val="18"/>
              </w:rPr>
            </w:pPr>
            <w:r>
              <w:rPr>
                <w:rFonts w:hint="eastAsia" w:ascii="宋体" w:hAnsi="宋体"/>
                <w:sz w:val="18"/>
                <w:szCs w:val="18"/>
              </w:rPr>
              <w:t>净值   万元</w:t>
            </w:r>
          </w:p>
        </w:tc>
        <w:tc>
          <w:tcPr>
            <w:tcW w:w="441" w:type="dxa"/>
            <w:gridSpan w:val="3"/>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资金</w:t>
            </w:r>
          </w:p>
          <w:p>
            <w:pPr>
              <w:jc w:val="center"/>
              <w:rPr>
                <w:rFonts w:ascii="宋体" w:hAnsi="宋体"/>
                <w:sz w:val="18"/>
                <w:szCs w:val="18"/>
              </w:rPr>
            </w:pPr>
            <w:r>
              <w:rPr>
                <w:rFonts w:hint="eastAsia" w:ascii="宋体" w:hAnsi="宋体"/>
                <w:sz w:val="18"/>
                <w:szCs w:val="18"/>
              </w:rPr>
              <w:t>性质</w:t>
            </w: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生产性</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万元</w:t>
            </w:r>
          </w:p>
        </w:tc>
        <w:tc>
          <w:tcPr>
            <w:tcW w:w="639" w:type="dxa"/>
            <w:gridSpan w:val="2"/>
            <w:vMerge w:val="restart"/>
            <w:tcBorders>
              <w:top w:val="single" w:color="auto" w:sz="4" w:space="0"/>
            </w:tcBorders>
          </w:tcPr>
          <w:p>
            <w:pPr>
              <w:rPr>
                <w:rFonts w:ascii="宋体" w:hAnsi="宋体"/>
                <w:sz w:val="18"/>
                <w:szCs w:val="18"/>
              </w:rPr>
            </w:pPr>
          </w:p>
        </w:tc>
        <w:tc>
          <w:tcPr>
            <w:tcW w:w="613" w:type="dxa"/>
            <w:gridSpan w:val="2"/>
            <w:vMerge w:val="continue"/>
            <w:vAlign w:val="center"/>
          </w:tcPr>
          <w:p>
            <w:pPr>
              <w:jc w:val="cente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top w:val="single" w:color="auto" w:sz="4" w:space="0"/>
            </w:tcBorders>
            <w:vAlign w:val="center"/>
          </w:tcPr>
          <w:p>
            <w:pPr>
              <w:jc w:val="center"/>
              <w:rPr>
                <w:rFonts w:ascii="宋体" w:hAnsi="宋体"/>
                <w:sz w:val="18"/>
                <w:szCs w:val="18"/>
              </w:rPr>
            </w:pPr>
          </w:p>
        </w:tc>
        <w:tc>
          <w:tcPr>
            <w:tcW w:w="1303" w:type="dxa"/>
            <w:gridSpan w:val="4"/>
            <w:vMerge w:val="continue"/>
            <w:tcBorders>
              <w:top w:val="single" w:color="auto" w:sz="4" w:space="0"/>
            </w:tcBorders>
          </w:tcPr>
          <w:p>
            <w:pPr>
              <w:rPr>
                <w:rFonts w:ascii="宋体" w:hAnsi="宋体"/>
                <w:sz w:val="18"/>
                <w:szCs w:val="18"/>
              </w:rPr>
            </w:pPr>
          </w:p>
        </w:tc>
        <w:tc>
          <w:tcPr>
            <w:tcW w:w="441" w:type="dxa"/>
            <w:gridSpan w:val="3"/>
            <w:vMerge w:val="continue"/>
            <w:tcBorders>
              <w:top w:val="single" w:color="auto" w:sz="4" w:space="0"/>
            </w:tcBorders>
          </w:tcPr>
          <w:p>
            <w:pPr>
              <w:rPr>
                <w:rFonts w:ascii="宋体" w:hAnsi="宋体"/>
                <w:sz w:val="18"/>
                <w:szCs w:val="18"/>
              </w:rPr>
            </w:pP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非生</w:t>
            </w:r>
          </w:p>
          <w:p>
            <w:pPr>
              <w:jc w:val="center"/>
              <w:rPr>
                <w:rFonts w:ascii="宋体" w:hAnsi="宋体"/>
                <w:sz w:val="18"/>
                <w:szCs w:val="18"/>
              </w:rPr>
            </w:pPr>
            <w:r>
              <w:rPr>
                <w:rFonts w:hint="eastAsia" w:ascii="宋体" w:hAnsi="宋体"/>
                <w:sz w:val="18"/>
                <w:szCs w:val="18"/>
              </w:rPr>
              <w:t>产性</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万元</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占地</w:t>
            </w:r>
          </w:p>
          <w:p>
            <w:pPr>
              <w:jc w:val="center"/>
              <w:rPr>
                <w:rFonts w:ascii="宋体" w:hAnsi="宋体"/>
                <w:sz w:val="18"/>
                <w:szCs w:val="18"/>
              </w:rPr>
            </w:pPr>
            <w:r>
              <w:rPr>
                <w:rFonts w:hint="eastAsia" w:ascii="宋体" w:hAnsi="宋体"/>
                <w:sz w:val="18"/>
                <w:szCs w:val="18"/>
              </w:rPr>
              <w:t>面积</w:t>
            </w:r>
          </w:p>
        </w:tc>
        <w:tc>
          <w:tcPr>
            <w:tcW w:w="1303" w:type="dxa"/>
            <w:gridSpan w:val="4"/>
            <w:vMerge w:val="restart"/>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平方米</w:t>
            </w:r>
          </w:p>
          <w:p>
            <w:pPr>
              <w:jc w:val="right"/>
              <w:rPr>
                <w:rFonts w:ascii="宋体" w:hAnsi="宋体"/>
                <w:sz w:val="18"/>
                <w:szCs w:val="18"/>
              </w:rPr>
            </w:pPr>
          </w:p>
        </w:tc>
        <w:tc>
          <w:tcPr>
            <w:tcW w:w="2238" w:type="dxa"/>
            <w:gridSpan w:val="8"/>
            <w:tcBorders>
              <w:top w:val="single" w:color="auto" w:sz="4" w:space="0"/>
            </w:tcBorders>
            <w:vAlign w:val="center"/>
          </w:tcPr>
          <w:p>
            <w:pPr>
              <w:jc w:val="center"/>
              <w:rPr>
                <w:rFonts w:ascii="宋体" w:hAnsi="宋体"/>
                <w:sz w:val="18"/>
                <w:szCs w:val="18"/>
              </w:rPr>
            </w:pPr>
            <w:r>
              <w:rPr>
                <w:rFonts w:hint="eastAsia" w:ascii="宋体" w:hAnsi="宋体"/>
                <w:sz w:val="18"/>
                <w:szCs w:val="18"/>
              </w:rPr>
              <w:t>房屋建筑面积      平方米</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jc w:val="center"/>
              <w:rPr>
                <w:rFonts w:ascii="宋体" w:hAnsi="宋体"/>
                <w:sz w:val="18"/>
                <w:szCs w:val="18"/>
              </w:rPr>
            </w:pPr>
          </w:p>
        </w:tc>
        <w:tc>
          <w:tcPr>
            <w:tcW w:w="500" w:type="dxa"/>
            <w:vMerge w:val="continue"/>
            <w:tcBorders>
              <w:top w:val="single" w:color="auto" w:sz="4" w:space="0"/>
            </w:tcBorders>
          </w:tcPr>
          <w:p>
            <w:pPr>
              <w:rPr>
                <w:rFonts w:ascii="宋体" w:hAnsi="宋体"/>
                <w:sz w:val="18"/>
                <w:szCs w:val="18"/>
              </w:rPr>
            </w:pPr>
          </w:p>
        </w:tc>
        <w:tc>
          <w:tcPr>
            <w:tcW w:w="1303" w:type="dxa"/>
            <w:gridSpan w:val="4"/>
            <w:vMerge w:val="continue"/>
            <w:tcBorders>
              <w:top w:val="single" w:color="auto" w:sz="4" w:space="0"/>
            </w:tcBorders>
          </w:tcPr>
          <w:p>
            <w:pPr>
              <w:rPr>
                <w:rFonts w:ascii="宋体" w:hAnsi="宋体"/>
                <w:sz w:val="18"/>
                <w:szCs w:val="18"/>
              </w:rPr>
            </w:pPr>
          </w:p>
        </w:tc>
        <w:tc>
          <w:tcPr>
            <w:tcW w:w="2238" w:type="dxa"/>
            <w:gridSpan w:val="8"/>
            <w:tcBorders>
              <w:top w:val="single" w:color="auto" w:sz="4" w:space="0"/>
            </w:tcBorders>
            <w:vAlign w:val="center"/>
          </w:tcPr>
          <w:p>
            <w:pPr>
              <w:jc w:val="center"/>
              <w:rPr>
                <w:rFonts w:ascii="宋体" w:hAnsi="宋体"/>
                <w:sz w:val="18"/>
                <w:szCs w:val="18"/>
              </w:rPr>
            </w:pPr>
            <w:r>
              <w:rPr>
                <w:rFonts w:hint="eastAsia" w:ascii="宋体" w:hAnsi="宋体"/>
                <w:sz w:val="18"/>
                <w:szCs w:val="18"/>
              </w:rPr>
              <w:t>厂房建筑面积      平方米</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jc w:val="center"/>
              <w:rPr>
                <w:rFonts w:ascii="宋体" w:hAnsi="宋体"/>
                <w:sz w:val="18"/>
                <w:szCs w:val="18"/>
              </w:rPr>
            </w:pPr>
            <w:r>
              <w:rPr>
                <w:rFonts w:hint="eastAsia" w:ascii="宋体" w:hAnsi="宋体"/>
                <w:sz w:val="18"/>
                <w:szCs w:val="18"/>
              </w:rPr>
              <w:t>三、主</w:t>
            </w:r>
          </w:p>
          <w:p>
            <w:pPr>
              <w:jc w:val="center"/>
              <w:rPr>
                <w:rFonts w:ascii="宋体" w:hAnsi="宋体"/>
                <w:sz w:val="18"/>
                <w:szCs w:val="18"/>
              </w:rPr>
            </w:pPr>
            <w:r>
              <w:rPr>
                <w:rFonts w:hint="eastAsia" w:ascii="宋体" w:hAnsi="宋体"/>
                <w:sz w:val="18"/>
                <w:szCs w:val="18"/>
              </w:rPr>
              <w:t>要产品</w:t>
            </w:r>
          </w:p>
          <w:p>
            <w:pPr>
              <w:rPr>
                <w:rFonts w:ascii="宋体" w:hAnsi="宋体"/>
                <w:sz w:val="18"/>
                <w:szCs w:val="18"/>
              </w:rPr>
            </w:pPr>
            <w:r>
              <w:rPr>
                <w:rFonts w:hint="eastAsia" w:ascii="宋体" w:hAnsi="宋体"/>
                <w:sz w:val="18"/>
                <w:szCs w:val="18"/>
              </w:rPr>
              <w:t>情况</w:t>
            </w:r>
          </w:p>
        </w:tc>
        <w:tc>
          <w:tcPr>
            <w:tcW w:w="1152" w:type="dxa"/>
            <w:gridSpan w:val="2"/>
            <w:vAlign w:val="center"/>
          </w:tcPr>
          <w:p>
            <w:pPr>
              <w:jc w:val="center"/>
              <w:rPr>
                <w:rFonts w:ascii="宋体" w:hAnsi="宋体"/>
                <w:sz w:val="18"/>
                <w:szCs w:val="18"/>
              </w:rPr>
            </w:pPr>
            <w:r>
              <w:rPr>
                <w:rFonts w:hint="eastAsia" w:ascii="宋体" w:hAnsi="宋体"/>
                <w:sz w:val="18"/>
                <w:szCs w:val="18"/>
              </w:rPr>
              <w:t>产品名称</w:t>
            </w:r>
          </w:p>
        </w:tc>
        <w:tc>
          <w:tcPr>
            <w:tcW w:w="351" w:type="dxa"/>
            <w:gridSpan w:val="2"/>
            <w:vAlign w:val="center"/>
          </w:tcPr>
          <w:p>
            <w:pPr>
              <w:jc w:val="center"/>
              <w:rPr>
                <w:rFonts w:ascii="宋体" w:hAnsi="宋体"/>
                <w:sz w:val="18"/>
                <w:szCs w:val="18"/>
              </w:rPr>
            </w:pPr>
            <w:r>
              <w:rPr>
                <w:rFonts w:hint="eastAsia" w:ascii="宋体" w:hAnsi="宋体"/>
                <w:sz w:val="18"/>
                <w:szCs w:val="18"/>
              </w:rPr>
              <w:t>型 号</w:t>
            </w:r>
          </w:p>
        </w:tc>
        <w:tc>
          <w:tcPr>
            <w:tcW w:w="678" w:type="dxa"/>
            <w:gridSpan w:val="3"/>
            <w:vAlign w:val="center"/>
          </w:tcPr>
          <w:p>
            <w:pPr>
              <w:jc w:val="center"/>
              <w:rPr>
                <w:rFonts w:ascii="宋体" w:hAnsi="宋体"/>
                <w:sz w:val="18"/>
                <w:szCs w:val="18"/>
              </w:rPr>
            </w:pPr>
            <w:r>
              <w:rPr>
                <w:rFonts w:hint="eastAsia" w:ascii="宋体" w:hAnsi="宋体"/>
                <w:sz w:val="18"/>
                <w:szCs w:val="18"/>
              </w:rPr>
              <w:t>上年</w:t>
            </w:r>
          </w:p>
          <w:p>
            <w:pPr>
              <w:jc w:val="center"/>
              <w:rPr>
                <w:rFonts w:ascii="宋体" w:hAnsi="宋体"/>
                <w:sz w:val="18"/>
                <w:szCs w:val="18"/>
              </w:rPr>
            </w:pPr>
            <w:r>
              <w:rPr>
                <w:rFonts w:hint="eastAsia" w:ascii="宋体" w:hAnsi="宋体"/>
                <w:sz w:val="18"/>
                <w:szCs w:val="18"/>
              </w:rPr>
              <w:t>产量</w:t>
            </w:r>
          </w:p>
        </w:tc>
        <w:tc>
          <w:tcPr>
            <w:tcW w:w="570" w:type="dxa"/>
            <w:gridSpan w:val="3"/>
            <w:vAlign w:val="center"/>
          </w:tcPr>
          <w:p>
            <w:pPr>
              <w:jc w:val="center"/>
              <w:rPr>
                <w:rFonts w:ascii="宋体" w:hAnsi="宋体"/>
                <w:sz w:val="18"/>
                <w:szCs w:val="18"/>
              </w:rPr>
            </w:pPr>
            <w:r>
              <w:rPr>
                <w:rFonts w:hint="eastAsia" w:ascii="宋体" w:hAnsi="宋体"/>
                <w:sz w:val="18"/>
                <w:szCs w:val="18"/>
              </w:rPr>
              <w:t>上年</w:t>
            </w:r>
          </w:p>
          <w:p>
            <w:pPr>
              <w:jc w:val="center"/>
              <w:rPr>
                <w:rFonts w:ascii="宋体" w:hAnsi="宋体"/>
                <w:sz w:val="18"/>
                <w:szCs w:val="18"/>
              </w:rPr>
            </w:pPr>
            <w:r>
              <w:rPr>
                <w:rFonts w:hint="eastAsia" w:ascii="宋体" w:hAnsi="宋体"/>
                <w:sz w:val="18"/>
                <w:szCs w:val="18"/>
              </w:rPr>
              <w:t>产值</w:t>
            </w:r>
          </w:p>
        </w:tc>
        <w:tc>
          <w:tcPr>
            <w:tcW w:w="1770" w:type="dxa"/>
            <w:gridSpan w:val="4"/>
            <w:vAlign w:val="center"/>
          </w:tcPr>
          <w:p>
            <w:pPr>
              <w:jc w:val="center"/>
              <w:rPr>
                <w:rFonts w:ascii="宋体" w:hAnsi="宋体"/>
                <w:sz w:val="18"/>
                <w:szCs w:val="18"/>
              </w:rPr>
            </w:pPr>
            <w:r>
              <w:rPr>
                <w:rFonts w:hint="eastAsia" w:ascii="宋体" w:hAnsi="宋体"/>
                <w:sz w:val="18"/>
                <w:szCs w:val="18"/>
              </w:rPr>
              <w:t>产品技术先进水平</w:t>
            </w:r>
          </w:p>
        </w:tc>
        <w:tc>
          <w:tcPr>
            <w:tcW w:w="609" w:type="dxa"/>
            <w:gridSpan w:val="2"/>
            <w:vAlign w:val="center"/>
          </w:tcPr>
          <w:p>
            <w:pPr>
              <w:jc w:val="center"/>
              <w:rPr>
                <w:rFonts w:ascii="宋体" w:hAnsi="宋体"/>
                <w:sz w:val="18"/>
                <w:szCs w:val="18"/>
              </w:rPr>
            </w:pPr>
            <w:r>
              <w:rPr>
                <w:rFonts w:hint="eastAsia" w:ascii="宋体" w:hAnsi="宋体"/>
                <w:sz w:val="18"/>
                <w:szCs w:val="18"/>
              </w:rPr>
              <w:t>优质</w:t>
            </w:r>
          </w:p>
          <w:p>
            <w:pPr>
              <w:jc w:val="center"/>
              <w:rPr>
                <w:rFonts w:ascii="宋体" w:hAnsi="宋体"/>
                <w:sz w:val="18"/>
                <w:szCs w:val="18"/>
              </w:rPr>
            </w:pPr>
            <w:r>
              <w:rPr>
                <w:rFonts w:hint="eastAsia" w:ascii="宋体" w:hAnsi="宋体"/>
                <w:sz w:val="18"/>
                <w:szCs w:val="18"/>
              </w:rPr>
              <w:t>品率</w:t>
            </w:r>
          </w:p>
        </w:tc>
        <w:tc>
          <w:tcPr>
            <w:tcW w:w="789" w:type="dxa"/>
            <w:gridSpan w:val="4"/>
            <w:vAlign w:val="center"/>
          </w:tcPr>
          <w:p>
            <w:pPr>
              <w:jc w:val="center"/>
              <w:rPr>
                <w:rFonts w:ascii="宋体" w:hAnsi="宋体"/>
                <w:sz w:val="18"/>
                <w:szCs w:val="18"/>
              </w:rPr>
            </w:pPr>
            <w:r>
              <w:rPr>
                <w:rFonts w:hint="eastAsia" w:ascii="宋体" w:hAnsi="宋体"/>
                <w:sz w:val="18"/>
                <w:szCs w:val="18"/>
              </w:rPr>
              <w:t>一等品率</w:t>
            </w:r>
          </w:p>
        </w:tc>
        <w:tc>
          <w:tcPr>
            <w:tcW w:w="1803" w:type="dxa"/>
            <w:gridSpan w:val="4"/>
            <w:vAlign w:val="center"/>
          </w:tcPr>
          <w:p>
            <w:pPr>
              <w:jc w:val="center"/>
              <w:rPr>
                <w:rFonts w:ascii="宋体" w:hAnsi="宋体"/>
                <w:sz w:val="18"/>
                <w:szCs w:val="18"/>
              </w:rPr>
            </w:pPr>
            <w:r>
              <w:rPr>
                <w:rFonts w:hint="eastAsia" w:ascii="宋体" w:hAnsi="宋体"/>
                <w:sz w:val="18"/>
                <w:szCs w:val="18"/>
              </w:rPr>
              <w:t>曾获何级何种奖励</w:t>
            </w:r>
          </w:p>
        </w:tc>
        <w:tc>
          <w:tcPr>
            <w:tcW w:w="1080" w:type="dxa"/>
            <w:gridSpan w:val="2"/>
            <w:vAlign w:val="center"/>
          </w:tcPr>
          <w:p>
            <w:pPr>
              <w:jc w:val="center"/>
              <w:rPr>
                <w:rFonts w:ascii="宋体" w:hAnsi="宋体"/>
                <w:sz w:val="18"/>
                <w:szCs w:val="18"/>
              </w:rPr>
            </w:pPr>
            <w:r>
              <w:rPr>
                <w:rFonts w:hint="eastAsia" w:ascii="宋体" w:hAnsi="宋体"/>
                <w:sz w:val="18"/>
                <w:szCs w:val="18"/>
              </w:rPr>
              <w:t>主要用户</w:t>
            </w:r>
          </w:p>
          <w:p>
            <w:pPr>
              <w:jc w:val="center"/>
              <w:rPr>
                <w:rFonts w:ascii="宋体" w:hAnsi="宋体"/>
                <w:sz w:val="18"/>
                <w:szCs w:val="18"/>
              </w:rPr>
            </w:pPr>
            <w:r>
              <w:rPr>
                <w:rFonts w:hint="eastAsia" w:ascii="宋体" w:hAnsi="宋体"/>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bl>
    <w:p>
      <w:pPr>
        <w:rPr>
          <w:rFonts w:ascii="宋体" w:hAnsi="宋体"/>
        </w:rPr>
      </w:pPr>
    </w:p>
    <w:p>
      <w:pPr>
        <w:rPr>
          <w:rFonts w:ascii="宋体" w:hAnsi="宋体"/>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pStyle w:val="30"/>
        <w:spacing w:after="0" w:line="560" w:lineRule="exact"/>
        <w:rPr>
          <w:rFonts w:ascii="宋体" w:hAnsi="宋体"/>
        </w:rPr>
        <w:sectPr>
          <w:pgSz w:w="11907" w:h="16840"/>
          <w:pgMar w:top="1702" w:right="1418" w:bottom="1418" w:left="1418" w:header="851" w:footer="822" w:gutter="0"/>
          <w:cols w:space="720" w:num="1"/>
          <w:docGrid w:linePitch="290" w:charSpace="-3931"/>
        </w:sectPr>
      </w:pPr>
      <w:r>
        <w:rPr>
          <w:rFonts w:hint="eastAsia" w:ascii="宋体" w:hAnsi="宋体"/>
          <w:sz w:val="24"/>
        </w:rPr>
        <w:t>日  期：年月日</w:t>
      </w:r>
    </w:p>
    <w:p>
      <w:pPr>
        <w:pStyle w:val="4"/>
        <w:spacing w:before="120" w:after="120" w:line="360" w:lineRule="exact"/>
        <w:rPr>
          <w:rFonts w:ascii="宋体" w:hAnsi="宋体"/>
          <w:b w:val="0"/>
          <w:bCs w:val="0"/>
          <w:sz w:val="24"/>
          <w:szCs w:val="24"/>
        </w:rPr>
      </w:pPr>
      <w:bookmarkStart w:id="275" w:name="_Toc453709583"/>
      <w:bookmarkStart w:id="276" w:name="_Toc15595"/>
      <w:bookmarkStart w:id="277" w:name="_Toc6130"/>
      <w:bookmarkStart w:id="278" w:name="_Toc20424"/>
      <w:r>
        <w:rPr>
          <w:rFonts w:hint="eastAsia" w:ascii="宋体" w:hAnsi="宋体" w:cs="宋体"/>
          <w:b w:val="0"/>
          <w:bCs w:val="0"/>
          <w:sz w:val="24"/>
          <w:szCs w:val="24"/>
        </w:rPr>
        <w:t>附件四：开标一览表</w:t>
      </w:r>
      <w:bookmarkEnd w:id="275"/>
      <w:bookmarkEnd w:id="276"/>
      <w:bookmarkEnd w:id="277"/>
      <w:bookmarkEnd w:id="278"/>
    </w:p>
    <w:p>
      <w:pPr>
        <w:pStyle w:val="30"/>
        <w:spacing w:after="0" w:line="460" w:lineRule="exact"/>
        <w:jc w:val="center"/>
        <w:rPr>
          <w:rFonts w:ascii="宋体" w:hAnsi="宋体"/>
          <w:b/>
          <w:bCs/>
          <w:sz w:val="32"/>
          <w:szCs w:val="32"/>
        </w:rPr>
      </w:pPr>
      <w:r>
        <w:rPr>
          <w:rFonts w:hint="eastAsia" w:ascii="宋体" w:hAnsi="宋体" w:cs="宋体"/>
          <w:b/>
          <w:bCs/>
          <w:sz w:val="32"/>
          <w:szCs w:val="32"/>
        </w:rPr>
        <w:t>开标一览表</w:t>
      </w:r>
    </w:p>
    <w:p>
      <w:pPr>
        <w:pStyle w:val="31"/>
        <w:spacing w:line="360" w:lineRule="exact"/>
        <w:ind w:left="0" w:leftChars="0" w:firstLine="0" w:firstLineChars="0"/>
        <w:rPr>
          <w:rFonts w:ascii="宋体" w:hAnsi="宋体" w:cs="宋体"/>
          <w:sz w:val="24"/>
          <w:szCs w:val="24"/>
        </w:rPr>
      </w:pPr>
      <w:r>
        <w:rPr>
          <w:rFonts w:hint="eastAsia" w:ascii="宋体" w:hAnsi="宋体" w:cs="宋体"/>
          <w:sz w:val="24"/>
          <w:szCs w:val="24"/>
        </w:rPr>
        <w:t>项目编号</w:t>
      </w:r>
      <w:r>
        <w:rPr>
          <w:rFonts w:hint="eastAsia" w:ascii="宋体" w:hAnsi="宋体" w:cs="宋体"/>
          <w:b/>
          <w:bCs/>
          <w:sz w:val="24"/>
          <w:szCs w:val="24"/>
        </w:rPr>
        <w:t>：</w:t>
      </w:r>
    </w:p>
    <w:p>
      <w:pPr>
        <w:pStyle w:val="31"/>
        <w:spacing w:line="360" w:lineRule="exact"/>
        <w:ind w:left="0" w:leftChars="0" w:firstLine="0" w:firstLineChars="0"/>
        <w:rPr>
          <w:rFonts w:ascii="宋体" w:hAnsi="宋体"/>
        </w:rPr>
      </w:pPr>
      <w:r>
        <w:rPr>
          <w:rFonts w:hint="eastAsia" w:ascii="宋体" w:hAnsi="宋体" w:cs="宋体"/>
          <w:sz w:val="24"/>
          <w:szCs w:val="24"/>
        </w:rPr>
        <w:t>项目名称</w:t>
      </w:r>
      <w:r>
        <w:rPr>
          <w:rFonts w:hint="eastAsia" w:ascii="宋体" w:hAnsi="宋体" w:cs="宋体"/>
          <w:b/>
          <w:bCs/>
          <w:sz w:val="24"/>
          <w:szCs w:val="24"/>
        </w:rPr>
        <w:t>：</w:t>
      </w:r>
    </w:p>
    <w:tbl>
      <w:tblPr>
        <w:tblStyle w:val="7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6"/>
        <w:gridCol w:w="1177"/>
        <w:gridCol w:w="5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70"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sz w:val="24"/>
              </w:rPr>
              <w:t>投标方名称</w:t>
            </w:r>
          </w:p>
        </w:tc>
        <w:tc>
          <w:tcPr>
            <w:tcW w:w="6936" w:type="dxa"/>
            <w:gridSpan w:val="2"/>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64" w:type="dxa"/>
            <w:vMerge w:val="restart"/>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投标总报价</w:t>
            </w:r>
          </w:p>
        </w:tc>
        <w:tc>
          <w:tcPr>
            <w:tcW w:w="6942"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20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rPr>
            </w:pPr>
          </w:p>
        </w:tc>
        <w:tc>
          <w:tcPr>
            <w:tcW w:w="6942"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r>
              <w:rPr>
                <w:rFonts w:hint="eastAsia" w:ascii="宋体" w:hAnsi="宋体"/>
                <w:bCs/>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交货期</w:t>
            </w:r>
          </w:p>
        </w:tc>
        <w:tc>
          <w:tcPr>
            <w:tcW w:w="5759"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质保期</w:t>
            </w:r>
          </w:p>
        </w:tc>
        <w:tc>
          <w:tcPr>
            <w:tcW w:w="5759" w:type="dxa"/>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bCs/>
                <w:sz w:val="24"/>
              </w:rPr>
            </w:pPr>
            <w:r>
              <w:rPr>
                <w:rFonts w:hint="eastAsia" w:ascii="宋体" w:hAnsi="宋体"/>
                <w:bCs/>
                <w:sz w:val="24"/>
              </w:rPr>
              <w:t>自最终验收报告签署之日（以签署日期最晚者为准）起年。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247" w:type="dxa"/>
            <w:gridSpan w:val="3"/>
            <w:tcBorders>
              <w:top w:val="single" w:color="auto" w:sz="4" w:space="0"/>
              <w:left w:val="single" w:color="auto" w:sz="4" w:space="0"/>
              <w:bottom w:val="single" w:color="auto" w:sz="4" w:space="0"/>
              <w:right w:val="single" w:color="auto" w:sz="4" w:space="0"/>
            </w:tcBorders>
            <w:vAlign w:val="center"/>
          </w:tcPr>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对招标文件的响应程度</w:t>
            </w:r>
          </w:p>
          <w:p>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宋体" w:hAnsi="宋体"/>
                <w:sz w:val="24"/>
              </w:rPr>
            </w:pPr>
            <w:r>
              <w:rPr>
                <w:rFonts w:hint="eastAsia" w:ascii="宋体" w:hAnsi="宋体"/>
                <w:sz w:val="24"/>
              </w:rPr>
              <w:t>（是否完全响应）</w:t>
            </w:r>
          </w:p>
        </w:tc>
        <w:tc>
          <w:tcPr>
            <w:tcW w:w="5759" w:type="dxa"/>
            <w:tcBorders>
              <w:top w:val="single" w:color="auto" w:sz="4" w:space="0"/>
              <w:left w:val="single" w:color="auto" w:sz="4" w:space="0"/>
              <w:bottom w:val="single" w:color="auto" w:sz="4" w:space="0"/>
              <w:right w:val="single" w:color="auto" w:sz="4" w:space="0"/>
            </w:tcBorders>
          </w:tcPr>
          <w:p>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宋体" w:hAnsi="宋体"/>
                <w:bCs/>
                <w:sz w:val="24"/>
              </w:rPr>
            </w:pPr>
          </w:p>
        </w:tc>
      </w:tr>
    </w:tbl>
    <w:p>
      <w:pPr>
        <w:spacing w:line="400" w:lineRule="exact"/>
        <w:rPr>
          <w:rFonts w:ascii="宋体" w:hAnsi="宋体"/>
          <w:b/>
          <w:bCs/>
        </w:rPr>
      </w:pPr>
    </w:p>
    <w:p>
      <w:pPr>
        <w:spacing w:line="400" w:lineRule="exact"/>
        <w:rPr>
          <w:rFonts w:ascii="宋体" w:hAnsi="宋体"/>
        </w:rPr>
      </w:pPr>
      <w:r>
        <w:rPr>
          <w:rFonts w:hint="eastAsia" w:ascii="宋体" w:hAnsi="宋体"/>
          <w:b/>
          <w:bCs/>
        </w:rPr>
        <w:t>注：</w:t>
      </w:r>
    </w:p>
    <w:p>
      <w:pPr>
        <w:spacing w:line="520" w:lineRule="exact"/>
        <w:rPr>
          <w:rFonts w:ascii="宋体" w:hAnsi="宋体"/>
          <w:b/>
          <w:bCs/>
        </w:rPr>
      </w:pPr>
      <w:r>
        <w:rPr>
          <w:rFonts w:hint="eastAsia" w:ascii="宋体" w:hAnsi="宋体"/>
          <w:b/>
          <w:bCs/>
        </w:rPr>
        <w:t>1、此表中的报价必须与相应的报价明细表中的报价一致。</w:t>
      </w:r>
    </w:p>
    <w:p>
      <w:pPr>
        <w:spacing w:line="300" w:lineRule="auto"/>
        <w:rPr>
          <w:rFonts w:ascii="宋体" w:hAnsi="宋体"/>
          <w:b/>
          <w:bCs/>
        </w:rPr>
      </w:pPr>
      <w:r>
        <w:rPr>
          <w:rFonts w:hint="eastAsia" w:ascii="宋体" w:hAnsi="宋体"/>
          <w:b/>
          <w:bCs/>
        </w:rPr>
        <w:t>2、本表除附在投标文件中外，还应一式三份单独密封，以便唱标。</w:t>
      </w:r>
    </w:p>
    <w:p>
      <w:pPr>
        <w:spacing w:line="660" w:lineRule="exact"/>
        <w:rPr>
          <w:rFonts w:ascii="宋体" w:hAnsi="宋体"/>
          <w:sz w:val="24"/>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spacing w:line="400" w:lineRule="exact"/>
        <w:ind w:right="120" w:firstLine="720" w:firstLineChars="300"/>
        <w:jc w:val="right"/>
        <w:rPr>
          <w:rFonts w:ascii="宋体" w:hAnsi="宋体"/>
          <w:sz w:val="24"/>
          <w:szCs w:val="24"/>
        </w:rPr>
      </w:pPr>
    </w:p>
    <w:p>
      <w:pPr>
        <w:pStyle w:val="30"/>
        <w:spacing w:after="0"/>
        <w:jc w:val="right"/>
        <w:outlineLvl w:val="0"/>
        <w:rPr>
          <w:rFonts w:ascii="宋体" w:hAnsi="宋体"/>
        </w:rPr>
        <w:sectPr>
          <w:pgSz w:w="11907" w:h="16840"/>
          <w:pgMar w:top="1418" w:right="1418" w:bottom="1418" w:left="1418" w:header="851" w:footer="851" w:gutter="0"/>
          <w:cols w:space="720" w:num="1"/>
          <w:docGrid w:linePitch="290" w:charSpace="-3931"/>
        </w:sectPr>
      </w:pPr>
    </w:p>
    <w:p>
      <w:pPr>
        <w:pStyle w:val="4"/>
        <w:spacing w:before="120" w:after="120" w:line="360" w:lineRule="exact"/>
        <w:rPr>
          <w:rFonts w:ascii="宋体" w:hAnsi="宋体" w:cs="宋体"/>
          <w:b w:val="0"/>
          <w:bCs w:val="0"/>
          <w:sz w:val="24"/>
          <w:szCs w:val="24"/>
        </w:rPr>
      </w:pPr>
      <w:bookmarkStart w:id="279" w:name="_Toc10773"/>
      <w:bookmarkStart w:id="280" w:name="_Toc18551"/>
      <w:bookmarkStart w:id="281" w:name="_Toc518655808"/>
      <w:bookmarkStart w:id="282" w:name="_Toc353881016"/>
      <w:bookmarkStart w:id="283" w:name="_Toc28773"/>
      <w:bookmarkStart w:id="284" w:name="_Toc32497"/>
      <w:bookmarkStart w:id="285" w:name="_Toc28820"/>
      <w:bookmarkStart w:id="286" w:name="_Toc424118185"/>
      <w:r>
        <w:rPr>
          <w:rFonts w:hint="eastAsia" w:ascii="宋体" w:hAnsi="宋体" w:cs="宋体"/>
          <w:b w:val="0"/>
          <w:bCs w:val="0"/>
          <w:sz w:val="24"/>
          <w:szCs w:val="24"/>
        </w:rPr>
        <w:t>附件五、投标分项报价表</w:t>
      </w:r>
      <w:bookmarkEnd w:id="279"/>
      <w:bookmarkEnd w:id="280"/>
      <w:bookmarkEnd w:id="281"/>
      <w:bookmarkEnd w:id="282"/>
      <w:bookmarkEnd w:id="283"/>
      <w:bookmarkEnd w:id="284"/>
      <w:bookmarkEnd w:id="285"/>
      <w:bookmarkEnd w:id="286"/>
    </w:p>
    <w:p>
      <w:pPr>
        <w:pStyle w:val="30"/>
        <w:spacing w:after="0" w:line="460" w:lineRule="exact"/>
        <w:jc w:val="center"/>
        <w:rPr>
          <w:rFonts w:ascii="宋体" w:hAnsi="宋体" w:cs="宋体"/>
          <w:b/>
          <w:bCs/>
          <w:sz w:val="32"/>
          <w:szCs w:val="32"/>
        </w:rPr>
      </w:pPr>
      <w:r>
        <w:rPr>
          <w:rFonts w:hint="eastAsia" w:ascii="宋体" w:hAnsi="宋体" w:cs="宋体"/>
          <w:b/>
          <w:bCs/>
          <w:sz w:val="32"/>
          <w:szCs w:val="32"/>
        </w:rPr>
        <w:t>投标分项报价表</w:t>
      </w:r>
    </w:p>
    <w:p>
      <w:pPr>
        <w:spacing w:line="520" w:lineRule="exact"/>
        <w:rPr>
          <w:rFonts w:ascii="宋体" w:hAnsi="宋体"/>
          <w:sz w:val="24"/>
          <w:u w:val="single"/>
        </w:rPr>
      </w:pPr>
      <w:r>
        <w:rPr>
          <w:rFonts w:hint="eastAsia" w:ascii="宋体" w:hAnsi="宋体"/>
          <w:sz w:val="24"/>
        </w:rPr>
        <w:t>项目名称：         招标编号：</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841"/>
        <w:gridCol w:w="1537"/>
        <w:gridCol w:w="822"/>
        <w:gridCol w:w="814"/>
        <w:gridCol w:w="1201"/>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pPr>
              <w:pStyle w:val="57"/>
              <w:ind w:left="482" w:hanging="482"/>
              <w:jc w:val="center"/>
              <w:rPr>
                <w:rFonts w:ascii="宋体" w:hAnsi="宋体"/>
                <w:b/>
                <w:sz w:val="24"/>
                <w:szCs w:val="24"/>
              </w:rPr>
            </w:pPr>
            <w:r>
              <w:rPr>
                <w:rFonts w:hint="eastAsia" w:ascii="宋体" w:hAnsi="宋体"/>
                <w:b/>
                <w:sz w:val="24"/>
                <w:szCs w:val="24"/>
              </w:rPr>
              <w:t>序号</w:t>
            </w:r>
          </w:p>
        </w:tc>
        <w:tc>
          <w:tcPr>
            <w:tcW w:w="2841" w:type="dxa"/>
            <w:vAlign w:val="center"/>
          </w:tcPr>
          <w:p>
            <w:pPr>
              <w:pStyle w:val="57"/>
              <w:ind w:left="482" w:hanging="482"/>
              <w:jc w:val="center"/>
              <w:rPr>
                <w:rFonts w:ascii="宋体" w:hAnsi="宋体"/>
                <w:b/>
                <w:sz w:val="24"/>
                <w:szCs w:val="24"/>
              </w:rPr>
            </w:pPr>
            <w:r>
              <w:rPr>
                <w:rFonts w:hint="eastAsia" w:ascii="宋体" w:hAnsi="宋体"/>
                <w:b/>
                <w:sz w:val="24"/>
                <w:szCs w:val="24"/>
              </w:rPr>
              <w:t>产品及部件名称</w:t>
            </w:r>
          </w:p>
        </w:tc>
        <w:tc>
          <w:tcPr>
            <w:tcW w:w="1537" w:type="dxa"/>
            <w:vAlign w:val="center"/>
          </w:tcPr>
          <w:p>
            <w:pPr>
              <w:pStyle w:val="57"/>
              <w:ind w:left="482" w:hanging="482"/>
              <w:jc w:val="center"/>
              <w:rPr>
                <w:rFonts w:ascii="宋体" w:hAnsi="宋体"/>
                <w:b/>
                <w:sz w:val="24"/>
                <w:szCs w:val="24"/>
              </w:rPr>
            </w:pPr>
            <w:r>
              <w:rPr>
                <w:rFonts w:hint="eastAsia" w:ascii="宋体" w:hAnsi="宋体"/>
                <w:b/>
                <w:sz w:val="24"/>
                <w:szCs w:val="24"/>
              </w:rPr>
              <w:t>规格型号及</w:t>
            </w:r>
          </w:p>
          <w:p>
            <w:pPr>
              <w:pStyle w:val="57"/>
              <w:ind w:left="482" w:hanging="482"/>
              <w:jc w:val="center"/>
              <w:rPr>
                <w:rFonts w:ascii="宋体" w:hAnsi="宋体"/>
                <w:b/>
                <w:sz w:val="24"/>
                <w:szCs w:val="24"/>
              </w:rPr>
            </w:pPr>
            <w:r>
              <w:rPr>
                <w:rFonts w:hint="eastAsia" w:ascii="宋体" w:hAnsi="宋体"/>
                <w:b/>
                <w:sz w:val="24"/>
                <w:szCs w:val="24"/>
              </w:rPr>
              <w:t>技术参数</w:t>
            </w:r>
          </w:p>
        </w:tc>
        <w:tc>
          <w:tcPr>
            <w:tcW w:w="822" w:type="dxa"/>
            <w:vAlign w:val="center"/>
          </w:tcPr>
          <w:p>
            <w:pPr>
              <w:pStyle w:val="57"/>
              <w:ind w:left="482" w:hanging="482"/>
              <w:jc w:val="center"/>
              <w:rPr>
                <w:rFonts w:ascii="宋体" w:hAnsi="宋体"/>
                <w:b/>
                <w:sz w:val="24"/>
                <w:szCs w:val="24"/>
              </w:rPr>
            </w:pPr>
            <w:r>
              <w:rPr>
                <w:rFonts w:hint="eastAsia" w:ascii="宋体" w:hAnsi="宋体"/>
                <w:b/>
                <w:sz w:val="24"/>
                <w:szCs w:val="24"/>
              </w:rPr>
              <w:t>单位</w:t>
            </w:r>
          </w:p>
        </w:tc>
        <w:tc>
          <w:tcPr>
            <w:tcW w:w="814" w:type="dxa"/>
            <w:vAlign w:val="center"/>
          </w:tcPr>
          <w:p>
            <w:pPr>
              <w:pStyle w:val="57"/>
              <w:ind w:left="482" w:hanging="482"/>
              <w:jc w:val="center"/>
              <w:rPr>
                <w:rFonts w:ascii="宋体" w:hAnsi="宋体"/>
                <w:b/>
                <w:sz w:val="24"/>
                <w:szCs w:val="24"/>
              </w:rPr>
            </w:pPr>
            <w:r>
              <w:rPr>
                <w:rFonts w:hint="eastAsia" w:ascii="宋体" w:hAnsi="宋体"/>
                <w:b/>
                <w:sz w:val="24"/>
                <w:szCs w:val="24"/>
              </w:rPr>
              <w:t>数量</w:t>
            </w:r>
          </w:p>
        </w:tc>
        <w:tc>
          <w:tcPr>
            <w:tcW w:w="1201" w:type="dxa"/>
            <w:vAlign w:val="center"/>
          </w:tcPr>
          <w:p>
            <w:pPr>
              <w:pStyle w:val="57"/>
              <w:ind w:left="482" w:hanging="482"/>
              <w:jc w:val="center"/>
              <w:rPr>
                <w:rFonts w:ascii="宋体" w:hAnsi="宋体"/>
                <w:b/>
                <w:sz w:val="24"/>
                <w:szCs w:val="24"/>
              </w:rPr>
            </w:pPr>
            <w:r>
              <w:rPr>
                <w:rFonts w:hint="eastAsia" w:ascii="宋体" w:hAnsi="宋体"/>
                <w:b/>
                <w:sz w:val="24"/>
                <w:szCs w:val="24"/>
              </w:rPr>
              <w:t>单价</w:t>
            </w:r>
          </w:p>
        </w:tc>
        <w:tc>
          <w:tcPr>
            <w:tcW w:w="1201" w:type="dxa"/>
            <w:vAlign w:val="center"/>
          </w:tcPr>
          <w:p>
            <w:pPr>
              <w:pStyle w:val="57"/>
              <w:ind w:left="482" w:hanging="482"/>
              <w:jc w:val="center"/>
              <w:rPr>
                <w:rFonts w:ascii="宋体" w:hAnsi="宋体"/>
                <w:b/>
                <w:sz w:val="24"/>
                <w:szCs w:val="24"/>
              </w:rPr>
            </w:pPr>
            <w:r>
              <w:rPr>
                <w:rFonts w:hint="eastAsia" w:ascii="宋体" w:hAnsi="宋体"/>
                <w:b/>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21" w:type="dxa"/>
            <w:vAlign w:val="center"/>
          </w:tcPr>
          <w:p>
            <w:pPr>
              <w:pStyle w:val="57"/>
              <w:ind w:left="480" w:hanging="480"/>
              <w:jc w:val="center"/>
              <w:rPr>
                <w:rFonts w:ascii="宋体" w:hAnsi="宋体"/>
                <w:sz w:val="24"/>
                <w:szCs w:val="24"/>
              </w:rPr>
            </w:pPr>
            <w:r>
              <w:rPr>
                <w:rFonts w:hint="eastAsia" w:ascii="宋体" w:hAnsi="宋体"/>
                <w:sz w:val="24"/>
                <w:szCs w:val="24"/>
              </w:rPr>
              <w:t>一</w:t>
            </w:r>
          </w:p>
        </w:tc>
        <w:tc>
          <w:tcPr>
            <w:tcW w:w="2841" w:type="dxa"/>
            <w:vAlign w:val="center"/>
          </w:tcPr>
          <w:p>
            <w:pPr>
              <w:pStyle w:val="57"/>
              <w:ind w:left="480" w:hanging="480"/>
              <w:rPr>
                <w:rFonts w:ascii="宋体" w:hAnsi="宋体"/>
                <w:sz w:val="24"/>
                <w:szCs w:val="24"/>
              </w:rPr>
            </w:pPr>
            <w:r>
              <w:rPr>
                <w:rFonts w:hint="eastAsia" w:ascii="宋体" w:hAnsi="宋体"/>
                <w:sz w:val="24"/>
                <w:szCs w:val="24"/>
              </w:rPr>
              <w:t>投标产品及部件</w:t>
            </w: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pPr>
              <w:pStyle w:val="57"/>
              <w:ind w:left="480" w:hanging="480"/>
              <w:jc w:val="center"/>
              <w:rPr>
                <w:rFonts w:ascii="宋体" w:hAnsi="宋体"/>
                <w:sz w:val="24"/>
                <w:szCs w:val="24"/>
              </w:rPr>
            </w:pPr>
          </w:p>
        </w:tc>
        <w:tc>
          <w:tcPr>
            <w:tcW w:w="2841" w:type="dxa"/>
            <w:vAlign w:val="center"/>
          </w:tcPr>
          <w:p>
            <w:pPr>
              <w:pStyle w:val="57"/>
              <w:ind w:left="480" w:hanging="480"/>
              <w:rPr>
                <w:rFonts w:ascii="宋体" w:hAnsi="宋体"/>
                <w:sz w:val="24"/>
                <w:szCs w:val="24"/>
              </w:rPr>
            </w:pP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1" w:type="dxa"/>
            <w:vAlign w:val="center"/>
          </w:tcPr>
          <w:p>
            <w:pPr>
              <w:pStyle w:val="57"/>
              <w:ind w:left="480" w:hanging="480"/>
              <w:jc w:val="center"/>
              <w:rPr>
                <w:rFonts w:ascii="宋体" w:hAnsi="宋体"/>
                <w:sz w:val="24"/>
                <w:szCs w:val="24"/>
              </w:rPr>
            </w:pPr>
          </w:p>
        </w:tc>
        <w:tc>
          <w:tcPr>
            <w:tcW w:w="2841" w:type="dxa"/>
            <w:vAlign w:val="center"/>
          </w:tcPr>
          <w:p>
            <w:pPr>
              <w:pStyle w:val="57"/>
              <w:ind w:left="480" w:hanging="480"/>
              <w:rPr>
                <w:rFonts w:ascii="宋体" w:hAnsi="宋体"/>
                <w:sz w:val="24"/>
                <w:szCs w:val="24"/>
              </w:rPr>
            </w:pP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pPr>
              <w:pStyle w:val="57"/>
              <w:ind w:left="480" w:hanging="480"/>
              <w:jc w:val="center"/>
              <w:rPr>
                <w:rFonts w:ascii="宋体" w:hAnsi="宋体"/>
                <w:sz w:val="24"/>
                <w:szCs w:val="24"/>
              </w:rPr>
            </w:pPr>
          </w:p>
        </w:tc>
        <w:tc>
          <w:tcPr>
            <w:tcW w:w="2841" w:type="dxa"/>
            <w:vAlign w:val="center"/>
          </w:tcPr>
          <w:p>
            <w:pPr>
              <w:pStyle w:val="57"/>
              <w:ind w:left="480" w:hanging="480"/>
              <w:rPr>
                <w:rFonts w:ascii="宋体" w:hAnsi="宋体"/>
                <w:sz w:val="24"/>
                <w:szCs w:val="24"/>
              </w:rPr>
            </w:pP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1" w:type="dxa"/>
            <w:vAlign w:val="center"/>
          </w:tcPr>
          <w:p>
            <w:pPr>
              <w:pStyle w:val="57"/>
              <w:ind w:left="480" w:hanging="480"/>
              <w:jc w:val="center"/>
              <w:rPr>
                <w:rFonts w:ascii="宋体" w:hAnsi="宋体"/>
                <w:sz w:val="24"/>
                <w:szCs w:val="24"/>
              </w:rPr>
            </w:pPr>
          </w:p>
        </w:tc>
        <w:tc>
          <w:tcPr>
            <w:tcW w:w="2841" w:type="dxa"/>
            <w:vAlign w:val="center"/>
          </w:tcPr>
          <w:p>
            <w:pPr>
              <w:pStyle w:val="57"/>
              <w:ind w:left="480" w:hanging="480"/>
              <w:rPr>
                <w:rFonts w:ascii="宋体" w:hAnsi="宋体"/>
                <w:sz w:val="24"/>
                <w:szCs w:val="24"/>
              </w:rPr>
            </w:pP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pPr>
              <w:pStyle w:val="57"/>
              <w:ind w:left="480" w:hanging="480"/>
              <w:jc w:val="center"/>
              <w:rPr>
                <w:rFonts w:ascii="宋体" w:hAnsi="宋体"/>
                <w:sz w:val="24"/>
                <w:szCs w:val="24"/>
              </w:rPr>
            </w:pPr>
          </w:p>
        </w:tc>
        <w:tc>
          <w:tcPr>
            <w:tcW w:w="2841" w:type="dxa"/>
            <w:vAlign w:val="center"/>
          </w:tcPr>
          <w:p>
            <w:pPr>
              <w:pStyle w:val="57"/>
              <w:ind w:left="480" w:hanging="480"/>
              <w:rPr>
                <w:rFonts w:ascii="宋体" w:hAnsi="宋体"/>
                <w:sz w:val="24"/>
                <w:szCs w:val="24"/>
              </w:rPr>
            </w:pP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1" w:type="dxa"/>
            <w:vAlign w:val="center"/>
          </w:tcPr>
          <w:p>
            <w:pPr>
              <w:pStyle w:val="57"/>
              <w:ind w:left="480" w:hanging="480"/>
              <w:jc w:val="center"/>
              <w:rPr>
                <w:rFonts w:ascii="宋体" w:hAnsi="宋体"/>
                <w:sz w:val="24"/>
                <w:szCs w:val="24"/>
              </w:rPr>
            </w:pPr>
          </w:p>
        </w:tc>
        <w:tc>
          <w:tcPr>
            <w:tcW w:w="2841" w:type="dxa"/>
            <w:vAlign w:val="center"/>
          </w:tcPr>
          <w:p>
            <w:pPr>
              <w:pStyle w:val="57"/>
              <w:ind w:left="480" w:hanging="480"/>
              <w:rPr>
                <w:rFonts w:ascii="宋体" w:hAnsi="宋体"/>
                <w:sz w:val="24"/>
                <w:szCs w:val="24"/>
              </w:rPr>
            </w:pP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pPr>
              <w:pStyle w:val="57"/>
              <w:ind w:left="480" w:hanging="480"/>
              <w:jc w:val="center"/>
              <w:rPr>
                <w:rFonts w:ascii="宋体" w:hAnsi="宋体"/>
                <w:sz w:val="24"/>
                <w:szCs w:val="24"/>
              </w:rPr>
            </w:pPr>
            <w:r>
              <w:rPr>
                <w:rFonts w:hint="eastAsia" w:ascii="宋体" w:hAnsi="宋体"/>
                <w:sz w:val="24"/>
                <w:szCs w:val="24"/>
              </w:rPr>
              <w:t>二</w:t>
            </w:r>
          </w:p>
        </w:tc>
        <w:tc>
          <w:tcPr>
            <w:tcW w:w="2841" w:type="dxa"/>
            <w:vAlign w:val="center"/>
          </w:tcPr>
          <w:p>
            <w:pPr>
              <w:pStyle w:val="57"/>
              <w:ind w:left="480" w:hanging="480"/>
              <w:rPr>
                <w:rFonts w:ascii="宋体" w:hAnsi="宋体"/>
                <w:sz w:val="24"/>
                <w:szCs w:val="24"/>
              </w:rPr>
            </w:pPr>
            <w:r>
              <w:rPr>
                <w:rFonts w:hint="eastAsia" w:ascii="宋体" w:hAnsi="宋体"/>
                <w:sz w:val="24"/>
                <w:szCs w:val="24"/>
              </w:rPr>
              <w:t>安装调试费</w:t>
            </w: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1" w:type="dxa"/>
            <w:vAlign w:val="center"/>
          </w:tcPr>
          <w:p>
            <w:pPr>
              <w:pStyle w:val="57"/>
              <w:ind w:left="480" w:hanging="480"/>
              <w:jc w:val="center"/>
              <w:rPr>
                <w:rFonts w:ascii="宋体" w:hAnsi="宋体"/>
                <w:sz w:val="24"/>
                <w:szCs w:val="24"/>
              </w:rPr>
            </w:pPr>
            <w:r>
              <w:rPr>
                <w:rFonts w:hint="eastAsia" w:ascii="宋体" w:hAnsi="宋体"/>
                <w:sz w:val="24"/>
                <w:szCs w:val="24"/>
              </w:rPr>
              <w:t>三</w:t>
            </w:r>
          </w:p>
        </w:tc>
        <w:tc>
          <w:tcPr>
            <w:tcW w:w="2841" w:type="dxa"/>
            <w:vAlign w:val="center"/>
          </w:tcPr>
          <w:p>
            <w:pPr>
              <w:pStyle w:val="57"/>
              <w:ind w:left="480" w:hanging="480"/>
              <w:rPr>
                <w:rFonts w:ascii="宋体" w:hAnsi="宋体"/>
                <w:sz w:val="24"/>
                <w:szCs w:val="24"/>
              </w:rPr>
            </w:pPr>
            <w:r>
              <w:rPr>
                <w:rFonts w:hint="eastAsia" w:ascii="宋体" w:hAnsi="宋体"/>
                <w:sz w:val="24"/>
                <w:szCs w:val="24"/>
              </w:rPr>
              <w:t>技术服务及培训费</w:t>
            </w: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pPr>
              <w:pStyle w:val="57"/>
              <w:ind w:left="480" w:hanging="480"/>
              <w:jc w:val="center"/>
              <w:rPr>
                <w:rFonts w:ascii="宋体" w:hAnsi="宋体"/>
                <w:sz w:val="24"/>
                <w:szCs w:val="24"/>
              </w:rPr>
            </w:pPr>
            <w:r>
              <w:rPr>
                <w:rFonts w:hint="eastAsia" w:ascii="宋体" w:hAnsi="宋体"/>
                <w:sz w:val="24"/>
                <w:szCs w:val="24"/>
              </w:rPr>
              <w:t>四</w:t>
            </w:r>
          </w:p>
        </w:tc>
        <w:tc>
          <w:tcPr>
            <w:tcW w:w="2841" w:type="dxa"/>
            <w:vAlign w:val="center"/>
          </w:tcPr>
          <w:p>
            <w:pPr>
              <w:pStyle w:val="57"/>
              <w:ind w:left="480" w:hanging="480"/>
              <w:rPr>
                <w:rFonts w:ascii="宋体" w:hAnsi="宋体"/>
                <w:sz w:val="24"/>
                <w:szCs w:val="24"/>
              </w:rPr>
            </w:pPr>
            <w:r>
              <w:rPr>
                <w:rFonts w:hint="eastAsia" w:ascii="宋体" w:hAnsi="宋体"/>
                <w:sz w:val="24"/>
                <w:szCs w:val="24"/>
              </w:rPr>
              <w:t>检验培训费</w:t>
            </w: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1" w:type="dxa"/>
            <w:vAlign w:val="center"/>
          </w:tcPr>
          <w:p>
            <w:pPr>
              <w:pStyle w:val="57"/>
              <w:ind w:left="480" w:hanging="480"/>
              <w:jc w:val="center"/>
              <w:rPr>
                <w:rFonts w:ascii="宋体" w:hAnsi="宋体"/>
                <w:sz w:val="24"/>
                <w:szCs w:val="24"/>
              </w:rPr>
            </w:pPr>
            <w:r>
              <w:rPr>
                <w:rFonts w:hint="eastAsia" w:ascii="宋体" w:hAnsi="宋体"/>
                <w:sz w:val="24"/>
                <w:szCs w:val="24"/>
              </w:rPr>
              <w:t>五</w:t>
            </w:r>
          </w:p>
        </w:tc>
        <w:tc>
          <w:tcPr>
            <w:tcW w:w="2841" w:type="dxa"/>
            <w:vAlign w:val="center"/>
          </w:tcPr>
          <w:p>
            <w:pPr>
              <w:pStyle w:val="57"/>
              <w:ind w:left="480" w:hanging="480"/>
              <w:rPr>
                <w:rFonts w:ascii="宋体" w:hAnsi="宋体"/>
                <w:sz w:val="24"/>
                <w:szCs w:val="24"/>
              </w:rPr>
            </w:pPr>
            <w:r>
              <w:rPr>
                <w:rFonts w:hint="eastAsia" w:ascii="宋体" w:hAnsi="宋体"/>
                <w:sz w:val="24"/>
                <w:szCs w:val="24"/>
              </w:rPr>
              <w:t>运杂费、卸载费、保险</w:t>
            </w: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21" w:type="dxa"/>
            <w:vAlign w:val="center"/>
          </w:tcPr>
          <w:p>
            <w:pPr>
              <w:pStyle w:val="57"/>
              <w:ind w:left="480" w:hanging="480"/>
              <w:jc w:val="center"/>
              <w:rPr>
                <w:rFonts w:ascii="宋体" w:hAnsi="宋体"/>
                <w:sz w:val="24"/>
                <w:szCs w:val="24"/>
              </w:rPr>
            </w:pPr>
            <w:r>
              <w:rPr>
                <w:rFonts w:hint="eastAsia" w:ascii="宋体" w:hAnsi="宋体"/>
                <w:sz w:val="24"/>
                <w:szCs w:val="24"/>
              </w:rPr>
              <w:t>六</w:t>
            </w:r>
          </w:p>
        </w:tc>
        <w:tc>
          <w:tcPr>
            <w:tcW w:w="2841" w:type="dxa"/>
            <w:vAlign w:val="center"/>
          </w:tcPr>
          <w:p>
            <w:pPr>
              <w:pStyle w:val="57"/>
              <w:ind w:left="480" w:hanging="480"/>
              <w:rPr>
                <w:rFonts w:ascii="宋体" w:hAnsi="宋体"/>
                <w:sz w:val="24"/>
                <w:szCs w:val="24"/>
              </w:rPr>
            </w:pPr>
            <w:r>
              <w:rPr>
                <w:rFonts w:hint="eastAsia" w:ascii="宋体" w:hAnsi="宋体"/>
                <w:sz w:val="24"/>
                <w:szCs w:val="24"/>
              </w:rPr>
              <w:t>税费</w:t>
            </w: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21" w:type="dxa"/>
            <w:vAlign w:val="center"/>
          </w:tcPr>
          <w:p>
            <w:pPr>
              <w:pStyle w:val="57"/>
              <w:ind w:left="480" w:hanging="480"/>
              <w:jc w:val="center"/>
              <w:rPr>
                <w:rFonts w:ascii="宋体" w:hAnsi="宋体"/>
                <w:sz w:val="24"/>
                <w:szCs w:val="24"/>
              </w:rPr>
            </w:pPr>
            <w:r>
              <w:rPr>
                <w:rFonts w:hint="eastAsia" w:ascii="宋体" w:hAnsi="宋体"/>
                <w:sz w:val="24"/>
                <w:szCs w:val="24"/>
              </w:rPr>
              <w:t>七</w:t>
            </w:r>
          </w:p>
        </w:tc>
        <w:tc>
          <w:tcPr>
            <w:tcW w:w="2841" w:type="dxa"/>
            <w:vAlign w:val="center"/>
          </w:tcPr>
          <w:p>
            <w:pPr>
              <w:pStyle w:val="57"/>
              <w:ind w:left="480" w:hanging="480"/>
              <w:rPr>
                <w:rFonts w:ascii="宋体" w:hAnsi="宋体"/>
                <w:sz w:val="24"/>
                <w:szCs w:val="24"/>
              </w:rPr>
            </w:pPr>
            <w:r>
              <w:rPr>
                <w:rFonts w:hint="eastAsia" w:ascii="宋体" w:hAnsi="宋体"/>
                <w:sz w:val="24"/>
                <w:szCs w:val="24"/>
              </w:rPr>
              <w:t>其它（如有的话）</w:t>
            </w:r>
          </w:p>
        </w:tc>
        <w:tc>
          <w:tcPr>
            <w:tcW w:w="1537" w:type="dxa"/>
          </w:tcPr>
          <w:p>
            <w:pPr>
              <w:pStyle w:val="57"/>
              <w:ind w:left="480" w:hanging="480"/>
              <w:rPr>
                <w:rFonts w:ascii="宋体" w:hAnsi="宋体"/>
                <w:sz w:val="24"/>
                <w:szCs w:val="24"/>
              </w:rPr>
            </w:pPr>
          </w:p>
        </w:tc>
        <w:tc>
          <w:tcPr>
            <w:tcW w:w="822" w:type="dxa"/>
          </w:tcPr>
          <w:p>
            <w:pPr>
              <w:pStyle w:val="57"/>
              <w:ind w:left="480" w:hanging="480"/>
              <w:rPr>
                <w:rFonts w:ascii="宋体" w:hAnsi="宋体"/>
                <w:sz w:val="24"/>
                <w:szCs w:val="24"/>
              </w:rPr>
            </w:pPr>
          </w:p>
        </w:tc>
        <w:tc>
          <w:tcPr>
            <w:tcW w:w="814"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c>
          <w:tcPr>
            <w:tcW w:w="1201" w:type="dxa"/>
          </w:tcPr>
          <w:p>
            <w:pPr>
              <w:pStyle w:val="57"/>
              <w:ind w:left="480" w:hanging="48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3662" w:type="dxa"/>
            <w:gridSpan w:val="2"/>
            <w:vAlign w:val="center"/>
          </w:tcPr>
          <w:p>
            <w:pPr>
              <w:pStyle w:val="57"/>
              <w:ind w:left="480" w:hanging="480"/>
              <w:jc w:val="center"/>
              <w:rPr>
                <w:rFonts w:ascii="宋体" w:hAnsi="宋体"/>
                <w:sz w:val="24"/>
                <w:szCs w:val="24"/>
              </w:rPr>
            </w:pPr>
            <w:r>
              <w:rPr>
                <w:rFonts w:hint="eastAsia" w:ascii="宋体" w:hAnsi="宋体"/>
                <w:sz w:val="24"/>
                <w:szCs w:val="24"/>
              </w:rPr>
              <w:t>合   计</w:t>
            </w:r>
          </w:p>
        </w:tc>
        <w:tc>
          <w:tcPr>
            <w:tcW w:w="1537" w:type="dxa"/>
          </w:tcPr>
          <w:p>
            <w:pPr>
              <w:pStyle w:val="57"/>
              <w:ind w:left="480" w:hanging="480"/>
              <w:jc w:val="center"/>
              <w:rPr>
                <w:rFonts w:ascii="宋体" w:hAnsi="宋体"/>
                <w:sz w:val="24"/>
                <w:szCs w:val="24"/>
              </w:rPr>
            </w:pPr>
          </w:p>
        </w:tc>
        <w:tc>
          <w:tcPr>
            <w:tcW w:w="822" w:type="dxa"/>
          </w:tcPr>
          <w:p>
            <w:pPr>
              <w:pStyle w:val="57"/>
              <w:ind w:left="480" w:hanging="480"/>
              <w:jc w:val="center"/>
              <w:rPr>
                <w:rFonts w:ascii="宋体" w:hAnsi="宋体"/>
                <w:sz w:val="24"/>
                <w:szCs w:val="24"/>
              </w:rPr>
            </w:pPr>
          </w:p>
        </w:tc>
        <w:tc>
          <w:tcPr>
            <w:tcW w:w="814" w:type="dxa"/>
          </w:tcPr>
          <w:p>
            <w:pPr>
              <w:pStyle w:val="57"/>
              <w:ind w:left="480" w:hanging="480"/>
              <w:jc w:val="center"/>
              <w:rPr>
                <w:rFonts w:ascii="宋体" w:hAnsi="宋体"/>
                <w:sz w:val="24"/>
                <w:szCs w:val="24"/>
              </w:rPr>
            </w:pPr>
          </w:p>
        </w:tc>
        <w:tc>
          <w:tcPr>
            <w:tcW w:w="1201" w:type="dxa"/>
          </w:tcPr>
          <w:p>
            <w:pPr>
              <w:pStyle w:val="57"/>
              <w:ind w:left="480" w:hanging="480"/>
              <w:jc w:val="center"/>
              <w:rPr>
                <w:rFonts w:ascii="宋体" w:hAnsi="宋体"/>
                <w:sz w:val="24"/>
                <w:szCs w:val="24"/>
              </w:rPr>
            </w:pPr>
          </w:p>
        </w:tc>
        <w:tc>
          <w:tcPr>
            <w:tcW w:w="1201" w:type="dxa"/>
          </w:tcPr>
          <w:p>
            <w:pPr>
              <w:pStyle w:val="57"/>
              <w:ind w:left="480" w:hanging="480"/>
              <w:jc w:val="center"/>
              <w:rPr>
                <w:rFonts w:ascii="宋体" w:hAnsi="宋体"/>
                <w:sz w:val="24"/>
                <w:szCs w:val="24"/>
              </w:rPr>
            </w:pPr>
          </w:p>
        </w:tc>
      </w:tr>
    </w:tbl>
    <w:p>
      <w:pPr>
        <w:rPr>
          <w:rFonts w:ascii="宋体" w:hAnsi="宋体"/>
          <w:b/>
          <w:sz w:val="24"/>
        </w:rPr>
      </w:pPr>
      <w:r>
        <w:rPr>
          <w:rFonts w:hint="eastAsia" w:ascii="宋体" w:hAnsi="宋体"/>
          <w:b/>
          <w:sz w:val="24"/>
        </w:rPr>
        <w:t>注：</w:t>
      </w:r>
    </w:p>
    <w:p>
      <w:pPr>
        <w:numPr>
          <w:ilvl w:val="0"/>
          <w:numId w:val="8"/>
        </w:numPr>
        <w:rPr>
          <w:rFonts w:ascii="宋体" w:hAnsi="宋体"/>
          <w:sz w:val="24"/>
        </w:rPr>
      </w:pPr>
      <w:r>
        <w:rPr>
          <w:rFonts w:hint="eastAsia" w:ascii="宋体" w:hAnsi="宋体"/>
          <w:sz w:val="24"/>
        </w:rPr>
        <w:t>选购件不包括在本报价表内，应另附纸分项单报。</w:t>
      </w:r>
    </w:p>
    <w:p>
      <w:pPr>
        <w:numPr>
          <w:ilvl w:val="0"/>
          <w:numId w:val="8"/>
        </w:numPr>
        <w:rPr>
          <w:rFonts w:ascii="宋体" w:hAnsi="宋体"/>
          <w:sz w:val="24"/>
        </w:rPr>
      </w:pPr>
      <w:r>
        <w:rPr>
          <w:rFonts w:hint="eastAsia" w:ascii="宋体" w:hAnsi="宋体"/>
          <w:sz w:val="24"/>
        </w:rPr>
        <w:t>如上表中的有关费用投标方免费提供，请注明“免费”字样。</w:t>
      </w: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pStyle w:val="4"/>
        <w:spacing w:before="120" w:after="120" w:line="360" w:lineRule="exact"/>
        <w:rPr>
          <w:rFonts w:ascii="宋体" w:hAnsi="宋体" w:cs="宋体"/>
          <w:b w:val="0"/>
          <w:bCs w:val="0"/>
          <w:sz w:val="24"/>
          <w:szCs w:val="24"/>
        </w:rPr>
      </w:pPr>
      <w:bookmarkStart w:id="287" w:name="_Toc3231"/>
      <w:bookmarkStart w:id="288" w:name="_Toc518655809"/>
      <w:bookmarkStart w:id="289" w:name="_Toc24482"/>
      <w:bookmarkStart w:id="290" w:name="_Toc21387"/>
      <w:bookmarkStart w:id="291" w:name="_Toc353881017"/>
      <w:bookmarkStart w:id="292" w:name="_Toc28588"/>
      <w:bookmarkStart w:id="293" w:name="_Toc26556"/>
      <w:bookmarkStart w:id="294" w:name="_Toc424118186"/>
      <w:r>
        <w:rPr>
          <w:rFonts w:hint="eastAsia" w:ascii="宋体" w:hAnsi="宋体" w:cs="宋体"/>
          <w:b w:val="0"/>
          <w:bCs w:val="0"/>
          <w:sz w:val="24"/>
          <w:szCs w:val="24"/>
        </w:rPr>
        <w:t>附件六、设备投标报价分解表</w:t>
      </w:r>
      <w:bookmarkEnd w:id="287"/>
      <w:bookmarkEnd w:id="288"/>
      <w:bookmarkEnd w:id="289"/>
      <w:bookmarkEnd w:id="290"/>
      <w:bookmarkEnd w:id="291"/>
      <w:bookmarkEnd w:id="292"/>
      <w:bookmarkEnd w:id="293"/>
      <w:bookmarkEnd w:id="294"/>
    </w:p>
    <w:p>
      <w:pPr>
        <w:pStyle w:val="30"/>
        <w:spacing w:after="0" w:line="460" w:lineRule="exact"/>
        <w:jc w:val="center"/>
        <w:rPr>
          <w:rFonts w:ascii="宋体" w:hAnsi="宋体" w:cs="宋体"/>
          <w:b/>
          <w:bCs/>
          <w:sz w:val="32"/>
          <w:szCs w:val="32"/>
        </w:rPr>
      </w:pPr>
      <w:r>
        <w:rPr>
          <w:rFonts w:hint="eastAsia" w:ascii="宋体" w:hAnsi="宋体" w:cs="宋体"/>
          <w:b/>
          <w:bCs/>
          <w:sz w:val="32"/>
          <w:szCs w:val="32"/>
        </w:rPr>
        <w:t>设备投标报价分解表</w:t>
      </w:r>
    </w:p>
    <w:p>
      <w:pPr>
        <w:spacing w:line="520" w:lineRule="exact"/>
        <w:rPr>
          <w:rFonts w:ascii="宋体" w:hAnsi="宋体"/>
          <w:sz w:val="24"/>
          <w:u w:val="single"/>
        </w:rPr>
      </w:pPr>
      <w:r>
        <w:rPr>
          <w:rFonts w:hint="eastAsia" w:ascii="宋体" w:hAnsi="宋体"/>
          <w:sz w:val="24"/>
        </w:rPr>
        <w:t>项目名称：  招标编号：</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40"/>
        <w:gridCol w:w="2283"/>
        <w:gridCol w:w="817"/>
        <w:gridCol w:w="736"/>
        <w:gridCol w:w="1337"/>
        <w:gridCol w:w="636"/>
        <w:gridCol w:w="756"/>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48" w:hRule="atLeast"/>
          <w:jc w:val="center"/>
        </w:trPr>
        <w:tc>
          <w:tcPr>
            <w:tcW w:w="740" w:type="dxa"/>
            <w:vAlign w:val="center"/>
          </w:tcPr>
          <w:p>
            <w:pPr>
              <w:jc w:val="center"/>
              <w:rPr>
                <w:rFonts w:ascii="宋体" w:hAnsi="宋体"/>
                <w:b/>
                <w:sz w:val="24"/>
              </w:rPr>
            </w:pPr>
            <w:r>
              <w:rPr>
                <w:rFonts w:hint="eastAsia" w:ascii="宋体" w:hAnsi="宋体"/>
                <w:b/>
                <w:sz w:val="24"/>
              </w:rPr>
              <w:t>序 号</w:t>
            </w:r>
          </w:p>
        </w:tc>
        <w:tc>
          <w:tcPr>
            <w:tcW w:w="2283" w:type="dxa"/>
            <w:vAlign w:val="center"/>
          </w:tcPr>
          <w:p>
            <w:pPr>
              <w:jc w:val="center"/>
              <w:rPr>
                <w:rFonts w:ascii="宋体" w:hAnsi="宋体"/>
                <w:b/>
                <w:sz w:val="24"/>
              </w:rPr>
            </w:pPr>
            <w:r>
              <w:rPr>
                <w:rFonts w:hint="eastAsia" w:ascii="宋体" w:hAnsi="宋体"/>
                <w:b/>
                <w:sz w:val="24"/>
              </w:rPr>
              <w:t>货物或主</w:t>
            </w:r>
          </w:p>
          <w:p>
            <w:pPr>
              <w:jc w:val="center"/>
              <w:rPr>
                <w:rFonts w:ascii="宋体" w:hAnsi="宋体"/>
                <w:b/>
                <w:sz w:val="24"/>
              </w:rPr>
            </w:pPr>
            <w:r>
              <w:rPr>
                <w:rFonts w:hint="eastAsia" w:ascii="宋体" w:hAnsi="宋体"/>
                <w:b/>
                <w:sz w:val="24"/>
              </w:rPr>
              <w:t>部件名称</w:t>
            </w:r>
          </w:p>
        </w:tc>
        <w:tc>
          <w:tcPr>
            <w:tcW w:w="817" w:type="dxa"/>
            <w:vAlign w:val="center"/>
          </w:tcPr>
          <w:p>
            <w:pPr>
              <w:jc w:val="center"/>
              <w:rPr>
                <w:rFonts w:ascii="宋体" w:hAnsi="宋体"/>
                <w:b/>
                <w:sz w:val="24"/>
              </w:rPr>
            </w:pPr>
            <w:r>
              <w:rPr>
                <w:rFonts w:hint="eastAsia" w:ascii="宋体" w:hAnsi="宋体"/>
                <w:b/>
                <w:sz w:val="24"/>
              </w:rPr>
              <w:t>规 格</w:t>
            </w:r>
          </w:p>
        </w:tc>
        <w:tc>
          <w:tcPr>
            <w:tcW w:w="736" w:type="dxa"/>
            <w:vAlign w:val="center"/>
          </w:tcPr>
          <w:p>
            <w:pPr>
              <w:jc w:val="center"/>
              <w:rPr>
                <w:rFonts w:ascii="宋体" w:hAnsi="宋体"/>
                <w:b/>
                <w:sz w:val="24"/>
              </w:rPr>
            </w:pPr>
            <w:r>
              <w:rPr>
                <w:rFonts w:hint="eastAsia" w:ascii="宋体" w:hAnsi="宋体"/>
                <w:b/>
                <w:sz w:val="24"/>
              </w:rPr>
              <w:t>单 位</w:t>
            </w:r>
          </w:p>
        </w:tc>
        <w:tc>
          <w:tcPr>
            <w:tcW w:w="1337" w:type="dxa"/>
            <w:vAlign w:val="center"/>
          </w:tcPr>
          <w:p>
            <w:pPr>
              <w:jc w:val="center"/>
              <w:rPr>
                <w:rFonts w:ascii="宋体" w:hAnsi="宋体"/>
                <w:b/>
                <w:sz w:val="24"/>
              </w:rPr>
            </w:pPr>
            <w:r>
              <w:rPr>
                <w:rFonts w:hint="eastAsia" w:ascii="宋体" w:hAnsi="宋体"/>
                <w:b/>
                <w:sz w:val="24"/>
              </w:rPr>
              <w:t>制造商名称</w:t>
            </w:r>
          </w:p>
        </w:tc>
        <w:tc>
          <w:tcPr>
            <w:tcW w:w="636" w:type="dxa"/>
            <w:vAlign w:val="center"/>
          </w:tcPr>
          <w:p>
            <w:pPr>
              <w:jc w:val="center"/>
              <w:rPr>
                <w:rFonts w:ascii="宋体" w:hAnsi="宋体"/>
                <w:b/>
                <w:sz w:val="24"/>
              </w:rPr>
            </w:pPr>
            <w:r>
              <w:rPr>
                <w:rFonts w:hint="eastAsia" w:ascii="宋体" w:hAnsi="宋体"/>
                <w:b/>
                <w:sz w:val="24"/>
              </w:rPr>
              <w:t>数  量</w:t>
            </w:r>
          </w:p>
        </w:tc>
        <w:tc>
          <w:tcPr>
            <w:tcW w:w="756" w:type="dxa"/>
            <w:vAlign w:val="center"/>
          </w:tcPr>
          <w:p>
            <w:pPr>
              <w:jc w:val="center"/>
              <w:rPr>
                <w:rFonts w:ascii="宋体" w:hAnsi="宋体"/>
                <w:b/>
                <w:sz w:val="24"/>
              </w:rPr>
            </w:pPr>
            <w:r>
              <w:rPr>
                <w:rFonts w:hint="eastAsia" w:ascii="宋体" w:hAnsi="宋体"/>
                <w:b/>
                <w:sz w:val="24"/>
              </w:rPr>
              <w:t>单价</w:t>
            </w:r>
          </w:p>
        </w:tc>
        <w:tc>
          <w:tcPr>
            <w:tcW w:w="1135" w:type="dxa"/>
            <w:vAlign w:val="center"/>
          </w:tcPr>
          <w:p>
            <w:pPr>
              <w:jc w:val="center"/>
              <w:rPr>
                <w:rFonts w:ascii="宋体" w:hAnsi="宋体"/>
                <w:b/>
                <w:sz w:val="24"/>
              </w:rPr>
            </w:pPr>
            <w:r>
              <w:rPr>
                <w:rFonts w:hint="eastAsia" w:ascii="宋体" w:hAnsi="宋体"/>
                <w:b/>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restart"/>
            <w:vAlign w:val="center"/>
          </w:tcPr>
          <w:p>
            <w:pPr>
              <w:jc w:val="center"/>
              <w:rPr>
                <w:rFonts w:ascii="宋体" w:hAnsi="宋体"/>
              </w:rPr>
            </w:pPr>
            <w:r>
              <w:rPr>
                <w:rFonts w:hint="eastAsia" w:ascii="宋体" w:hAnsi="宋体"/>
              </w:rPr>
              <w:t>1</w:t>
            </w:r>
          </w:p>
        </w:tc>
        <w:tc>
          <w:tcPr>
            <w:tcW w:w="7700" w:type="dxa"/>
            <w:gridSpan w:val="7"/>
            <w:vAlign w:val="center"/>
          </w:tcPr>
          <w:p>
            <w:pPr>
              <w:jc w:val="center"/>
              <w:rPr>
                <w:rFonts w:ascii="宋体" w:hAnsi="宋体"/>
              </w:rPr>
            </w:pPr>
            <w:r>
              <w:rPr>
                <w:rFonts w:hint="eastAsia" w:ascii="宋体" w:hAnsi="宋体"/>
              </w:rPr>
              <w:t>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r>
              <w:rPr>
                <w:rFonts w:hint="eastAsia" w:ascii="宋体" w:hAnsi="宋体"/>
              </w:rPr>
              <w:t>主要部件1</w:t>
            </w: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r>
              <w:rPr>
                <w:rFonts w:hint="eastAsia" w:ascii="宋体" w:hAnsi="宋体"/>
              </w:rPr>
              <w:t>主要部件2</w:t>
            </w: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r>
              <w:rPr>
                <w:rFonts w:hint="eastAsia" w:ascii="宋体" w:hAnsi="宋体"/>
              </w:rPr>
              <w:t>主要部件3</w:t>
            </w: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r>
              <w:rPr>
                <w:rFonts w:hint="eastAsia" w:ascii="宋体" w:hAnsi="宋体"/>
              </w:rPr>
              <w:t>...</w:t>
            </w: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67" w:hRule="atLeast"/>
          <w:jc w:val="center"/>
        </w:trPr>
        <w:tc>
          <w:tcPr>
            <w:tcW w:w="740" w:type="dxa"/>
            <w:vMerge w:val="continue"/>
          </w:tcPr>
          <w:p>
            <w:pPr>
              <w:rPr>
                <w:rFonts w:ascii="宋体" w:hAnsi="宋体"/>
              </w:rPr>
            </w:pPr>
          </w:p>
        </w:tc>
        <w:tc>
          <w:tcPr>
            <w:tcW w:w="2283" w:type="dxa"/>
            <w:vAlign w:val="center"/>
          </w:tcPr>
          <w:p>
            <w:pPr>
              <w:jc w:val="center"/>
              <w:rPr>
                <w:rFonts w:ascii="宋体" w:hAnsi="宋体"/>
              </w:rPr>
            </w:pPr>
          </w:p>
        </w:tc>
        <w:tc>
          <w:tcPr>
            <w:tcW w:w="817" w:type="dxa"/>
            <w:vAlign w:val="center"/>
          </w:tcPr>
          <w:p>
            <w:pPr>
              <w:jc w:val="center"/>
              <w:rPr>
                <w:rFonts w:ascii="宋体" w:hAnsi="宋体"/>
              </w:rPr>
            </w:pPr>
          </w:p>
        </w:tc>
        <w:tc>
          <w:tcPr>
            <w:tcW w:w="736" w:type="dxa"/>
            <w:vAlign w:val="center"/>
          </w:tcPr>
          <w:p>
            <w:pPr>
              <w:jc w:val="center"/>
              <w:rPr>
                <w:rFonts w:ascii="宋体" w:hAnsi="宋体"/>
              </w:rPr>
            </w:pPr>
          </w:p>
        </w:tc>
        <w:tc>
          <w:tcPr>
            <w:tcW w:w="1337" w:type="dxa"/>
            <w:vAlign w:val="center"/>
          </w:tcPr>
          <w:p>
            <w:pPr>
              <w:jc w:val="center"/>
              <w:rPr>
                <w:rFonts w:ascii="宋体" w:hAnsi="宋体"/>
              </w:rPr>
            </w:pPr>
          </w:p>
        </w:tc>
        <w:tc>
          <w:tcPr>
            <w:tcW w:w="636" w:type="dxa"/>
            <w:vAlign w:val="center"/>
          </w:tcPr>
          <w:p>
            <w:pPr>
              <w:jc w:val="center"/>
              <w:rPr>
                <w:rFonts w:ascii="宋体" w:hAnsi="宋体"/>
              </w:rPr>
            </w:pPr>
          </w:p>
        </w:tc>
        <w:tc>
          <w:tcPr>
            <w:tcW w:w="756" w:type="dxa"/>
            <w:vAlign w:val="center"/>
          </w:tcPr>
          <w:p>
            <w:pPr>
              <w:jc w:val="center"/>
              <w:rPr>
                <w:rFonts w:ascii="宋体" w:hAnsi="宋体"/>
              </w:rPr>
            </w:pPr>
          </w:p>
        </w:tc>
        <w:tc>
          <w:tcPr>
            <w:tcW w:w="1135"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77" w:hRule="atLeast"/>
          <w:jc w:val="center"/>
        </w:trPr>
        <w:tc>
          <w:tcPr>
            <w:tcW w:w="740" w:type="dxa"/>
          </w:tcPr>
          <w:p>
            <w:pPr>
              <w:rPr>
                <w:rFonts w:ascii="宋体" w:hAnsi="宋体"/>
              </w:rPr>
            </w:pPr>
          </w:p>
        </w:tc>
        <w:tc>
          <w:tcPr>
            <w:tcW w:w="2283" w:type="dxa"/>
            <w:vAlign w:val="center"/>
          </w:tcPr>
          <w:p>
            <w:pPr>
              <w:jc w:val="center"/>
              <w:rPr>
                <w:rFonts w:ascii="宋体" w:hAnsi="宋体"/>
              </w:rPr>
            </w:pPr>
            <w:r>
              <w:rPr>
                <w:rFonts w:hint="eastAsia" w:ascii="宋体" w:hAnsi="宋体"/>
              </w:rPr>
              <w:t>合计</w:t>
            </w:r>
          </w:p>
        </w:tc>
        <w:tc>
          <w:tcPr>
            <w:tcW w:w="5417" w:type="dxa"/>
            <w:gridSpan w:val="6"/>
            <w:vAlign w:val="center"/>
          </w:tcPr>
          <w:p>
            <w:pPr>
              <w:jc w:val="center"/>
              <w:rPr>
                <w:rFonts w:ascii="宋体" w:hAnsi="宋体"/>
              </w:rPr>
            </w:pPr>
          </w:p>
        </w:tc>
      </w:tr>
    </w:tbl>
    <w:p>
      <w:pPr>
        <w:rPr>
          <w:rFonts w:ascii="宋体" w:hAnsi="宋体"/>
          <w:sz w:val="24"/>
        </w:rPr>
      </w:pPr>
    </w:p>
    <w:p>
      <w:pPr>
        <w:ind w:firstLine="600"/>
        <w:rPr>
          <w:rFonts w:ascii="宋体" w:hAnsi="宋体"/>
          <w:sz w:val="24"/>
        </w:rPr>
      </w:pPr>
      <w:r>
        <w:rPr>
          <w:rFonts w:hint="eastAsia" w:ascii="宋体" w:hAnsi="宋体"/>
          <w:sz w:val="24"/>
        </w:rPr>
        <w:t>除填写本表外，投标方还应提供以下附件</w:t>
      </w:r>
      <w:r>
        <w:rPr>
          <w:rFonts w:ascii="宋体" w:hAnsi="宋体"/>
          <w:sz w:val="24"/>
        </w:rPr>
        <w:t xml:space="preserve"> :</w:t>
      </w:r>
    </w:p>
    <w:p>
      <w:pPr>
        <w:ind w:firstLine="600"/>
        <w:rPr>
          <w:rFonts w:ascii="宋体" w:hAnsi="宋体"/>
          <w:sz w:val="24"/>
        </w:rPr>
      </w:pPr>
      <w:r>
        <w:rPr>
          <w:rFonts w:hint="eastAsia" w:ascii="宋体" w:hAnsi="宋体"/>
          <w:sz w:val="24"/>
        </w:rPr>
        <w:t>1</w:t>
      </w:r>
      <w:r>
        <w:rPr>
          <w:rFonts w:ascii="宋体" w:hAnsi="宋体"/>
          <w:sz w:val="24"/>
        </w:rPr>
        <w:t xml:space="preserve">)  </w:t>
      </w:r>
      <w:r>
        <w:rPr>
          <w:rFonts w:hint="eastAsia" w:ascii="宋体" w:hAnsi="宋体"/>
          <w:sz w:val="24"/>
        </w:rPr>
        <w:t>特殊工具清单及价目表</w:t>
      </w:r>
    </w:p>
    <w:p>
      <w:pPr>
        <w:ind w:firstLine="6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备品、备件清单及价目表</w:t>
      </w:r>
    </w:p>
    <w:p>
      <w:pPr>
        <w:ind w:firstLine="600"/>
        <w:rPr>
          <w:rFonts w:ascii="宋体" w:hAnsi="宋体"/>
          <w:sz w:val="24"/>
        </w:rPr>
      </w:pPr>
      <w:r>
        <w:rPr>
          <w:rFonts w:hint="eastAsia" w:ascii="宋体" w:hAnsi="宋体"/>
          <w:sz w:val="24"/>
        </w:rPr>
        <w:t>3)  专用耗材清单及价目表</w:t>
      </w:r>
    </w:p>
    <w:p>
      <w:pPr>
        <w:ind w:firstLine="600"/>
        <w:rPr>
          <w:rFonts w:ascii="宋体" w:hAnsi="宋体"/>
          <w:sz w:val="24"/>
        </w:rPr>
      </w:pPr>
      <w:r>
        <w:rPr>
          <w:rFonts w:hint="eastAsia" w:ascii="宋体" w:hAnsi="宋体"/>
          <w:sz w:val="24"/>
        </w:rPr>
        <w:t>4）所需进口关键元器件、原材料清单及价目表</w:t>
      </w:r>
      <w:r>
        <w:rPr>
          <w:rFonts w:ascii="宋体" w:hAnsi="宋体"/>
          <w:sz w:val="24"/>
        </w:rPr>
        <w:tab/>
      </w: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pStyle w:val="4"/>
        <w:spacing w:before="120" w:after="120" w:line="360" w:lineRule="exact"/>
        <w:rPr>
          <w:rFonts w:ascii="宋体" w:hAnsi="宋体" w:cs="宋体"/>
          <w:b w:val="0"/>
          <w:bCs w:val="0"/>
          <w:sz w:val="24"/>
          <w:szCs w:val="24"/>
        </w:rPr>
      </w:pPr>
      <w:bookmarkStart w:id="295" w:name="_Toc424118187"/>
      <w:bookmarkStart w:id="296" w:name="_Toc353881018"/>
      <w:bookmarkStart w:id="297" w:name="_Toc29489"/>
      <w:bookmarkStart w:id="298" w:name="_Toc21644"/>
      <w:bookmarkStart w:id="299" w:name="_Toc518655810"/>
      <w:bookmarkStart w:id="300" w:name="_Toc9346"/>
      <w:bookmarkStart w:id="301" w:name="_Toc17630"/>
      <w:bookmarkStart w:id="302" w:name="_Toc4158"/>
      <w:r>
        <w:rPr>
          <w:rFonts w:hint="eastAsia" w:ascii="宋体" w:hAnsi="宋体" w:cs="宋体"/>
          <w:b w:val="0"/>
          <w:bCs w:val="0"/>
          <w:sz w:val="24"/>
          <w:szCs w:val="24"/>
        </w:rPr>
        <w:t>附件七、技术规格偏离表</w:t>
      </w:r>
      <w:bookmarkEnd w:id="295"/>
      <w:bookmarkEnd w:id="296"/>
      <w:bookmarkEnd w:id="297"/>
      <w:bookmarkEnd w:id="298"/>
      <w:bookmarkEnd w:id="299"/>
      <w:bookmarkEnd w:id="300"/>
      <w:bookmarkEnd w:id="301"/>
      <w:bookmarkEnd w:id="302"/>
    </w:p>
    <w:p>
      <w:pPr>
        <w:pStyle w:val="30"/>
        <w:spacing w:after="0" w:line="460" w:lineRule="exact"/>
        <w:jc w:val="center"/>
        <w:rPr>
          <w:rFonts w:ascii="宋体" w:hAnsi="宋体" w:cs="宋体"/>
          <w:b/>
          <w:bCs/>
          <w:sz w:val="32"/>
          <w:szCs w:val="32"/>
        </w:rPr>
      </w:pPr>
      <w:r>
        <w:rPr>
          <w:rFonts w:hint="eastAsia" w:ascii="宋体" w:hAnsi="宋体" w:cs="宋体"/>
          <w:b/>
          <w:bCs/>
          <w:sz w:val="32"/>
          <w:szCs w:val="32"/>
        </w:rPr>
        <w:t>技术规格偏离表</w:t>
      </w:r>
    </w:p>
    <w:p>
      <w:pPr>
        <w:spacing w:line="520" w:lineRule="exact"/>
        <w:rPr>
          <w:rFonts w:ascii="宋体" w:hAnsi="宋体"/>
          <w:sz w:val="24"/>
          <w:u w:val="single"/>
        </w:rPr>
      </w:pPr>
      <w:r>
        <w:rPr>
          <w:rFonts w:hint="eastAsia" w:ascii="宋体" w:hAnsi="宋体"/>
          <w:sz w:val="24"/>
        </w:rPr>
        <w:t>项目名称：      招标编号：</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866"/>
        <w:gridCol w:w="2062"/>
        <w:gridCol w:w="2233"/>
        <w:gridCol w:w="878"/>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vAlign w:val="center"/>
          </w:tcPr>
          <w:p>
            <w:pPr>
              <w:jc w:val="center"/>
              <w:rPr>
                <w:rFonts w:ascii="宋体" w:hAnsi="宋体"/>
                <w:b/>
                <w:sz w:val="24"/>
              </w:rPr>
            </w:pPr>
            <w:r>
              <w:rPr>
                <w:rFonts w:hint="eastAsia" w:ascii="宋体" w:hAnsi="宋体"/>
                <w:b/>
                <w:sz w:val="24"/>
              </w:rPr>
              <w:t>序号</w:t>
            </w:r>
          </w:p>
        </w:tc>
        <w:tc>
          <w:tcPr>
            <w:tcW w:w="1866" w:type="dxa"/>
            <w:vAlign w:val="center"/>
          </w:tcPr>
          <w:p>
            <w:pPr>
              <w:jc w:val="center"/>
              <w:rPr>
                <w:rFonts w:ascii="宋体" w:hAnsi="宋体"/>
                <w:b/>
                <w:sz w:val="24"/>
              </w:rPr>
            </w:pPr>
            <w:r>
              <w:rPr>
                <w:rFonts w:hint="eastAsia" w:ascii="宋体" w:hAnsi="宋体"/>
                <w:b/>
                <w:sz w:val="24"/>
              </w:rPr>
              <w:t>货物名称</w:t>
            </w:r>
          </w:p>
        </w:tc>
        <w:tc>
          <w:tcPr>
            <w:tcW w:w="2062" w:type="dxa"/>
            <w:vAlign w:val="center"/>
          </w:tcPr>
          <w:p>
            <w:pPr>
              <w:jc w:val="center"/>
              <w:rPr>
                <w:rFonts w:ascii="宋体" w:hAnsi="宋体"/>
                <w:b/>
                <w:sz w:val="24"/>
              </w:rPr>
            </w:pPr>
            <w:r>
              <w:rPr>
                <w:rFonts w:hint="eastAsia" w:ascii="宋体" w:hAnsi="宋体"/>
                <w:b/>
                <w:sz w:val="24"/>
              </w:rPr>
              <w:t>招标文件条款号</w:t>
            </w:r>
          </w:p>
        </w:tc>
        <w:tc>
          <w:tcPr>
            <w:tcW w:w="2233" w:type="dxa"/>
            <w:vAlign w:val="center"/>
          </w:tcPr>
          <w:p>
            <w:pPr>
              <w:jc w:val="center"/>
              <w:rPr>
                <w:rFonts w:ascii="宋体" w:hAnsi="宋体"/>
                <w:b/>
                <w:sz w:val="24"/>
              </w:rPr>
            </w:pPr>
            <w:r>
              <w:rPr>
                <w:rFonts w:hint="eastAsia" w:ascii="宋体" w:hAnsi="宋体"/>
                <w:b/>
                <w:sz w:val="24"/>
              </w:rPr>
              <w:t>招标文件条款内容</w:t>
            </w:r>
          </w:p>
        </w:tc>
        <w:tc>
          <w:tcPr>
            <w:tcW w:w="878" w:type="dxa"/>
            <w:vAlign w:val="center"/>
          </w:tcPr>
          <w:p>
            <w:pPr>
              <w:jc w:val="center"/>
              <w:rPr>
                <w:rFonts w:ascii="宋体" w:hAnsi="宋体"/>
                <w:b/>
                <w:sz w:val="24"/>
              </w:rPr>
            </w:pPr>
            <w:r>
              <w:rPr>
                <w:rFonts w:hint="eastAsia" w:ascii="宋体" w:hAnsi="宋体"/>
                <w:b/>
                <w:sz w:val="24"/>
              </w:rPr>
              <w:t>偏离</w:t>
            </w:r>
          </w:p>
        </w:tc>
        <w:tc>
          <w:tcPr>
            <w:tcW w:w="878" w:type="dxa"/>
            <w:vAlign w:val="center"/>
          </w:tcPr>
          <w:p>
            <w:pPr>
              <w:jc w:val="center"/>
              <w:rPr>
                <w:rFonts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58" w:type="dxa"/>
          </w:tcPr>
          <w:p>
            <w:pPr>
              <w:rPr>
                <w:rFonts w:ascii="宋体" w:hAnsi="宋体"/>
                <w:sz w:val="24"/>
              </w:rPr>
            </w:pPr>
          </w:p>
        </w:tc>
        <w:tc>
          <w:tcPr>
            <w:tcW w:w="1866" w:type="dxa"/>
          </w:tcPr>
          <w:p>
            <w:pPr>
              <w:rPr>
                <w:rFonts w:ascii="宋体" w:hAnsi="宋体"/>
                <w:sz w:val="24"/>
              </w:rPr>
            </w:pPr>
          </w:p>
        </w:tc>
        <w:tc>
          <w:tcPr>
            <w:tcW w:w="2062" w:type="dxa"/>
          </w:tcPr>
          <w:p>
            <w:pPr>
              <w:rPr>
                <w:rFonts w:ascii="宋体" w:hAnsi="宋体"/>
                <w:sz w:val="24"/>
              </w:rPr>
            </w:pPr>
          </w:p>
        </w:tc>
        <w:tc>
          <w:tcPr>
            <w:tcW w:w="2233" w:type="dxa"/>
          </w:tcPr>
          <w:p>
            <w:pPr>
              <w:rPr>
                <w:rFonts w:ascii="宋体" w:hAnsi="宋体"/>
                <w:sz w:val="24"/>
              </w:rPr>
            </w:pPr>
          </w:p>
        </w:tc>
        <w:tc>
          <w:tcPr>
            <w:tcW w:w="878" w:type="dxa"/>
          </w:tcPr>
          <w:p>
            <w:pPr>
              <w:rPr>
                <w:rFonts w:ascii="宋体" w:hAnsi="宋体"/>
                <w:sz w:val="24"/>
              </w:rPr>
            </w:pPr>
          </w:p>
        </w:tc>
        <w:tc>
          <w:tcPr>
            <w:tcW w:w="878" w:type="dxa"/>
          </w:tcPr>
          <w:p>
            <w:pPr>
              <w:rPr>
                <w:rFonts w:ascii="宋体" w:hAnsi="宋体"/>
                <w:sz w:val="24"/>
              </w:rPr>
            </w:pPr>
          </w:p>
        </w:tc>
      </w:tr>
    </w:tbl>
    <w:p>
      <w:pPr>
        <w:rPr>
          <w:rFonts w:ascii="宋体" w:hAnsi="宋体"/>
          <w:sz w:val="24"/>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rPr>
          <w:rFonts w:ascii="宋体" w:hAnsi="宋体"/>
        </w:rPr>
      </w:pPr>
    </w:p>
    <w:p>
      <w:pPr>
        <w:pStyle w:val="4"/>
        <w:spacing w:before="120" w:after="120" w:line="360" w:lineRule="exact"/>
        <w:rPr>
          <w:rFonts w:ascii="宋体" w:hAnsi="宋体" w:cs="宋体"/>
          <w:b w:val="0"/>
          <w:bCs w:val="0"/>
          <w:sz w:val="24"/>
          <w:szCs w:val="24"/>
        </w:rPr>
      </w:pPr>
      <w:bookmarkStart w:id="303" w:name="_Toc18877"/>
      <w:bookmarkStart w:id="304" w:name="_Toc424118188"/>
      <w:bookmarkStart w:id="305" w:name="_Toc518655811"/>
      <w:bookmarkStart w:id="306" w:name="_Toc9605"/>
      <w:bookmarkStart w:id="307" w:name="_Toc25804"/>
      <w:bookmarkStart w:id="308" w:name="_Toc19517"/>
      <w:bookmarkStart w:id="309" w:name="_Toc28134"/>
      <w:bookmarkStart w:id="310" w:name="_Toc353881019"/>
      <w:r>
        <w:rPr>
          <w:rFonts w:hint="eastAsia" w:ascii="宋体" w:hAnsi="宋体" w:cs="宋体"/>
          <w:b w:val="0"/>
          <w:bCs w:val="0"/>
          <w:sz w:val="24"/>
          <w:szCs w:val="24"/>
        </w:rPr>
        <w:t>附件八、商务条款偏离表</w:t>
      </w:r>
      <w:bookmarkEnd w:id="303"/>
      <w:bookmarkEnd w:id="304"/>
      <w:bookmarkEnd w:id="305"/>
      <w:bookmarkEnd w:id="306"/>
      <w:bookmarkEnd w:id="307"/>
      <w:bookmarkEnd w:id="308"/>
      <w:bookmarkEnd w:id="309"/>
      <w:bookmarkEnd w:id="310"/>
    </w:p>
    <w:p>
      <w:pPr>
        <w:pStyle w:val="30"/>
        <w:spacing w:after="0" w:line="460" w:lineRule="exact"/>
        <w:jc w:val="center"/>
      </w:pPr>
      <w:r>
        <w:rPr>
          <w:rFonts w:hint="eastAsia" w:ascii="宋体" w:hAnsi="宋体" w:cs="宋体"/>
          <w:b/>
          <w:bCs/>
          <w:sz w:val="32"/>
          <w:szCs w:val="32"/>
        </w:rPr>
        <w:t>商务条款偏离表</w:t>
      </w:r>
    </w:p>
    <w:p>
      <w:pPr>
        <w:spacing w:line="240" w:lineRule="exact"/>
        <w:rPr>
          <w:rFonts w:ascii="宋体" w:hAnsi="宋体"/>
          <w:sz w:val="24"/>
        </w:rPr>
      </w:pPr>
    </w:p>
    <w:p>
      <w:pPr>
        <w:spacing w:line="520" w:lineRule="exact"/>
        <w:rPr>
          <w:rFonts w:ascii="宋体" w:hAnsi="宋体"/>
          <w:sz w:val="24"/>
          <w:u w:val="single"/>
        </w:rPr>
      </w:pPr>
      <w:r>
        <w:rPr>
          <w:rFonts w:hint="eastAsia" w:ascii="宋体" w:hAnsi="宋体"/>
          <w:sz w:val="24"/>
        </w:rPr>
        <w:t>项目名称：       招标编号：</w:t>
      </w:r>
    </w:p>
    <w:tbl>
      <w:tblPr>
        <w:tblStyle w:val="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08"/>
        <w:gridCol w:w="3260"/>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28" w:type="dxa"/>
            <w:vAlign w:val="center"/>
          </w:tcPr>
          <w:p>
            <w:pPr>
              <w:rPr>
                <w:rFonts w:ascii="宋体" w:hAnsi="宋体"/>
                <w:b/>
                <w:sz w:val="24"/>
              </w:rPr>
            </w:pPr>
            <w:r>
              <w:rPr>
                <w:rFonts w:hint="eastAsia" w:ascii="宋体" w:hAnsi="宋体"/>
                <w:b/>
                <w:sz w:val="24"/>
              </w:rPr>
              <w:t>序号</w:t>
            </w:r>
          </w:p>
        </w:tc>
        <w:tc>
          <w:tcPr>
            <w:tcW w:w="3108" w:type="dxa"/>
            <w:vAlign w:val="center"/>
          </w:tcPr>
          <w:p>
            <w:pPr>
              <w:jc w:val="center"/>
              <w:rPr>
                <w:rFonts w:ascii="宋体" w:hAnsi="宋体"/>
                <w:b/>
                <w:sz w:val="24"/>
              </w:rPr>
            </w:pPr>
            <w:r>
              <w:rPr>
                <w:rFonts w:hint="eastAsia" w:ascii="宋体" w:hAnsi="宋体"/>
                <w:b/>
                <w:sz w:val="24"/>
              </w:rPr>
              <w:t>招标文件条款号</w:t>
            </w:r>
          </w:p>
        </w:tc>
        <w:tc>
          <w:tcPr>
            <w:tcW w:w="3260" w:type="dxa"/>
            <w:vAlign w:val="center"/>
          </w:tcPr>
          <w:p>
            <w:pPr>
              <w:jc w:val="center"/>
              <w:rPr>
                <w:rFonts w:ascii="宋体" w:hAnsi="宋体"/>
                <w:b/>
                <w:sz w:val="24"/>
              </w:rPr>
            </w:pPr>
            <w:r>
              <w:rPr>
                <w:rFonts w:hint="eastAsia" w:ascii="宋体" w:hAnsi="宋体"/>
                <w:b/>
                <w:sz w:val="24"/>
              </w:rPr>
              <w:t>招标文件条款内容</w:t>
            </w:r>
          </w:p>
        </w:tc>
        <w:tc>
          <w:tcPr>
            <w:tcW w:w="1843" w:type="dxa"/>
            <w:vAlign w:val="center"/>
          </w:tcPr>
          <w:p>
            <w:pPr>
              <w:jc w:val="center"/>
              <w:rPr>
                <w:rFonts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3108" w:type="dxa"/>
          </w:tcPr>
          <w:p>
            <w:pPr>
              <w:rPr>
                <w:rFonts w:ascii="宋体" w:hAnsi="宋体"/>
                <w:sz w:val="24"/>
              </w:rPr>
            </w:pPr>
          </w:p>
        </w:tc>
        <w:tc>
          <w:tcPr>
            <w:tcW w:w="3260" w:type="dxa"/>
          </w:tcPr>
          <w:p>
            <w:pPr>
              <w:rPr>
                <w:rFonts w:ascii="宋体" w:hAnsi="宋体"/>
                <w:sz w:val="24"/>
              </w:rPr>
            </w:pPr>
          </w:p>
        </w:tc>
        <w:tc>
          <w:tcPr>
            <w:tcW w:w="1843" w:type="dxa"/>
          </w:tcPr>
          <w:p>
            <w:pPr>
              <w:rPr>
                <w:rFonts w:ascii="宋体" w:hAnsi="宋体"/>
                <w:sz w:val="24"/>
              </w:rPr>
            </w:pPr>
          </w:p>
        </w:tc>
      </w:tr>
    </w:tbl>
    <w:p>
      <w:pPr>
        <w:rPr>
          <w:rFonts w:ascii="宋体" w:hAnsi="宋体"/>
          <w:sz w:val="24"/>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rPr>
          <w:rFonts w:ascii="宋体" w:hAnsi="宋体"/>
          <w:sz w:val="24"/>
        </w:rPr>
      </w:pPr>
    </w:p>
    <w:p>
      <w:pPr>
        <w:rPr>
          <w:rFonts w:ascii="宋体" w:hAnsi="宋体"/>
          <w:sz w:val="24"/>
        </w:rPr>
      </w:pPr>
    </w:p>
    <w:p>
      <w:pPr>
        <w:pStyle w:val="4"/>
        <w:spacing w:before="120" w:after="120" w:line="360" w:lineRule="exact"/>
        <w:rPr>
          <w:rFonts w:ascii="宋体" w:hAnsi="宋体" w:cs="宋体"/>
          <w:b w:val="0"/>
          <w:bCs w:val="0"/>
          <w:sz w:val="24"/>
          <w:szCs w:val="24"/>
        </w:rPr>
      </w:pPr>
      <w:bookmarkStart w:id="311" w:name="_Toc23672"/>
      <w:bookmarkStart w:id="312" w:name="_Toc26154"/>
      <w:bookmarkStart w:id="313" w:name="_Toc21724"/>
      <w:bookmarkStart w:id="314" w:name="_Toc353881020"/>
      <w:bookmarkStart w:id="315" w:name="_Toc424118189"/>
      <w:bookmarkStart w:id="316" w:name="_Toc23535"/>
      <w:bookmarkStart w:id="317" w:name="_Toc518655812"/>
      <w:bookmarkStart w:id="318" w:name="_Toc29978"/>
      <w:r>
        <w:rPr>
          <w:rFonts w:hint="eastAsia" w:ascii="宋体" w:hAnsi="宋体" w:cs="宋体"/>
          <w:b w:val="0"/>
          <w:bCs w:val="0"/>
          <w:sz w:val="24"/>
          <w:szCs w:val="24"/>
        </w:rPr>
        <w:t>附件九、经营业绩一览表</w:t>
      </w:r>
      <w:bookmarkEnd w:id="311"/>
      <w:bookmarkEnd w:id="312"/>
      <w:bookmarkEnd w:id="313"/>
      <w:bookmarkEnd w:id="314"/>
      <w:bookmarkEnd w:id="315"/>
      <w:bookmarkEnd w:id="316"/>
      <w:bookmarkEnd w:id="317"/>
      <w:bookmarkEnd w:id="318"/>
    </w:p>
    <w:p>
      <w:pPr>
        <w:pStyle w:val="30"/>
        <w:spacing w:after="0" w:line="460" w:lineRule="exact"/>
        <w:jc w:val="center"/>
        <w:rPr>
          <w:rFonts w:ascii="宋体" w:hAnsi="宋体" w:cs="宋体"/>
          <w:b/>
          <w:bCs/>
          <w:sz w:val="32"/>
          <w:szCs w:val="32"/>
        </w:rPr>
      </w:pPr>
      <w:r>
        <w:rPr>
          <w:rFonts w:hint="eastAsia" w:ascii="宋体" w:hAnsi="宋体" w:cs="宋体"/>
          <w:b/>
          <w:bCs/>
          <w:sz w:val="32"/>
          <w:szCs w:val="32"/>
        </w:rPr>
        <w:t>经营业绩一览表</w:t>
      </w:r>
    </w:p>
    <w:p>
      <w:pPr>
        <w:spacing w:line="240" w:lineRule="exact"/>
        <w:jc w:val="center"/>
        <w:rPr>
          <w:rFonts w:ascii="宋体" w:hAnsi="宋体"/>
          <w:b/>
          <w:bCs/>
          <w:sz w:val="36"/>
        </w:rPr>
      </w:pPr>
    </w:p>
    <w:p>
      <w:pPr>
        <w:spacing w:line="520" w:lineRule="exact"/>
        <w:rPr>
          <w:rFonts w:ascii="宋体" w:hAnsi="宋体"/>
          <w:sz w:val="24"/>
          <w:u w:val="single"/>
        </w:rPr>
      </w:pPr>
      <w:r>
        <w:rPr>
          <w:rFonts w:hint="eastAsia" w:ascii="宋体" w:hAnsi="宋体"/>
          <w:sz w:val="24"/>
        </w:rPr>
        <w:t>项目名称：         招标编号：</w:t>
      </w:r>
    </w:p>
    <w:tbl>
      <w:tblPr>
        <w:tblStyle w:val="7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735"/>
        <w:gridCol w:w="840"/>
        <w:gridCol w:w="945"/>
        <w:gridCol w:w="1365"/>
        <w:gridCol w:w="1365"/>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vAlign w:val="center"/>
          </w:tcPr>
          <w:p>
            <w:pPr>
              <w:pStyle w:val="57"/>
              <w:ind w:left="482" w:hanging="482"/>
              <w:jc w:val="center"/>
              <w:rPr>
                <w:rFonts w:ascii="宋体" w:hAnsi="宋体"/>
                <w:b/>
                <w:sz w:val="24"/>
              </w:rPr>
            </w:pPr>
            <w:r>
              <w:rPr>
                <w:rFonts w:hint="eastAsia" w:ascii="宋体" w:hAnsi="宋体"/>
                <w:b/>
                <w:sz w:val="24"/>
              </w:rPr>
              <w:t>序号</w:t>
            </w:r>
          </w:p>
        </w:tc>
        <w:tc>
          <w:tcPr>
            <w:tcW w:w="1785" w:type="dxa"/>
            <w:vAlign w:val="center"/>
          </w:tcPr>
          <w:p>
            <w:pPr>
              <w:pStyle w:val="57"/>
              <w:ind w:left="482" w:hanging="482"/>
              <w:jc w:val="center"/>
              <w:rPr>
                <w:rFonts w:ascii="宋体" w:hAnsi="宋体"/>
                <w:b/>
                <w:sz w:val="24"/>
              </w:rPr>
            </w:pPr>
            <w:r>
              <w:rPr>
                <w:rFonts w:hint="eastAsia" w:ascii="宋体" w:hAnsi="宋体"/>
                <w:b/>
                <w:sz w:val="24"/>
              </w:rPr>
              <w:t>名称</w:t>
            </w:r>
          </w:p>
        </w:tc>
        <w:tc>
          <w:tcPr>
            <w:tcW w:w="735" w:type="dxa"/>
            <w:vAlign w:val="center"/>
          </w:tcPr>
          <w:p>
            <w:pPr>
              <w:pStyle w:val="57"/>
              <w:ind w:left="482" w:hanging="482"/>
              <w:jc w:val="center"/>
              <w:rPr>
                <w:rFonts w:ascii="宋体" w:hAnsi="宋体"/>
                <w:b/>
                <w:sz w:val="24"/>
              </w:rPr>
            </w:pPr>
            <w:r>
              <w:rPr>
                <w:rFonts w:hint="eastAsia" w:ascii="宋体" w:hAnsi="宋体"/>
                <w:b/>
                <w:sz w:val="24"/>
              </w:rPr>
              <w:t>数量</w:t>
            </w:r>
          </w:p>
        </w:tc>
        <w:tc>
          <w:tcPr>
            <w:tcW w:w="840" w:type="dxa"/>
            <w:vAlign w:val="center"/>
          </w:tcPr>
          <w:p>
            <w:pPr>
              <w:pStyle w:val="57"/>
              <w:ind w:left="34" w:hanging="34" w:hangingChars="14"/>
              <w:jc w:val="center"/>
              <w:rPr>
                <w:rFonts w:ascii="宋体" w:hAnsi="宋体"/>
                <w:b/>
                <w:sz w:val="24"/>
              </w:rPr>
            </w:pPr>
            <w:r>
              <w:rPr>
                <w:rFonts w:hint="eastAsia" w:ascii="宋体" w:hAnsi="宋体"/>
                <w:b/>
                <w:sz w:val="24"/>
              </w:rPr>
              <w:t>规格型号</w:t>
            </w:r>
          </w:p>
        </w:tc>
        <w:tc>
          <w:tcPr>
            <w:tcW w:w="945" w:type="dxa"/>
            <w:vAlign w:val="center"/>
          </w:tcPr>
          <w:p>
            <w:pPr>
              <w:pStyle w:val="57"/>
              <w:ind w:left="482" w:hanging="482"/>
              <w:jc w:val="center"/>
              <w:rPr>
                <w:rFonts w:ascii="宋体" w:hAnsi="宋体"/>
                <w:b/>
                <w:sz w:val="24"/>
              </w:rPr>
            </w:pPr>
            <w:r>
              <w:rPr>
                <w:rFonts w:hint="eastAsia" w:ascii="宋体" w:hAnsi="宋体"/>
                <w:b/>
                <w:sz w:val="24"/>
              </w:rPr>
              <w:t>金额</w:t>
            </w:r>
          </w:p>
        </w:tc>
        <w:tc>
          <w:tcPr>
            <w:tcW w:w="1365" w:type="dxa"/>
            <w:vAlign w:val="center"/>
          </w:tcPr>
          <w:p>
            <w:pPr>
              <w:pStyle w:val="57"/>
              <w:ind w:left="482" w:hanging="482"/>
              <w:jc w:val="center"/>
              <w:rPr>
                <w:rFonts w:ascii="宋体" w:hAnsi="宋体"/>
                <w:b/>
                <w:sz w:val="24"/>
              </w:rPr>
            </w:pPr>
            <w:r>
              <w:rPr>
                <w:rFonts w:hint="eastAsia" w:ascii="宋体" w:hAnsi="宋体"/>
                <w:b/>
                <w:sz w:val="24"/>
              </w:rPr>
              <w:t>用户名称</w:t>
            </w:r>
          </w:p>
        </w:tc>
        <w:tc>
          <w:tcPr>
            <w:tcW w:w="1365" w:type="dxa"/>
            <w:vAlign w:val="center"/>
          </w:tcPr>
          <w:p>
            <w:pPr>
              <w:pStyle w:val="57"/>
              <w:ind w:left="482" w:hanging="482"/>
              <w:jc w:val="center"/>
              <w:rPr>
                <w:rFonts w:ascii="宋体" w:hAnsi="宋体"/>
                <w:b/>
                <w:sz w:val="24"/>
              </w:rPr>
            </w:pPr>
            <w:r>
              <w:rPr>
                <w:rFonts w:hint="eastAsia" w:ascii="宋体" w:hAnsi="宋体"/>
                <w:b/>
                <w:sz w:val="24"/>
              </w:rPr>
              <w:t>联系人及</w:t>
            </w:r>
          </w:p>
          <w:p>
            <w:pPr>
              <w:pStyle w:val="57"/>
              <w:ind w:left="482" w:hanging="482"/>
              <w:jc w:val="center"/>
              <w:rPr>
                <w:rFonts w:ascii="宋体" w:hAnsi="宋体"/>
                <w:b/>
                <w:sz w:val="24"/>
              </w:rPr>
            </w:pPr>
            <w:r>
              <w:rPr>
                <w:rFonts w:hint="eastAsia" w:ascii="宋体" w:hAnsi="宋体"/>
                <w:b/>
                <w:sz w:val="24"/>
              </w:rPr>
              <w:t>联系电话</w:t>
            </w:r>
          </w:p>
        </w:tc>
        <w:tc>
          <w:tcPr>
            <w:tcW w:w="1407" w:type="dxa"/>
            <w:vAlign w:val="center"/>
          </w:tcPr>
          <w:p>
            <w:pPr>
              <w:pStyle w:val="57"/>
              <w:ind w:left="482" w:hanging="482"/>
              <w:jc w:val="center"/>
              <w:rPr>
                <w:rFonts w:ascii="宋体" w:hAnsi="宋体"/>
                <w:b/>
                <w:sz w:val="24"/>
              </w:rPr>
            </w:pPr>
            <w:r>
              <w:rPr>
                <w:rFonts w:hint="eastAsia" w:ascii="宋体" w:hAnsi="宋体"/>
                <w:b/>
                <w:sz w:val="24"/>
              </w:rPr>
              <w:t>投产日期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738" w:type="dxa"/>
          </w:tcPr>
          <w:p>
            <w:pPr>
              <w:pStyle w:val="57"/>
              <w:ind w:left="422" w:hanging="422"/>
              <w:rPr>
                <w:rFonts w:ascii="宋体" w:hAnsi="宋体"/>
                <w:b/>
              </w:rPr>
            </w:pPr>
          </w:p>
        </w:tc>
        <w:tc>
          <w:tcPr>
            <w:tcW w:w="1785" w:type="dxa"/>
          </w:tcPr>
          <w:p>
            <w:pPr>
              <w:pStyle w:val="57"/>
              <w:ind w:left="422" w:hanging="422"/>
              <w:rPr>
                <w:rFonts w:ascii="宋体" w:hAnsi="宋体"/>
                <w:b/>
              </w:rPr>
            </w:pPr>
          </w:p>
        </w:tc>
        <w:tc>
          <w:tcPr>
            <w:tcW w:w="735" w:type="dxa"/>
          </w:tcPr>
          <w:p>
            <w:pPr>
              <w:pStyle w:val="57"/>
              <w:ind w:left="422" w:hanging="422"/>
              <w:rPr>
                <w:rFonts w:ascii="宋体" w:hAnsi="宋体"/>
                <w:b/>
              </w:rPr>
            </w:pPr>
          </w:p>
        </w:tc>
        <w:tc>
          <w:tcPr>
            <w:tcW w:w="840" w:type="dxa"/>
          </w:tcPr>
          <w:p>
            <w:pPr>
              <w:pStyle w:val="57"/>
              <w:ind w:left="422" w:hanging="422"/>
              <w:rPr>
                <w:rFonts w:ascii="宋体" w:hAnsi="宋体"/>
                <w:b/>
              </w:rPr>
            </w:pPr>
          </w:p>
        </w:tc>
        <w:tc>
          <w:tcPr>
            <w:tcW w:w="94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365" w:type="dxa"/>
          </w:tcPr>
          <w:p>
            <w:pPr>
              <w:pStyle w:val="57"/>
              <w:ind w:left="422" w:hanging="422"/>
              <w:rPr>
                <w:rFonts w:ascii="宋体" w:hAnsi="宋体"/>
                <w:b/>
              </w:rPr>
            </w:pPr>
          </w:p>
        </w:tc>
        <w:tc>
          <w:tcPr>
            <w:tcW w:w="1407" w:type="dxa"/>
          </w:tcPr>
          <w:p>
            <w:pPr>
              <w:pStyle w:val="57"/>
              <w:ind w:left="422" w:hanging="422"/>
              <w:rPr>
                <w:rFonts w:ascii="宋体" w:hAnsi="宋体"/>
                <w:b/>
              </w:rPr>
            </w:pPr>
          </w:p>
        </w:tc>
      </w:tr>
    </w:tbl>
    <w:p>
      <w:pPr>
        <w:spacing w:line="0" w:lineRule="atLeast"/>
        <w:rPr>
          <w:rFonts w:ascii="宋体" w:hAnsi="宋体"/>
          <w:sz w:val="24"/>
        </w:rPr>
      </w:pPr>
      <w:r>
        <w:rPr>
          <w:rFonts w:hint="eastAsia" w:ascii="宋体" w:hAnsi="宋体"/>
          <w:sz w:val="24"/>
        </w:rPr>
        <w:t>注：</w:t>
      </w:r>
      <w:r>
        <w:rPr>
          <w:rFonts w:hint="eastAsia" w:ascii="宋体" w:hAnsi="宋体" w:cs="宋体"/>
          <w:kern w:val="0"/>
          <w:sz w:val="24"/>
        </w:rPr>
        <w:t>提供近三年同类产品的制造销售业绩（用户名单、联系方式）</w:t>
      </w:r>
      <w:r>
        <w:rPr>
          <w:rFonts w:hint="eastAsia" w:ascii="宋体" w:hAnsi="宋体"/>
          <w:sz w:val="24"/>
        </w:rPr>
        <w:t>，并附合同复印件。</w:t>
      </w:r>
    </w:p>
    <w:p>
      <w:pPr>
        <w:tabs>
          <w:tab w:val="left" w:pos="1578"/>
          <w:tab w:val="left" w:pos="10083"/>
        </w:tabs>
        <w:spacing w:line="500" w:lineRule="exact"/>
        <w:rPr>
          <w:rFonts w:ascii="宋体" w:hAnsi="宋体"/>
          <w:sz w:val="24"/>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360" w:lineRule="auto"/>
        <w:rPr>
          <w:rFonts w:ascii="宋体" w:hAnsi="宋体"/>
          <w:b/>
          <w:sz w:val="24"/>
          <w:szCs w:val="24"/>
        </w:rPr>
      </w:pPr>
      <w:r>
        <w:rPr>
          <w:rFonts w:hint="eastAsia" w:ascii="宋体" w:hAnsi="宋体"/>
          <w:sz w:val="24"/>
        </w:rPr>
        <w:t>日  期：年月日</w:t>
      </w:r>
      <w:r>
        <w:rPr>
          <w:rFonts w:hint="eastAsia" w:ascii="宋体" w:hAnsi="宋体"/>
          <w:b/>
          <w:sz w:val="24"/>
          <w:szCs w:val="24"/>
        </w:rPr>
        <w:t>。</w:t>
      </w:r>
    </w:p>
    <w:p/>
    <w:p/>
    <w:p>
      <w:pPr>
        <w:pStyle w:val="4"/>
        <w:spacing w:before="120" w:after="120" w:line="360" w:lineRule="exact"/>
        <w:rPr>
          <w:rFonts w:ascii="宋体" w:hAnsi="宋体" w:cs="宋体"/>
          <w:b w:val="0"/>
          <w:bCs w:val="0"/>
          <w:sz w:val="24"/>
          <w:szCs w:val="24"/>
        </w:rPr>
      </w:pPr>
      <w:bookmarkStart w:id="319" w:name="_Toc28878"/>
      <w:bookmarkStart w:id="320" w:name="_Toc16420"/>
      <w:bookmarkStart w:id="321" w:name="_Toc353881021"/>
      <w:bookmarkStart w:id="322" w:name="_Toc32263"/>
      <w:bookmarkStart w:id="323" w:name="_Toc518655813"/>
      <w:bookmarkStart w:id="324" w:name="_Toc21106"/>
      <w:bookmarkStart w:id="325" w:name="_Toc424118190"/>
      <w:bookmarkStart w:id="326" w:name="_Toc28044"/>
      <w:r>
        <w:rPr>
          <w:rFonts w:hint="eastAsia" w:ascii="宋体" w:hAnsi="宋体" w:cs="宋体"/>
          <w:b w:val="0"/>
          <w:bCs w:val="0"/>
          <w:sz w:val="24"/>
          <w:szCs w:val="24"/>
        </w:rPr>
        <w:t>附件十、服务承诺函</w:t>
      </w:r>
      <w:bookmarkEnd w:id="319"/>
      <w:bookmarkEnd w:id="320"/>
      <w:bookmarkEnd w:id="321"/>
      <w:bookmarkEnd w:id="322"/>
      <w:bookmarkEnd w:id="323"/>
      <w:bookmarkEnd w:id="324"/>
      <w:bookmarkEnd w:id="325"/>
      <w:bookmarkEnd w:id="326"/>
    </w:p>
    <w:p>
      <w:pPr>
        <w:pStyle w:val="30"/>
        <w:spacing w:after="0" w:line="460" w:lineRule="exact"/>
        <w:jc w:val="center"/>
        <w:rPr>
          <w:rFonts w:ascii="宋体" w:hAnsi="宋体" w:cs="宋体"/>
          <w:b/>
          <w:bCs/>
          <w:sz w:val="32"/>
          <w:szCs w:val="32"/>
        </w:rPr>
      </w:pPr>
      <w:r>
        <w:rPr>
          <w:rFonts w:hint="eastAsia" w:ascii="宋体" w:hAnsi="宋体" w:cs="宋体"/>
          <w:b/>
          <w:bCs/>
          <w:sz w:val="32"/>
          <w:szCs w:val="32"/>
        </w:rPr>
        <w:t>服务承诺函</w:t>
      </w:r>
    </w:p>
    <w:p>
      <w:pPr>
        <w:spacing w:line="240" w:lineRule="exact"/>
        <w:jc w:val="center"/>
        <w:rPr>
          <w:rFonts w:ascii="宋体" w:hAnsi="宋体"/>
          <w:b/>
          <w:bCs/>
          <w:sz w:val="36"/>
        </w:rPr>
      </w:pPr>
    </w:p>
    <w:p>
      <w:pPr>
        <w:spacing w:line="360" w:lineRule="auto"/>
        <w:rPr>
          <w:rFonts w:ascii="宋体" w:hAnsi="宋体"/>
          <w:sz w:val="24"/>
          <w:u w:val="single"/>
        </w:rPr>
      </w:pPr>
      <w:r>
        <w:rPr>
          <w:rFonts w:hint="eastAsia" w:ascii="宋体" w:hAnsi="宋体"/>
          <w:sz w:val="24"/>
        </w:rPr>
        <w:t>项目名称：</w:t>
      </w:r>
    </w:p>
    <w:p>
      <w:pPr>
        <w:pStyle w:val="44"/>
        <w:adjustRightInd w:val="0"/>
        <w:snapToGrid w:val="0"/>
        <w:spacing w:beforeLines="30" w:line="460" w:lineRule="exact"/>
        <w:ind w:left="0" w:leftChars="0"/>
        <w:rPr>
          <w:rFonts w:ascii="宋体" w:hAnsi="宋体"/>
          <w:i/>
          <w:iCs/>
          <w:sz w:val="24"/>
        </w:rPr>
      </w:pPr>
      <w:r>
        <w:rPr>
          <w:rFonts w:hint="eastAsia" w:ascii="宋体" w:hAnsi="宋体"/>
          <w:sz w:val="24"/>
          <w:u w:val="single"/>
        </w:rPr>
        <w:t xml:space="preserve">        公司:</w:t>
      </w:r>
      <w:r>
        <w:rPr>
          <w:rFonts w:hint="eastAsia" w:ascii="宋体" w:hAnsi="宋体"/>
          <w:i/>
          <w:iCs/>
          <w:sz w:val="24"/>
        </w:rPr>
        <w:t>（招标方全称）</w:t>
      </w:r>
    </w:p>
    <w:p>
      <w:pPr>
        <w:spacing w:line="360" w:lineRule="auto"/>
        <w:ind w:firstLine="480"/>
        <w:rPr>
          <w:rFonts w:ascii="宋体" w:hAnsi="宋体"/>
          <w:sz w:val="24"/>
        </w:rPr>
      </w:pPr>
      <w:r>
        <w:rPr>
          <w:rFonts w:hint="eastAsia" w:ascii="宋体" w:hAnsi="宋体"/>
          <w:sz w:val="24"/>
        </w:rPr>
        <w:t>我代表（投标单位名称）对中标合同产品的服务作如下承诺：</w:t>
      </w: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pStyle w:val="4"/>
        <w:spacing w:before="120" w:after="120" w:line="360" w:lineRule="exact"/>
        <w:rPr>
          <w:rFonts w:ascii="宋体" w:hAnsi="宋体" w:cs="宋体"/>
          <w:b w:val="0"/>
          <w:bCs w:val="0"/>
          <w:sz w:val="24"/>
          <w:szCs w:val="24"/>
        </w:rPr>
      </w:pPr>
      <w:bookmarkStart w:id="327" w:name="_Toc762"/>
      <w:bookmarkStart w:id="328" w:name="_Toc353881022"/>
      <w:bookmarkStart w:id="329" w:name="_Toc9193"/>
      <w:bookmarkStart w:id="330" w:name="_Toc27050"/>
      <w:bookmarkStart w:id="331" w:name="_Toc22374"/>
      <w:bookmarkStart w:id="332" w:name="_Toc27537"/>
      <w:bookmarkStart w:id="333" w:name="_Toc518655814"/>
      <w:bookmarkStart w:id="334" w:name="_Toc424118191"/>
      <w:r>
        <w:rPr>
          <w:rFonts w:hint="eastAsia" w:ascii="宋体" w:hAnsi="宋体" w:cs="宋体"/>
          <w:b w:val="0"/>
          <w:bCs w:val="0"/>
          <w:sz w:val="24"/>
          <w:szCs w:val="24"/>
        </w:rPr>
        <w:t>附件十一、设备质量承诺函</w:t>
      </w:r>
      <w:bookmarkEnd w:id="327"/>
      <w:bookmarkEnd w:id="328"/>
      <w:bookmarkEnd w:id="329"/>
      <w:bookmarkEnd w:id="330"/>
      <w:bookmarkEnd w:id="331"/>
      <w:bookmarkEnd w:id="332"/>
      <w:bookmarkEnd w:id="333"/>
      <w:bookmarkEnd w:id="334"/>
    </w:p>
    <w:p>
      <w:pPr>
        <w:pStyle w:val="30"/>
        <w:spacing w:after="0" w:line="460" w:lineRule="exact"/>
        <w:jc w:val="center"/>
        <w:rPr>
          <w:rFonts w:ascii="宋体" w:hAnsi="宋体" w:cs="宋体"/>
          <w:b/>
          <w:bCs/>
          <w:sz w:val="32"/>
          <w:szCs w:val="32"/>
        </w:rPr>
      </w:pPr>
      <w:r>
        <w:rPr>
          <w:rFonts w:hint="eastAsia" w:ascii="宋体" w:hAnsi="宋体" w:cs="宋体"/>
          <w:b/>
          <w:bCs/>
          <w:sz w:val="32"/>
          <w:szCs w:val="32"/>
        </w:rPr>
        <w:t>设备质量承诺函</w:t>
      </w:r>
    </w:p>
    <w:p>
      <w:pPr>
        <w:spacing w:line="240" w:lineRule="exact"/>
        <w:rPr>
          <w:rFonts w:ascii="宋体" w:hAnsi="宋体"/>
        </w:rPr>
      </w:pPr>
    </w:p>
    <w:p>
      <w:pPr>
        <w:spacing w:line="360" w:lineRule="auto"/>
        <w:rPr>
          <w:rFonts w:ascii="宋体" w:hAnsi="宋体"/>
          <w:sz w:val="24"/>
          <w:u w:val="single"/>
        </w:rPr>
      </w:pPr>
      <w:r>
        <w:rPr>
          <w:rFonts w:hint="eastAsia" w:ascii="宋体" w:hAnsi="宋体"/>
          <w:sz w:val="24"/>
        </w:rPr>
        <w:t xml:space="preserve">项目名称: </w:t>
      </w:r>
    </w:p>
    <w:p>
      <w:pPr>
        <w:pStyle w:val="44"/>
        <w:adjustRightInd w:val="0"/>
        <w:snapToGrid w:val="0"/>
        <w:spacing w:beforeLines="30" w:line="460" w:lineRule="exact"/>
        <w:ind w:left="0" w:leftChars="0"/>
        <w:rPr>
          <w:rFonts w:ascii="宋体" w:hAnsi="宋体"/>
          <w:i/>
          <w:iCs/>
          <w:sz w:val="24"/>
        </w:rPr>
      </w:pPr>
      <w:r>
        <w:rPr>
          <w:rFonts w:hint="eastAsia" w:ascii="宋体" w:hAnsi="宋体"/>
          <w:sz w:val="24"/>
          <w:u w:val="single"/>
        </w:rPr>
        <w:t xml:space="preserve">        公司:</w:t>
      </w:r>
      <w:r>
        <w:rPr>
          <w:rFonts w:hint="eastAsia" w:ascii="宋体" w:hAnsi="宋体"/>
          <w:i/>
          <w:iCs/>
          <w:sz w:val="24"/>
        </w:rPr>
        <w:t>（招标方全称）</w:t>
      </w:r>
    </w:p>
    <w:p>
      <w:pPr>
        <w:spacing w:line="360" w:lineRule="auto"/>
        <w:ind w:firstLine="480" w:firstLineChars="200"/>
        <w:rPr>
          <w:rFonts w:ascii="宋体" w:hAnsi="宋体"/>
          <w:sz w:val="24"/>
        </w:rPr>
      </w:pPr>
      <w:r>
        <w:rPr>
          <w:rFonts w:hint="eastAsia" w:ascii="宋体" w:hAnsi="宋体"/>
          <w:sz w:val="24"/>
        </w:rPr>
        <w:t>我代表(投标单位名称)为保证中标产品的质量特作如下承诺：</w:t>
      </w: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firstLine="480" w:firstLineChars="200"/>
        <w:rPr>
          <w:rFonts w:ascii="宋体" w:hAnsi="宋体"/>
          <w:sz w:val="24"/>
          <w:u w:val="single"/>
        </w:rPr>
      </w:pPr>
    </w:p>
    <w:p>
      <w:pPr>
        <w:spacing w:line="360" w:lineRule="auto"/>
        <w:ind w:left="480"/>
        <w:rPr>
          <w:rFonts w:ascii="宋体" w:hAnsi="宋体"/>
          <w:sz w:val="24"/>
        </w:rPr>
      </w:pPr>
    </w:p>
    <w:p>
      <w:pPr>
        <w:spacing w:line="660" w:lineRule="exact"/>
        <w:rPr>
          <w:rFonts w:ascii="宋体" w:hAnsi="宋体"/>
          <w:sz w:val="24"/>
        </w:rPr>
      </w:pPr>
      <w:r>
        <w:rPr>
          <w:rFonts w:hint="eastAsia" w:ascii="宋体" w:hAnsi="宋体"/>
          <w:sz w:val="24"/>
        </w:rPr>
        <w:t>投标方：（盖章）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期：年月日</w:t>
      </w:r>
    </w:p>
    <w:p>
      <w:pPr>
        <w:pStyle w:val="4"/>
        <w:spacing w:before="120" w:after="120" w:line="560" w:lineRule="exact"/>
        <w:rPr>
          <w:rFonts w:ascii="宋体" w:hAnsi="宋体" w:cs="宋体"/>
          <w:b w:val="0"/>
          <w:bCs w:val="0"/>
          <w:sz w:val="24"/>
          <w:szCs w:val="24"/>
        </w:rPr>
        <w:sectPr>
          <w:pgSz w:w="11907" w:h="16840"/>
          <w:pgMar w:top="1785" w:right="1418" w:bottom="1418" w:left="1418" w:header="724" w:footer="851" w:gutter="0"/>
          <w:cols w:space="720" w:num="1"/>
          <w:docGrid w:linePitch="290" w:charSpace="-3931"/>
        </w:sectPr>
      </w:pPr>
    </w:p>
    <w:p>
      <w:pPr>
        <w:pStyle w:val="4"/>
        <w:spacing w:before="120" w:after="120" w:line="560" w:lineRule="exact"/>
        <w:rPr>
          <w:rFonts w:ascii="宋体" w:hAnsi="宋体"/>
          <w:b w:val="0"/>
          <w:bCs w:val="0"/>
          <w:sz w:val="24"/>
          <w:szCs w:val="24"/>
        </w:rPr>
      </w:pPr>
      <w:bookmarkStart w:id="335" w:name="_Toc25897"/>
      <w:bookmarkStart w:id="336" w:name="_Toc14593"/>
      <w:bookmarkStart w:id="337" w:name="_Toc28488"/>
      <w:r>
        <w:rPr>
          <w:rFonts w:hint="eastAsia" w:ascii="宋体" w:hAnsi="宋体" w:cs="宋体"/>
          <w:b w:val="0"/>
          <w:bCs w:val="0"/>
          <w:sz w:val="24"/>
          <w:szCs w:val="24"/>
        </w:rPr>
        <w:t>附件十二</w:t>
      </w:r>
      <w:r>
        <w:rPr>
          <w:rFonts w:ascii="宋体" w:hAnsi="宋体" w:cs="宋体"/>
          <w:b w:val="0"/>
          <w:bCs w:val="0"/>
          <w:sz w:val="24"/>
          <w:szCs w:val="24"/>
        </w:rPr>
        <w:t xml:space="preserve">: </w:t>
      </w:r>
      <w:r>
        <w:rPr>
          <w:rFonts w:hint="eastAsia" w:ascii="宋体" w:hAnsi="宋体" w:cs="宋体"/>
          <w:b w:val="0"/>
          <w:bCs w:val="0"/>
          <w:sz w:val="24"/>
          <w:szCs w:val="24"/>
        </w:rPr>
        <w:t>封面格式（参考）</w:t>
      </w:r>
      <w:bookmarkEnd w:id="335"/>
      <w:bookmarkEnd w:id="336"/>
      <w:bookmarkEnd w:id="337"/>
    </w:p>
    <w:p>
      <w:pPr>
        <w:pStyle w:val="31"/>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0" w:hRule="atLeast"/>
          <w:jc w:val="center"/>
        </w:trPr>
        <w:tc>
          <w:tcPr>
            <w:tcW w:w="4285" w:type="dxa"/>
          </w:tcPr>
          <w:p>
            <w:pPr>
              <w:pStyle w:val="31"/>
              <w:spacing w:line="240" w:lineRule="auto"/>
              <w:ind w:left="1747" w:firstLine="470"/>
              <w:jc w:val="left"/>
              <w:rPr>
                <w:rFonts w:ascii="宋体" w:hAnsi="宋体"/>
                <w:kern w:val="2"/>
                <w:sz w:val="24"/>
                <w:szCs w:val="24"/>
              </w:rPr>
            </w:pPr>
          </w:p>
          <w:p>
            <w:pPr>
              <w:pStyle w:val="31"/>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pPr>
              <w:pStyle w:val="31"/>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（正本）</w:t>
            </w:r>
          </w:p>
          <w:p>
            <w:pPr>
              <w:pStyle w:val="31"/>
              <w:spacing w:line="240" w:lineRule="auto"/>
              <w:ind w:left="1747" w:firstLine="353"/>
              <w:jc w:val="left"/>
              <w:rPr>
                <w:rFonts w:ascii="宋体" w:hAnsi="宋体"/>
                <w:kern w:val="2"/>
                <w:sz w:val="18"/>
                <w:szCs w:val="18"/>
              </w:rPr>
            </w:pP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投标方名称（公章）：</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p>
        </w:tc>
        <w:tc>
          <w:tcPr>
            <w:tcW w:w="4775" w:type="dxa"/>
          </w:tcPr>
          <w:p>
            <w:pPr>
              <w:pStyle w:val="31"/>
              <w:spacing w:line="240" w:lineRule="auto"/>
              <w:ind w:left="1747" w:firstLine="470"/>
              <w:jc w:val="left"/>
              <w:rPr>
                <w:rFonts w:ascii="宋体" w:hAnsi="宋体"/>
                <w:kern w:val="2"/>
                <w:sz w:val="24"/>
                <w:szCs w:val="24"/>
              </w:rPr>
            </w:pPr>
          </w:p>
          <w:p>
            <w:pPr>
              <w:pStyle w:val="31"/>
              <w:spacing w:line="240" w:lineRule="auto"/>
              <w:ind w:left="0" w:leftChars="0" w:firstLine="0" w:firstLineChars="0"/>
              <w:jc w:val="left"/>
              <w:rPr>
                <w:rFonts w:ascii="宋体" w:hAnsi="宋体"/>
                <w:b/>
                <w:bCs/>
                <w:kern w:val="2"/>
                <w:sz w:val="30"/>
                <w:szCs w:val="30"/>
              </w:rPr>
            </w:pPr>
            <w:r>
              <w:rPr>
                <w:rFonts w:hint="eastAsia" w:ascii="宋体" w:hAnsi="宋体" w:cs="宋体"/>
                <w:b/>
                <w:bCs/>
                <w:kern w:val="2"/>
                <w:sz w:val="30"/>
                <w:szCs w:val="30"/>
              </w:rPr>
              <w:t>投标文件</w:t>
            </w:r>
          </w:p>
          <w:p>
            <w:pPr>
              <w:pStyle w:val="31"/>
              <w:spacing w:line="240" w:lineRule="auto"/>
              <w:ind w:left="0" w:leftChars="0" w:firstLine="0" w:firstLineChars="0"/>
              <w:jc w:val="left"/>
              <w:rPr>
                <w:rFonts w:ascii="宋体" w:hAnsi="宋体"/>
                <w:kern w:val="2"/>
                <w:sz w:val="30"/>
                <w:szCs w:val="30"/>
              </w:rPr>
            </w:pPr>
            <w:r>
              <w:rPr>
                <w:rFonts w:hint="eastAsia" w:ascii="宋体" w:hAnsi="宋体" w:cs="宋体"/>
                <w:b/>
                <w:bCs/>
                <w:kern w:val="2"/>
                <w:sz w:val="30"/>
                <w:szCs w:val="30"/>
              </w:rPr>
              <w:t>（副本）</w:t>
            </w:r>
          </w:p>
          <w:p>
            <w:pPr>
              <w:pStyle w:val="31"/>
              <w:spacing w:line="240" w:lineRule="auto"/>
              <w:ind w:left="1747" w:firstLine="353"/>
              <w:jc w:val="left"/>
              <w:rPr>
                <w:rFonts w:ascii="宋体" w:hAnsi="宋体"/>
                <w:kern w:val="2"/>
                <w:sz w:val="18"/>
                <w:szCs w:val="18"/>
              </w:rPr>
            </w:pP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投标方名称（公章）：</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p>
        </w:tc>
      </w:tr>
    </w:tbl>
    <w:p>
      <w:pPr>
        <w:pStyle w:val="31"/>
        <w:spacing w:line="240" w:lineRule="auto"/>
        <w:ind w:left="1747" w:firstLine="412"/>
        <w:rPr>
          <w:rFonts w:ascii="宋体" w:hAnsi="宋体"/>
        </w:rPr>
      </w:pP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pPr>
              <w:pStyle w:val="31"/>
              <w:spacing w:line="400" w:lineRule="exact"/>
              <w:ind w:left="0" w:leftChars="0" w:firstLine="0" w:firstLineChars="0"/>
              <w:jc w:val="left"/>
              <w:rPr>
                <w:rFonts w:ascii="宋体" w:hAnsi="宋体"/>
                <w:kern w:val="2"/>
                <w:sz w:val="24"/>
                <w:szCs w:val="24"/>
              </w:rPr>
            </w:pPr>
          </w:p>
          <w:p>
            <w:pPr>
              <w:pStyle w:val="31"/>
              <w:spacing w:line="240" w:lineRule="auto"/>
              <w:ind w:left="0" w:leftChars="0" w:firstLine="0" w:firstLineChars="0"/>
              <w:jc w:val="left"/>
              <w:rPr>
                <w:rFonts w:ascii="宋体" w:hAnsi="宋体"/>
                <w:kern w:val="2"/>
                <w:sz w:val="24"/>
                <w:szCs w:val="24"/>
              </w:rPr>
            </w:pPr>
            <w:r>
              <w:rPr>
                <w:rFonts w:hint="eastAsia" w:ascii="宋体" w:hAnsi="宋体" w:cs="宋体"/>
                <w:b/>
                <w:bCs/>
                <w:kern w:val="2"/>
                <w:sz w:val="30"/>
                <w:szCs w:val="30"/>
              </w:rPr>
              <w:t>开标一览表</w:t>
            </w:r>
          </w:p>
          <w:p>
            <w:pPr>
              <w:pStyle w:val="31"/>
              <w:spacing w:line="400" w:lineRule="exact"/>
              <w:ind w:left="0" w:leftChars="0" w:firstLine="0" w:firstLineChars="0"/>
              <w:jc w:val="left"/>
              <w:rPr>
                <w:rFonts w:ascii="宋体" w:hAnsi="宋体"/>
                <w:kern w:val="2"/>
                <w:sz w:val="24"/>
                <w:szCs w:val="24"/>
              </w:rPr>
            </w:pP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投标方名称（公章）：</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邮编：</w:t>
            </w:r>
          </w:p>
          <w:p>
            <w:pPr>
              <w:pStyle w:val="31"/>
              <w:spacing w:line="400" w:lineRule="exact"/>
              <w:ind w:left="0" w:leftChars="0" w:firstLine="0" w:firstLineChars="0"/>
              <w:jc w:val="left"/>
              <w:rPr>
                <w:rFonts w:ascii="宋体" w:hAnsi="宋体"/>
                <w:kern w:val="2"/>
                <w:sz w:val="24"/>
                <w:szCs w:val="24"/>
              </w:rPr>
            </w:pPr>
          </w:p>
        </w:tc>
        <w:tc>
          <w:tcPr>
            <w:tcW w:w="4775" w:type="dxa"/>
          </w:tcPr>
          <w:p>
            <w:pPr>
              <w:pStyle w:val="31"/>
              <w:spacing w:line="400" w:lineRule="exact"/>
              <w:ind w:left="0" w:leftChars="0" w:firstLine="0" w:firstLineChars="0"/>
              <w:jc w:val="left"/>
              <w:rPr>
                <w:rFonts w:ascii="宋体" w:hAnsi="宋体"/>
                <w:kern w:val="2"/>
                <w:sz w:val="24"/>
                <w:szCs w:val="24"/>
              </w:rPr>
            </w:pPr>
          </w:p>
          <w:p>
            <w:pPr>
              <w:pStyle w:val="31"/>
              <w:spacing w:line="240" w:lineRule="auto"/>
              <w:ind w:left="0" w:leftChars="0" w:firstLine="0" w:firstLineChars="0"/>
              <w:jc w:val="left"/>
              <w:rPr>
                <w:rFonts w:ascii="宋体" w:hAnsi="宋体" w:cs="宋体"/>
                <w:b/>
                <w:bCs/>
                <w:kern w:val="2"/>
                <w:sz w:val="30"/>
                <w:szCs w:val="30"/>
              </w:rPr>
            </w:pPr>
            <w:r>
              <w:rPr>
                <w:rFonts w:hint="eastAsia" w:ascii="宋体" w:hAnsi="宋体" w:cs="宋体"/>
                <w:b/>
                <w:bCs/>
                <w:kern w:val="2"/>
                <w:sz w:val="30"/>
                <w:szCs w:val="30"/>
              </w:rPr>
              <w:t>电子版投标文件</w:t>
            </w:r>
          </w:p>
          <w:p>
            <w:pPr>
              <w:pStyle w:val="31"/>
              <w:spacing w:line="240" w:lineRule="auto"/>
              <w:ind w:left="0" w:leftChars="0" w:firstLine="0" w:firstLineChars="0"/>
              <w:jc w:val="left"/>
              <w:rPr>
                <w:rFonts w:ascii="宋体" w:hAnsi="宋体" w:cs="宋体"/>
                <w:b/>
                <w:bCs/>
                <w:kern w:val="2"/>
                <w:sz w:val="30"/>
                <w:szCs w:val="30"/>
              </w:rPr>
            </w:pP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项目名称：</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投标方名称（公章）：</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地址：</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电话：</w:t>
            </w:r>
          </w:p>
          <w:p>
            <w:pPr>
              <w:pStyle w:val="31"/>
              <w:spacing w:line="400" w:lineRule="exact"/>
              <w:ind w:left="0" w:leftChars="0" w:firstLine="0" w:firstLineChars="0"/>
              <w:jc w:val="left"/>
              <w:rPr>
                <w:rFonts w:ascii="宋体" w:hAnsi="宋体"/>
                <w:kern w:val="2"/>
                <w:sz w:val="24"/>
                <w:szCs w:val="24"/>
              </w:rPr>
            </w:pPr>
            <w:r>
              <w:rPr>
                <w:rFonts w:hint="eastAsia" w:ascii="宋体" w:hAnsi="宋体" w:cs="宋体"/>
                <w:kern w:val="2"/>
                <w:sz w:val="24"/>
                <w:szCs w:val="24"/>
              </w:rPr>
              <w:t>传真：</w:t>
            </w:r>
          </w:p>
          <w:p>
            <w:pPr>
              <w:pStyle w:val="31"/>
              <w:spacing w:line="240" w:lineRule="auto"/>
              <w:ind w:left="0" w:leftChars="0" w:firstLine="0" w:firstLineChars="0"/>
              <w:jc w:val="left"/>
              <w:rPr>
                <w:rFonts w:ascii="宋体" w:hAnsi="宋体"/>
                <w:kern w:val="2"/>
                <w:sz w:val="24"/>
                <w:szCs w:val="24"/>
              </w:rPr>
            </w:pPr>
            <w:r>
              <w:rPr>
                <w:rFonts w:hint="eastAsia" w:ascii="宋体" w:hAnsi="宋体" w:cs="宋体"/>
                <w:kern w:val="2"/>
                <w:sz w:val="24"/>
                <w:szCs w:val="24"/>
              </w:rPr>
              <w:t>邮编：</w:t>
            </w:r>
          </w:p>
        </w:tc>
      </w:tr>
    </w:tbl>
    <w:p>
      <w:pPr>
        <w:pStyle w:val="31"/>
        <w:spacing w:line="240" w:lineRule="auto"/>
        <w:ind w:left="1747" w:firstLine="412"/>
        <w:rPr>
          <w:rFonts w:ascii="宋体" w:hAnsi="宋体"/>
        </w:rPr>
      </w:pPr>
    </w:p>
    <w:p>
      <w:pPr>
        <w:pStyle w:val="31"/>
        <w:spacing w:line="240" w:lineRule="auto"/>
        <w:ind w:left="0" w:leftChars="0" w:firstLine="0" w:firstLineChars="0"/>
        <w:rPr>
          <w:rFonts w:ascii="宋体" w:hAnsi="宋体"/>
          <w:b/>
          <w:bCs/>
          <w:sz w:val="32"/>
          <w:szCs w:val="32"/>
        </w:rPr>
      </w:pPr>
      <w:r>
        <w:rPr>
          <w:rFonts w:hint="eastAsia" w:ascii="宋体" w:hAnsi="宋体" w:cs="宋体"/>
          <w:b/>
          <w:bCs/>
          <w:sz w:val="32"/>
          <w:szCs w:val="32"/>
        </w:rPr>
        <w:t>封口格式：</w:t>
      </w:r>
    </w:p>
    <w:tbl>
      <w:tblPr>
        <w:tblStyle w:val="7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pPr>
              <w:pStyle w:val="31"/>
              <w:spacing w:line="240" w:lineRule="auto"/>
              <w:ind w:left="0" w:leftChars="0" w:firstLine="0" w:firstLineChars="0"/>
              <w:rPr>
                <w:rFonts w:ascii="宋体" w:hAnsi="宋体"/>
                <w:kern w:val="2"/>
                <w:sz w:val="24"/>
                <w:szCs w:val="24"/>
              </w:rPr>
            </w:pPr>
            <w:r>
              <w:rPr>
                <w:rFonts w:hint="eastAsia" w:ascii="宋体" w:hAnsi="宋体" w:cs="宋体"/>
                <w:kern w:val="2"/>
                <w:sz w:val="24"/>
                <w:szCs w:val="24"/>
              </w:rPr>
              <w:t>……………………于</w:t>
            </w:r>
            <w:r>
              <w:rPr>
                <w:rFonts w:ascii="宋体" w:hAnsi="宋体" w:cs="宋体"/>
                <w:kern w:val="2"/>
                <w:sz w:val="24"/>
                <w:szCs w:val="24"/>
              </w:rPr>
              <w:t>年</w:t>
            </w:r>
            <w:r>
              <w:rPr>
                <w:rFonts w:hint="eastAsia" w:ascii="宋体" w:hAnsi="宋体" w:cs="宋体"/>
                <w:kern w:val="2"/>
                <w:sz w:val="24"/>
                <w:szCs w:val="24"/>
              </w:rPr>
              <w:t>月日时之前不准启封（公章）…………………</w:t>
            </w:r>
          </w:p>
        </w:tc>
      </w:tr>
    </w:tbl>
    <w:p>
      <w:pPr>
        <w:pStyle w:val="31"/>
        <w:spacing w:line="240" w:lineRule="auto"/>
        <w:ind w:left="0" w:leftChars="0" w:firstLine="0" w:firstLineChars="0"/>
        <w:rPr>
          <w:rFonts w:ascii="宋体" w:hAnsi="宋体"/>
        </w:rPr>
      </w:pPr>
    </w:p>
    <w:p/>
    <w:p>
      <w:pPr>
        <w:pStyle w:val="4"/>
        <w:spacing w:before="120" w:after="120" w:line="360" w:lineRule="exact"/>
        <w:rPr>
          <w:rFonts w:ascii="宋体" w:hAnsi="宋体"/>
          <w:sz w:val="24"/>
          <w:szCs w:val="24"/>
        </w:rPr>
      </w:pPr>
    </w:p>
    <w:sectPr>
      <w:pgSz w:w="11907" w:h="16840"/>
      <w:pgMar w:top="1785" w:right="1418" w:bottom="1418" w:left="1418"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大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文鼎大标宋简">
    <w:altName w:val="宋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 PAGE   \* MERGEFORMAT </w:instrText>
    </w:r>
    <w:r>
      <w:fldChar w:fldCharType="separate"/>
    </w:r>
    <w:r>
      <w:rPr>
        <w:lang w:val="zh-CN"/>
      </w:rPr>
      <w:t>20</w:t>
    </w:r>
    <w:r>
      <w:rPr>
        <w:lang w:val="zh-CN"/>
      </w:rPr>
      <w:fldChar w:fldCharType="end"/>
    </w:r>
  </w:p>
  <w:p>
    <w:pPr>
      <w:pStyle w:val="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right"/>
    </w:pPr>
    <w:r>
      <w:fldChar w:fldCharType="begin"/>
    </w:r>
    <w:r>
      <w:instrText xml:space="preserve"> PAGE   \* MERGEFORMAT </w:instrText>
    </w:r>
    <w:r>
      <w:fldChar w:fldCharType="separate"/>
    </w:r>
    <w:r>
      <w:rPr>
        <w:lang w:val="zh-CN"/>
      </w:rPr>
      <w:t>2</w:t>
    </w:r>
    <w:r>
      <w:rPr>
        <w:lang w:val="zh-CN"/>
      </w:rPr>
      <w:fldChar w:fldCharType="end"/>
    </w:r>
  </w:p>
  <w:p>
    <w:pPr>
      <w:pStyle w:val="4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 PAGE   \* MERGEFORMAT </w:instrText>
    </w:r>
    <w:r>
      <w:fldChar w:fldCharType="separate"/>
    </w:r>
    <w:r>
      <w:rPr>
        <w:lang w:val="zh-CN"/>
      </w:rPr>
      <w:t>26</w:t>
    </w:r>
    <w:r>
      <w:rPr>
        <w:lang w:val="zh-CN"/>
      </w:rPr>
      <w:fldChar w:fldCharType="end"/>
    </w:r>
  </w:p>
  <w:p>
    <w:pPr>
      <w:pStyle w:val="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jc w:val="center"/>
    </w:pPr>
    <w:r>
      <w:fldChar w:fldCharType="begin"/>
    </w:r>
    <w:r>
      <w:instrText xml:space="preserve"> PAGE   \* MERGEFORMAT </w:instrText>
    </w:r>
    <w:r>
      <w:fldChar w:fldCharType="separate"/>
    </w:r>
    <w:r>
      <w:rPr>
        <w:lang w:val="zh-CN"/>
      </w:rPr>
      <w:t>59</w:t>
    </w:r>
    <w:r>
      <w:rPr>
        <w:lang w:val="zh-CN"/>
      </w:rPr>
      <w:fldChar w:fldCharType="end"/>
    </w:r>
  </w:p>
  <w:p>
    <w:pPr>
      <w:pStyle w:val="4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53208E"/>
    <w:multiLevelType w:val="multilevel"/>
    <w:tmpl w:val="0053208E"/>
    <w:lvl w:ilvl="0" w:tentative="0">
      <w:start w:val="1"/>
      <w:numFmt w:val="bullet"/>
      <w:pStyle w:val="159"/>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29F5DE5"/>
    <w:multiLevelType w:val="multilevel"/>
    <w:tmpl w:val="229F5DE5"/>
    <w:lvl w:ilvl="0" w:tentative="0">
      <w:start w:val="3"/>
      <w:numFmt w:val="decimal"/>
      <w:pStyle w:val="42"/>
      <w:lvlText w:val="%1．"/>
      <w:lvlJc w:val="left"/>
      <w:pPr>
        <w:tabs>
          <w:tab w:val="left" w:pos="360"/>
        </w:tabs>
        <w:ind w:left="360" w:hanging="360"/>
      </w:pPr>
      <w:rPr>
        <w:rFonts w:hint="default" w:cs="Times New Roman"/>
      </w:rPr>
    </w:lvl>
    <w:lvl w:ilvl="1" w:tentative="0">
      <w:start w:val="1"/>
      <w:numFmt w:val="lowerLetter"/>
      <w:pStyle w:val="234"/>
      <w:lvlText w:val="%2)"/>
      <w:lvlJc w:val="left"/>
      <w:pPr>
        <w:tabs>
          <w:tab w:val="left" w:pos="840"/>
        </w:tabs>
        <w:ind w:left="840" w:hanging="420"/>
      </w:pPr>
      <w:rPr>
        <w:rFonts w:cs="Times New Roman"/>
      </w:rPr>
    </w:lvl>
    <w:lvl w:ilvl="2" w:tentative="0">
      <w:start w:val="1"/>
      <w:numFmt w:val="lowerRoman"/>
      <w:pStyle w:val="237"/>
      <w:lvlText w:val="%3."/>
      <w:lvlJc w:val="right"/>
      <w:pPr>
        <w:tabs>
          <w:tab w:val="left" w:pos="1260"/>
        </w:tabs>
        <w:ind w:left="1260" w:hanging="420"/>
      </w:pPr>
      <w:rPr>
        <w:rFonts w:cs="Times New Roman"/>
      </w:rPr>
    </w:lvl>
    <w:lvl w:ilvl="3" w:tentative="0">
      <w:start w:val="1"/>
      <w:numFmt w:val="decimal"/>
      <w:pStyle w:val="162"/>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166"/>
      <w:lvlText w:val="%6."/>
      <w:lvlJc w:val="right"/>
      <w:pPr>
        <w:tabs>
          <w:tab w:val="left" w:pos="2520"/>
        </w:tabs>
        <w:ind w:left="2520" w:hanging="420"/>
      </w:pPr>
      <w:rPr>
        <w:rFonts w:cs="Times New Roman"/>
      </w:rPr>
    </w:lvl>
    <w:lvl w:ilvl="6" w:tentative="0">
      <w:start w:val="1"/>
      <w:numFmt w:val="decimal"/>
      <w:pStyle w:val="141"/>
      <w:lvlText w:val="%7."/>
      <w:lvlJc w:val="left"/>
      <w:pPr>
        <w:tabs>
          <w:tab w:val="left" w:pos="2940"/>
        </w:tabs>
        <w:ind w:left="2940" w:hanging="420"/>
      </w:pPr>
      <w:rPr>
        <w:rFonts w:cs="Times New Roman"/>
      </w:rPr>
    </w:lvl>
    <w:lvl w:ilvl="7" w:tentative="0">
      <w:start w:val="1"/>
      <w:numFmt w:val="lowerLetter"/>
      <w:pStyle w:val="239"/>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0EE28BC"/>
    <w:multiLevelType w:val="multilevel"/>
    <w:tmpl w:val="40EE28B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3F7654C"/>
    <w:multiLevelType w:val="multilevel"/>
    <w:tmpl w:val="53F7654C"/>
    <w:lvl w:ilvl="0" w:tentative="0">
      <w:start w:val="1"/>
      <w:numFmt w:val="decimal"/>
      <w:lvlText w:val="%1、"/>
      <w:lvlJc w:val="left"/>
      <w:pPr>
        <w:tabs>
          <w:tab w:val="left" w:pos="360"/>
        </w:tabs>
        <w:ind w:left="360" w:hanging="360"/>
      </w:pPr>
      <w:rPr>
        <w:rFonts w:hint="default" w:cs="Times New Roman"/>
      </w:rPr>
    </w:lvl>
    <w:lvl w:ilvl="1" w:tentative="0">
      <w:start w:val="1"/>
      <w:numFmt w:val="lowerLetter"/>
      <w:pStyle w:val="151"/>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59911CB9"/>
    <w:multiLevelType w:val="singleLevel"/>
    <w:tmpl w:val="59911CB9"/>
    <w:lvl w:ilvl="0" w:tentative="0">
      <w:start w:val="27"/>
      <w:numFmt w:val="decimal"/>
      <w:suff w:val="nothing"/>
      <w:lvlText w:val="%1、"/>
      <w:lvlJc w:val="left"/>
    </w:lvl>
  </w:abstractNum>
  <w:abstractNum w:abstractNumId="6">
    <w:nsid w:val="5CBF4B38"/>
    <w:multiLevelType w:val="singleLevel"/>
    <w:tmpl w:val="5CBF4B38"/>
    <w:lvl w:ilvl="0" w:tentative="0">
      <w:start w:val="1"/>
      <w:numFmt w:val="bullet"/>
      <w:pStyle w:val="165"/>
      <w:lvlText w:val="-"/>
      <w:lvlJc w:val="left"/>
      <w:pPr>
        <w:tabs>
          <w:tab w:val="left" w:pos="360"/>
        </w:tabs>
        <w:ind w:left="360" w:hanging="360"/>
      </w:pPr>
      <w:rPr>
        <w:sz w:val="16"/>
      </w:rPr>
    </w:lvl>
  </w:abstractNum>
  <w:abstractNum w:abstractNumId="7">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249"/>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2"/>
  </w:num>
  <w:num w:numId="2">
    <w:abstractNumId w:val="4"/>
  </w:num>
  <w:num w:numId="3">
    <w:abstractNumId w:val="1"/>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0"/>
  <w:bordersDoNotSurroundFooter w:val="0"/>
  <w:documentProtection w:enforcement="0"/>
  <w:defaultTabStop w:val="420"/>
  <w:doNotHyphenateCaps/>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DRiOTA5MzE4NTIwYzFkMTNmZTRjMjg1NTE5NmYyZGMifQ=="/>
  </w:docVars>
  <w:rsids>
    <w:rsidRoot w:val="00B9162F"/>
    <w:rsid w:val="000009EA"/>
    <w:rsid w:val="00002009"/>
    <w:rsid w:val="00002033"/>
    <w:rsid w:val="00002350"/>
    <w:rsid w:val="000027CE"/>
    <w:rsid w:val="00003D85"/>
    <w:rsid w:val="00006123"/>
    <w:rsid w:val="000066A8"/>
    <w:rsid w:val="00007080"/>
    <w:rsid w:val="000070BA"/>
    <w:rsid w:val="00007373"/>
    <w:rsid w:val="00007867"/>
    <w:rsid w:val="00007958"/>
    <w:rsid w:val="00007F75"/>
    <w:rsid w:val="0001010F"/>
    <w:rsid w:val="000107DF"/>
    <w:rsid w:val="00010AF1"/>
    <w:rsid w:val="00010B83"/>
    <w:rsid w:val="00010C65"/>
    <w:rsid w:val="00012350"/>
    <w:rsid w:val="00012AD5"/>
    <w:rsid w:val="00012F69"/>
    <w:rsid w:val="0001316F"/>
    <w:rsid w:val="000132D4"/>
    <w:rsid w:val="00013F12"/>
    <w:rsid w:val="00013F6C"/>
    <w:rsid w:val="000146C2"/>
    <w:rsid w:val="00015085"/>
    <w:rsid w:val="00015188"/>
    <w:rsid w:val="000154D7"/>
    <w:rsid w:val="00015F0B"/>
    <w:rsid w:val="00016B7F"/>
    <w:rsid w:val="00016FFA"/>
    <w:rsid w:val="00017221"/>
    <w:rsid w:val="0001728C"/>
    <w:rsid w:val="000175BE"/>
    <w:rsid w:val="000176F2"/>
    <w:rsid w:val="00017880"/>
    <w:rsid w:val="0002130D"/>
    <w:rsid w:val="0002169C"/>
    <w:rsid w:val="000216B9"/>
    <w:rsid w:val="00022294"/>
    <w:rsid w:val="000222C4"/>
    <w:rsid w:val="00022410"/>
    <w:rsid w:val="000230FC"/>
    <w:rsid w:val="00023291"/>
    <w:rsid w:val="000233AD"/>
    <w:rsid w:val="0002350F"/>
    <w:rsid w:val="00023579"/>
    <w:rsid w:val="00023610"/>
    <w:rsid w:val="00023ED5"/>
    <w:rsid w:val="00024366"/>
    <w:rsid w:val="0002456C"/>
    <w:rsid w:val="0002479A"/>
    <w:rsid w:val="00024840"/>
    <w:rsid w:val="00024AB5"/>
    <w:rsid w:val="00024EE4"/>
    <w:rsid w:val="0002506A"/>
    <w:rsid w:val="00026173"/>
    <w:rsid w:val="00026290"/>
    <w:rsid w:val="000267E1"/>
    <w:rsid w:val="00026871"/>
    <w:rsid w:val="00027BB0"/>
    <w:rsid w:val="00031311"/>
    <w:rsid w:val="00031679"/>
    <w:rsid w:val="000318B5"/>
    <w:rsid w:val="000319A9"/>
    <w:rsid w:val="00031F00"/>
    <w:rsid w:val="000329A4"/>
    <w:rsid w:val="00032B55"/>
    <w:rsid w:val="00032BAF"/>
    <w:rsid w:val="00033020"/>
    <w:rsid w:val="00033562"/>
    <w:rsid w:val="00034C7F"/>
    <w:rsid w:val="00034D65"/>
    <w:rsid w:val="00034DD1"/>
    <w:rsid w:val="00034DE1"/>
    <w:rsid w:val="000350C2"/>
    <w:rsid w:val="000352BA"/>
    <w:rsid w:val="0003571A"/>
    <w:rsid w:val="00035833"/>
    <w:rsid w:val="00035CEB"/>
    <w:rsid w:val="0003624D"/>
    <w:rsid w:val="00036624"/>
    <w:rsid w:val="00036707"/>
    <w:rsid w:val="0003772C"/>
    <w:rsid w:val="00037A2B"/>
    <w:rsid w:val="00037B8E"/>
    <w:rsid w:val="00040F52"/>
    <w:rsid w:val="00041249"/>
    <w:rsid w:val="00041C7D"/>
    <w:rsid w:val="000426F9"/>
    <w:rsid w:val="00042716"/>
    <w:rsid w:val="00042F7C"/>
    <w:rsid w:val="000434AA"/>
    <w:rsid w:val="000435A1"/>
    <w:rsid w:val="00043EA2"/>
    <w:rsid w:val="00043F53"/>
    <w:rsid w:val="0004438B"/>
    <w:rsid w:val="00045404"/>
    <w:rsid w:val="00045774"/>
    <w:rsid w:val="00046208"/>
    <w:rsid w:val="00046A50"/>
    <w:rsid w:val="00046D8A"/>
    <w:rsid w:val="00046F00"/>
    <w:rsid w:val="00046F1B"/>
    <w:rsid w:val="0004719A"/>
    <w:rsid w:val="000471EC"/>
    <w:rsid w:val="00047582"/>
    <w:rsid w:val="000478F5"/>
    <w:rsid w:val="000503C1"/>
    <w:rsid w:val="000508F9"/>
    <w:rsid w:val="0005095A"/>
    <w:rsid w:val="00050C78"/>
    <w:rsid w:val="00052447"/>
    <w:rsid w:val="000524A5"/>
    <w:rsid w:val="000525EB"/>
    <w:rsid w:val="00052AAC"/>
    <w:rsid w:val="000533A2"/>
    <w:rsid w:val="00053C01"/>
    <w:rsid w:val="00054386"/>
    <w:rsid w:val="000544A9"/>
    <w:rsid w:val="000546B1"/>
    <w:rsid w:val="000549AA"/>
    <w:rsid w:val="00054DBF"/>
    <w:rsid w:val="00054E7E"/>
    <w:rsid w:val="00055043"/>
    <w:rsid w:val="000557E4"/>
    <w:rsid w:val="000557FE"/>
    <w:rsid w:val="000559CF"/>
    <w:rsid w:val="00055BF8"/>
    <w:rsid w:val="00056BAC"/>
    <w:rsid w:val="00056C57"/>
    <w:rsid w:val="00060555"/>
    <w:rsid w:val="00060975"/>
    <w:rsid w:val="0006100D"/>
    <w:rsid w:val="0006144D"/>
    <w:rsid w:val="00061AB5"/>
    <w:rsid w:val="00062007"/>
    <w:rsid w:val="0006264A"/>
    <w:rsid w:val="00062ADB"/>
    <w:rsid w:val="00064C64"/>
    <w:rsid w:val="000650E5"/>
    <w:rsid w:val="000651F7"/>
    <w:rsid w:val="00065ED1"/>
    <w:rsid w:val="00066261"/>
    <w:rsid w:val="0006648F"/>
    <w:rsid w:val="000668CA"/>
    <w:rsid w:val="00066DEF"/>
    <w:rsid w:val="00067AEC"/>
    <w:rsid w:val="00070205"/>
    <w:rsid w:val="000703B4"/>
    <w:rsid w:val="00070D6B"/>
    <w:rsid w:val="000716E2"/>
    <w:rsid w:val="0007186A"/>
    <w:rsid w:val="000719ED"/>
    <w:rsid w:val="00071A6C"/>
    <w:rsid w:val="00072497"/>
    <w:rsid w:val="0007255D"/>
    <w:rsid w:val="00072965"/>
    <w:rsid w:val="00073178"/>
    <w:rsid w:val="000731EE"/>
    <w:rsid w:val="0007345D"/>
    <w:rsid w:val="000737CF"/>
    <w:rsid w:val="0007590B"/>
    <w:rsid w:val="00075D21"/>
    <w:rsid w:val="0007642E"/>
    <w:rsid w:val="0007697F"/>
    <w:rsid w:val="000769BA"/>
    <w:rsid w:val="00076C5A"/>
    <w:rsid w:val="00077566"/>
    <w:rsid w:val="0007764A"/>
    <w:rsid w:val="0007775E"/>
    <w:rsid w:val="00077888"/>
    <w:rsid w:val="0008005E"/>
    <w:rsid w:val="00081462"/>
    <w:rsid w:val="00081F56"/>
    <w:rsid w:val="00081FE6"/>
    <w:rsid w:val="000822B6"/>
    <w:rsid w:val="000823C8"/>
    <w:rsid w:val="00082719"/>
    <w:rsid w:val="000827EC"/>
    <w:rsid w:val="00082A06"/>
    <w:rsid w:val="0008312C"/>
    <w:rsid w:val="000835DC"/>
    <w:rsid w:val="00083B66"/>
    <w:rsid w:val="00083C98"/>
    <w:rsid w:val="00083E13"/>
    <w:rsid w:val="00084395"/>
    <w:rsid w:val="0008495C"/>
    <w:rsid w:val="0008520E"/>
    <w:rsid w:val="00085895"/>
    <w:rsid w:val="0008607A"/>
    <w:rsid w:val="00086F32"/>
    <w:rsid w:val="00087790"/>
    <w:rsid w:val="00087A0D"/>
    <w:rsid w:val="00087EDB"/>
    <w:rsid w:val="0009000E"/>
    <w:rsid w:val="0009162A"/>
    <w:rsid w:val="00091E02"/>
    <w:rsid w:val="00092581"/>
    <w:rsid w:val="00093A61"/>
    <w:rsid w:val="000943A0"/>
    <w:rsid w:val="0009481E"/>
    <w:rsid w:val="00094F8C"/>
    <w:rsid w:val="000955F3"/>
    <w:rsid w:val="0009573C"/>
    <w:rsid w:val="00097396"/>
    <w:rsid w:val="000974FB"/>
    <w:rsid w:val="00097F0C"/>
    <w:rsid w:val="000A01B4"/>
    <w:rsid w:val="000A0933"/>
    <w:rsid w:val="000A0AC8"/>
    <w:rsid w:val="000A0EDF"/>
    <w:rsid w:val="000A1162"/>
    <w:rsid w:val="000A11F7"/>
    <w:rsid w:val="000A123A"/>
    <w:rsid w:val="000A153B"/>
    <w:rsid w:val="000A1957"/>
    <w:rsid w:val="000A1D61"/>
    <w:rsid w:val="000A22DD"/>
    <w:rsid w:val="000A3066"/>
    <w:rsid w:val="000A30DF"/>
    <w:rsid w:val="000A4279"/>
    <w:rsid w:val="000A43CC"/>
    <w:rsid w:val="000A4E21"/>
    <w:rsid w:val="000A5966"/>
    <w:rsid w:val="000A59D6"/>
    <w:rsid w:val="000A5B54"/>
    <w:rsid w:val="000A6404"/>
    <w:rsid w:val="000A6D07"/>
    <w:rsid w:val="000A738D"/>
    <w:rsid w:val="000A7A27"/>
    <w:rsid w:val="000A7B1B"/>
    <w:rsid w:val="000B05E1"/>
    <w:rsid w:val="000B0837"/>
    <w:rsid w:val="000B0DC1"/>
    <w:rsid w:val="000B15E3"/>
    <w:rsid w:val="000B1AE1"/>
    <w:rsid w:val="000B1E62"/>
    <w:rsid w:val="000B2160"/>
    <w:rsid w:val="000B22F9"/>
    <w:rsid w:val="000B235B"/>
    <w:rsid w:val="000B2D0E"/>
    <w:rsid w:val="000B31E3"/>
    <w:rsid w:val="000B32ED"/>
    <w:rsid w:val="000B33BA"/>
    <w:rsid w:val="000B3C69"/>
    <w:rsid w:val="000B403D"/>
    <w:rsid w:val="000B4653"/>
    <w:rsid w:val="000B46A8"/>
    <w:rsid w:val="000B47E5"/>
    <w:rsid w:val="000B499E"/>
    <w:rsid w:val="000B5380"/>
    <w:rsid w:val="000B5F78"/>
    <w:rsid w:val="000B68A8"/>
    <w:rsid w:val="000B6CFE"/>
    <w:rsid w:val="000B6F17"/>
    <w:rsid w:val="000B74F9"/>
    <w:rsid w:val="000B782B"/>
    <w:rsid w:val="000B796D"/>
    <w:rsid w:val="000C0035"/>
    <w:rsid w:val="000C013C"/>
    <w:rsid w:val="000C0659"/>
    <w:rsid w:val="000C0C09"/>
    <w:rsid w:val="000C147E"/>
    <w:rsid w:val="000C1482"/>
    <w:rsid w:val="000C176E"/>
    <w:rsid w:val="000C2810"/>
    <w:rsid w:val="000C290D"/>
    <w:rsid w:val="000C29D9"/>
    <w:rsid w:val="000C2C3A"/>
    <w:rsid w:val="000C321A"/>
    <w:rsid w:val="000C4FDF"/>
    <w:rsid w:val="000C570B"/>
    <w:rsid w:val="000C5CF9"/>
    <w:rsid w:val="000C5F02"/>
    <w:rsid w:val="000C6059"/>
    <w:rsid w:val="000C6443"/>
    <w:rsid w:val="000C646F"/>
    <w:rsid w:val="000C6631"/>
    <w:rsid w:val="000C69EA"/>
    <w:rsid w:val="000C6C9A"/>
    <w:rsid w:val="000C722B"/>
    <w:rsid w:val="000C7332"/>
    <w:rsid w:val="000C7362"/>
    <w:rsid w:val="000C749A"/>
    <w:rsid w:val="000C771F"/>
    <w:rsid w:val="000C773F"/>
    <w:rsid w:val="000C7D3D"/>
    <w:rsid w:val="000C7D67"/>
    <w:rsid w:val="000C7E61"/>
    <w:rsid w:val="000D04BD"/>
    <w:rsid w:val="000D05AB"/>
    <w:rsid w:val="000D1FBB"/>
    <w:rsid w:val="000D2114"/>
    <w:rsid w:val="000D2284"/>
    <w:rsid w:val="000D2CCE"/>
    <w:rsid w:val="000D2D73"/>
    <w:rsid w:val="000D3C96"/>
    <w:rsid w:val="000D568C"/>
    <w:rsid w:val="000D58DE"/>
    <w:rsid w:val="000D59D3"/>
    <w:rsid w:val="000D688A"/>
    <w:rsid w:val="000D6999"/>
    <w:rsid w:val="000D78F9"/>
    <w:rsid w:val="000D7987"/>
    <w:rsid w:val="000E0831"/>
    <w:rsid w:val="000E0C5A"/>
    <w:rsid w:val="000E1280"/>
    <w:rsid w:val="000E1775"/>
    <w:rsid w:val="000E1A51"/>
    <w:rsid w:val="000E2110"/>
    <w:rsid w:val="000E2215"/>
    <w:rsid w:val="000E2509"/>
    <w:rsid w:val="000E2F0D"/>
    <w:rsid w:val="000E3179"/>
    <w:rsid w:val="000E3DCB"/>
    <w:rsid w:val="000E402C"/>
    <w:rsid w:val="000E41B2"/>
    <w:rsid w:val="000E446E"/>
    <w:rsid w:val="000E4631"/>
    <w:rsid w:val="000E4698"/>
    <w:rsid w:val="000E4F3D"/>
    <w:rsid w:val="000E512D"/>
    <w:rsid w:val="000E5658"/>
    <w:rsid w:val="000E5982"/>
    <w:rsid w:val="000E60B9"/>
    <w:rsid w:val="000E62A5"/>
    <w:rsid w:val="000E6470"/>
    <w:rsid w:val="000E6715"/>
    <w:rsid w:val="000E6C2C"/>
    <w:rsid w:val="000E72F4"/>
    <w:rsid w:val="000F0B7A"/>
    <w:rsid w:val="000F0DF8"/>
    <w:rsid w:val="000F0E1F"/>
    <w:rsid w:val="000F12D9"/>
    <w:rsid w:val="000F2474"/>
    <w:rsid w:val="000F2A9B"/>
    <w:rsid w:val="000F2C66"/>
    <w:rsid w:val="000F329D"/>
    <w:rsid w:val="000F35ED"/>
    <w:rsid w:val="000F3A6A"/>
    <w:rsid w:val="000F4A24"/>
    <w:rsid w:val="000F4FD5"/>
    <w:rsid w:val="000F5110"/>
    <w:rsid w:val="000F5767"/>
    <w:rsid w:val="000F5887"/>
    <w:rsid w:val="000F678D"/>
    <w:rsid w:val="000F6E4D"/>
    <w:rsid w:val="000F70F6"/>
    <w:rsid w:val="000F761F"/>
    <w:rsid w:val="000F7931"/>
    <w:rsid w:val="000F7936"/>
    <w:rsid w:val="000F7AF9"/>
    <w:rsid w:val="000F7D31"/>
    <w:rsid w:val="000F7E96"/>
    <w:rsid w:val="001001DD"/>
    <w:rsid w:val="00100B8B"/>
    <w:rsid w:val="00100C4E"/>
    <w:rsid w:val="001010D2"/>
    <w:rsid w:val="0010134B"/>
    <w:rsid w:val="0010249F"/>
    <w:rsid w:val="00102DD1"/>
    <w:rsid w:val="0010375E"/>
    <w:rsid w:val="0010473F"/>
    <w:rsid w:val="00104C7A"/>
    <w:rsid w:val="00105030"/>
    <w:rsid w:val="00105095"/>
    <w:rsid w:val="001057FF"/>
    <w:rsid w:val="00105D64"/>
    <w:rsid w:val="00105DFD"/>
    <w:rsid w:val="00106C46"/>
    <w:rsid w:val="00106FEC"/>
    <w:rsid w:val="0010722E"/>
    <w:rsid w:val="0010799E"/>
    <w:rsid w:val="0011018F"/>
    <w:rsid w:val="00110694"/>
    <w:rsid w:val="00110C5A"/>
    <w:rsid w:val="00111282"/>
    <w:rsid w:val="00111C97"/>
    <w:rsid w:val="00111CE0"/>
    <w:rsid w:val="00111FDB"/>
    <w:rsid w:val="001123B3"/>
    <w:rsid w:val="001125DB"/>
    <w:rsid w:val="001133A6"/>
    <w:rsid w:val="00113636"/>
    <w:rsid w:val="00113767"/>
    <w:rsid w:val="00113854"/>
    <w:rsid w:val="001139C1"/>
    <w:rsid w:val="00113B8A"/>
    <w:rsid w:val="00113F6B"/>
    <w:rsid w:val="001152B2"/>
    <w:rsid w:val="001157D9"/>
    <w:rsid w:val="00115FCD"/>
    <w:rsid w:val="00116101"/>
    <w:rsid w:val="00116BA9"/>
    <w:rsid w:val="00116CA9"/>
    <w:rsid w:val="0011731A"/>
    <w:rsid w:val="0011740B"/>
    <w:rsid w:val="00117982"/>
    <w:rsid w:val="00117DC0"/>
    <w:rsid w:val="00120692"/>
    <w:rsid w:val="00120B4D"/>
    <w:rsid w:val="00120FD8"/>
    <w:rsid w:val="001213E1"/>
    <w:rsid w:val="001218A2"/>
    <w:rsid w:val="001221B5"/>
    <w:rsid w:val="00122D7E"/>
    <w:rsid w:val="001233F4"/>
    <w:rsid w:val="00123851"/>
    <w:rsid w:val="00123868"/>
    <w:rsid w:val="00123DEE"/>
    <w:rsid w:val="0012413C"/>
    <w:rsid w:val="001241BC"/>
    <w:rsid w:val="00124260"/>
    <w:rsid w:val="00124649"/>
    <w:rsid w:val="001246EC"/>
    <w:rsid w:val="001247C0"/>
    <w:rsid w:val="001247C3"/>
    <w:rsid w:val="00124BA4"/>
    <w:rsid w:val="00125452"/>
    <w:rsid w:val="00125724"/>
    <w:rsid w:val="00125778"/>
    <w:rsid w:val="0012583B"/>
    <w:rsid w:val="001261B5"/>
    <w:rsid w:val="001261C1"/>
    <w:rsid w:val="00126510"/>
    <w:rsid w:val="001265BF"/>
    <w:rsid w:val="0012679D"/>
    <w:rsid w:val="00126A07"/>
    <w:rsid w:val="001270D7"/>
    <w:rsid w:val="00127B8D"/>
    <w:rsid w:val="00131599"/>
    <w:rsid w:val="00131AA2"/>
    <w:rsid w:val="00131DD7"/>
    <w:rsid w:val="0013224E"/>
    <w:rsid w:val="001322AA"/>
    <w:rsid w:val="00132491"/>
    <w:rsid w:val="00132A51"/>
    <w:rsid w:val="00132ACC"/>
    <w:rsid w:val="00133114"/>
    <w:rsid w:val="00134044"/>
    <w:rsid w:val="00134C7A"/>
    <w:rsid w:val="001351CB"/>
    <w:rsid w:val="001352DE"/>
    <w:rsid w:val="00135B5E"/>
    <w:rsid w:val="001362D5"/>
    <w:rsid w:val="00137DB6"/>
    <w:rsid w:val="00140C6D"/>
    <w:rsid w:val="00140E98"/>
    <w:rsid w:val="001413D7"/>
    <w:rsid w:val="00141888"/>
    <w:rsid w:val="00141C46"/>
    <w:rsid w:val="00142789"/>
    <w:rsid w:val="0014283F"/>
    <w:rsid w:val="00142A40"/>
    <w:rsid w:val="0014340C"/>
    <w:rsid w:val="001435FA"/>
    <w:rsid w:val="00143881"/>
    <w:rsid w:val="001438CA"/>
    <w:rsid w:val="001449BD"/>
    <w:rsid w:val="001450D8"/>
    <w:rsid w:val="0014535E"/>
    <w:rsid w:val="00145481"/>
    <w:rsid w:val="001455A5"/>
    <w:rsid w:val="00145D2C"/>
    <w:rsid w:val="00145F32"/>
    <w:rsid w:val="0014619D"/>
    <w:rsid w:val="0014628E"/>
    <w:rsid w:val="00146504"/>
    <w:rsid w:val="00146C64"/>
    <w:rsid w:val="00146F63"/>
    <w:rsid w:val="00147B93"/>
    <w:rsid w:val="00147FDB"/>
    <w:rsid w:val="00150206"/>
    <w:rsid w:val="001513CC"/>
    <w:rsid w:val="0015252B"/>
    <w:rsid w:val="00152AF2"/>
    <w:rsid w:val="00152E30"/>
    <w:rsid w:val="00154064"/>
    <w:rsid w:val="00154084"/>
    <w:rsid w:val="001547FE"/>
    <w:rsid w:val="00156E9B"/>
    <w:rsid w:val="00156FE4"/>
    <w:rsid w:val="00157AFB"/>
    <w:rsid w:val="00160808"/>
    <w:rsid w:val="00160C5D"/>
    <w:rsid w:val="00160E55"/>
    <w:rsid w:val="0016100E"/>
    <w:rsid w:val="001622AC"/>
    <w:rsid w:val="00162772"/>
    <w:rsid w:val="0016303B"/>
    <w:rsid w:val="00163172"/>
    <w:rsid w:val="00163628"/>
    <w:rsid w:val="00163B49"/>
    <w:rsid w:val="00163C04"/>
    <w:rsid w:val="00163D37"/>
    <w:rsid w:val="00163E90"/>
    <w:rsid w:val="001644C7"/>
    <w:rsid w:val="00164A47"/>
    <w:rsid w:val="00164EDE"/>
    <w:rsid w:val="00164F10"/>
    <w:rsid w:val="001655A3"/>
    <w:rsid w:val="0016641A"/>
    <w:rsid w:val="001665C5"/>
    <w:rsid w:val="001666F2"/>
    <w:rsid w:val="001667A8"/>
    <w:rsid w:val="001669F3"/>
    <w:rsid w:val="00167550"/>
    <w:rsid w:val="00167B95"/>
    <w:rsid w:val="00167F50"/>
    <w:rsid w:val="00170C08"/>
    <w:rsid w:val="00170EF6"/>
    <w:rsid w:val="00171326"/>
    <w:rsid w:val="0017209C"/>
    <w:rsid w:val="001729C9"/>
    <w:rsid w:val="00172C8F"/>
    <w:rsid w:val="00172FC7"/>
    <w:rsid w:val="00173066"/>
    <w:rsid w:val="00173077"/>
    <w:rsid w:val="001737E0"/>
    <w:rsid w:val="00173EB7"/>
    <w:rsid w:val="0017531D"/>
    <w:rsid w:val="00175D31"/>
    <w:rsid w:val="001766EE"/>
    <w:rsid w:val="00176E34"/>
    <w:rsid w:val="00177455"/>
    <w:rsid w:val="001774CA"/>
    <w:rsid w:val="001776E3"/>
    <w:rsid w:val="00180F32"/>
    <w:rsid w:val="0018150E"/>
    <w:rsid w:val="001822BB"/>
    <w:rsid w:val="00182A99"/>
    <w:rsid w:val="00182CEF"/>
    <w:rsid w:val="001833E2"/>
    <w:rsid w:val="00183ED5"/>
    <w:rsid w:val="00183F47"/>
    <w:rsid w:val="00185BF7"/>
    <w:rsid w:val="00185C3F"/>
    <w:rsid w:val="00185D32"/>
    <w:rsid w:val="00185E6A"/>
    <w:rsid w:val="00186A6E"/>
    <w:rsid w:val="0018747B"/>
    <w:rsid w:val="00187783"/>
    <w:rsid w:val="00190AFD"/>
    <w:rsid w:val="00190C6A"/>
    <w:rsid w:val="001913C7"/>
    <w:rsid w:val="00191858"/>
    <w:rsid w:val="0019264F"/>
    <w:rsid w:val="00192745"/>
    <w:rsid w:val="001932E2"/>
    <w:rsid w:val="00194199"/>
    <w:rsid w:val="001949C5"/>
    <w:rsid w:val="00194A8C"/>
    <w:rsid w:val="001952DE"/>
    <w:rsid w:val="0019581B"/>
    <w:rsid w:val="001961D2"/>
    <w:rsid w:val="001963DF"/>
    <w:rsid w:val="001968D0"/>
    <w:rsid w:val="00196BEF"/>
    <w:rsid w:val="0019702D"/>
    <w:rsid w:val="00197062"/>
    <w:rsid w:val="0019762E"/>
    <w:rsid w:val="001977E1"/>
    <w:rsid w:val="001978C1"/>
    <w:rsid w:val="0019799C"/>
    <w:rsid w:val="00197D63"/>
    <w:rsid w:val="00197DF9"/>
    <w:rsid w:val="00197F5B"/>
    <w:rsid w:val="001A073F"/>
    <w:rsid w:val="001A1268"/>
    <w:rsid w:val="001A12CC"/>
    <w:rsid w:val="001A17DB"/>
    <w:rsid w:val="001A24BD"/>
    <w:rsid w:val="001A26F4"/>
    <w:rsid w:val="001A281C"/>
    <w:rsid w:val="001A29CD"/>
    <w:rsid w:val="001A2C60"/>
    <w:rsid w:val="001A3453"/>
    <w:rsid w:val="001A3E4D"/>
    <w:rsid w:val="001A4016"/>
    <w:rsid w:val="001A4145"/>
    <w:rsid w:val="001A4A08"/>
    <w:rsid w:val="001A4E1E"/>
    <w:rsid w:val="001A528B"/>
    <w:rsid w:val="001A5B04"/>
    <w:rsid w:val="001A5D71"/>
    <w:rsid w:val="001A60E7"/>
    <w:rsid w:val="001A6DB8"/>
    <w:rsid w:val="001A7328"/>
    <w:rsid w:val="001B06A9"/>
    <w:rsid w:val="001B0A67"/>
    <w:rsid w:val="001B0CD1"/>
    <w:rsid w:val="001B0EF8"/>
    <w:rsid w:val="001B14B7"/>
    <w:rsid w:val="001B1BF3"/>
    <w:rsid w:val="001B2220"/>
    <w:rsid w:val="001B2659"/>
    <w:rsid w:val="001B2A48"/>
    <w:rsid w:val="001B33D2"/>
    <w:rsid w:val="001B3E92"/>
    <w:rsid w:val="001B3F1E"/>
    <w:rsid w:val="001B43F4"/>
    <w:rsid w:val="001B4407"/>
    <w:rsid w:val="001B47AE"/>
    <w:rsid w:val="001B49D5"/>
    <w:rsid w:val="001B50E3"/>
    <w:rsid w:val="001B50E7"/>
    <w:rsid w:val="001B53D4"/>
    <w:rsid w:val="001B5AF3"/>
    <w:rsid w:val="001B5E0B"/>
    <w:rsid w:val="001B65B8"/>
    <w:rsid w:val="001B6B9E"/>
    <w:rsid w:val="001B7537"/>
    <w:rsid w:val="001B7DE3"/>
    <w:rsid w:val="001C035C"/>
    <w:rsid w:val="001C0403"/>
    <w:rsid w:val="001C08ED"/>
    <w:rsid w:val="001C0ED3"/>
    <w:rsid w:val="001C0F5D"/>
    <w:rsid w:val="001C1050"/>
    <w:rsid w:val="001C1689"/>
    <w:rsid w:val="001C253E"/>
    <w:rsid w:val="001C2565"/>
    <w:rsid w:val="001C2F7A"/>
    <w:rsid w:val="001C3E1F"/>
    <w:rsid w:val="001C3F85"/>
    <w:rsid w:val="001C3FC6"/>
    <w:rsid w:val="001C4120"/>
    <w:rsid w:val="001C44AC"/>
    <w:rsid w:val="001C457E"/>
    <w:rsid w:val="001C4BA9"/>
    <w:rsid w:val="001C4C0C"/>
    <w:rsid w:val="001C4E33"/>
    <w:rsid w:val="001C62C3"/>
    <w:rsid w:val="001C6606"/>
    <w:rsid w:val="001C7789"/>
    <w:rsid w:val="001C7A11"/>
    <w:rsid w:val="001C7C53"/>
    <w:rsid w:val="001C7F81"/>
    <w:rsid w:val="001D051A"/>
    <w:rsid w:val="001D082C"/>
    <w:rsid w:val="001D0EFE"/>
    <w:rsid w:val="001D0FCC"/>
    <w:rsid w:val="001D11C3"/>
    <w:rsid w:val="001D15AA"/>
    <w:rsid w:val="001D1746"/>
    <w:rsid w:val="001D1B0C"/>
    <w:rsid w:val="001D29B4"/>
    <w:rsid w:val="001D2B40"/>
    <w:rsid w:val="001D31FC"/>
    <w:rsid w:val="001D34E4"/>
    <w:rsid w:val="001D3C19"/>
    <w:rsid w:val="001D411C"/>
    <w:rsid w:val="001D4198"/>
    <w:rsid w:val="001D537F"/>
    <w:rsid w:val="001D5448"/>
    <w:rsid w:val="001D5948"/>
    <w:rsid w:val="001D5AF2"/>
    <w:rsid w:val="001D61E8"/>
    <w:rsid w:val="001D664D"/>
    <w:rsid w:val="001D6EF1"/>
    <w:rsid w:val="001D757E"/>
    <w:rsid w:val="001D7C10"/>
    <w:rsid w:val="001D7FBA"/>
    <w:rsid w:val="001E052A"/>
    <w:rsid w:val="001E0800"/>
    <w:rsid w:val="001E151A"/>
    <w:rsid w:val="001E1909"/>
    <w:rsid w:val="001E1918"/>
    <w:rsid w:val="001E2183"/>
    <w:rsid w:val="001E24E9"/>
    <w:rsid w:val="001E27E9"/>
    <w:rsid w:val="001E312A"/>
    <w:rsid w:val="001E332D"/>
    <w:rsid w:val="001E3550"/>
    <w:rsid w:val="001E37E0"/>
    <w:rsid w:val="001E37E2"/>
    <w:rsid w:val="001E383E"/>
    <w:rsid w:val="001E3C69"/>
    <w:rsid w:val="001E44B8"/>
    <w:rsid w:val="001E4A64"/>
    <w:rsid w:val="001E5366"/>
    <w:rsid w:val="001E5590"/>
    <w:rsid w:val="001E6265"/>
    <w:rsid w:val="001E656B"/>
    <w:rsid w:val="001E6707"/>
    <w:rsid w:val="001E6816"/>
    <w:rsid w:val="001E6AB5"/>
    <w:rsid w:val="001E77F5"/>
    <w:rsid w:val="001E78C2"/>
    <w:rsid w:val="001F0C63"/>
    <w:rsid w:val="001F1267"/>
    <w:rsid w:val="001F1369"/>
    <w:rsid w:val="001F1496"/>
    <w:rsid w:val="001F1EF0"/>
    <w:rsid w:val="001F2659"/>
    <w:rsid w:val="001F2996"/>
    <w:rsid w:val="001F2FC0"/>
    <w:rsid w:val="001F38E5"/>
    <w:rsid w:val="001F39B8"/>
    <w:rsid w:val="001F434C"/>
    <w:rsid w:val="001F4B19"/>
    <w:rsid w:val="001F4D41"/>
    <w:rsid w:val="001F50D4"/>
    <w:rsid w:val="001F51BA"/>
    <w:rsid w:val="001F5486"/>
    <w:rsid w:val="001F57EA"/>
    <w:rsid w:val="001F5CB8"/>
    <w:rsid w:val="001F5CEA"/>
    <w:rsid w:val="001F5FEE"/>
    <w:rsid w:val="001F6285"/>
    <w:rsid w:val="001F630E"/>
    <w:rsid w:val="001F63CF"/>
    <w:rsid w:val="001F66CC"/>
    <w:rsid w:val="001F6BBD"/>
    <w:rsid w:val="001F6D65"/>
    <w:rsid w:val="001F726F"/>
    <w:rsid w:val="001F7A29"/>
    <w:rsid w:val="001F7BE0"/>
    <w:rsid w:val="00200377"/>
    <w:rsid w:val="00200570"/>
    <w:rsid w:val="002005CD"/>
    <w:rsid w:val="00201B14"/>
    <w:rsid w:val="00201F59"/>
    <w:rsid w:val="00202071"/>
    <w:rsid w:val="0020226E"/>
    <w:rsid w:val="002028F3"/>
    <w:rsid w:val="00202F96"/>
    <w:rsid w:val="00203308"/>
    <w:rsid w:val="00203736"/>
    <w:rsid w:val="002039E1"/>
    <w:rsid w:val="00203B27"/>
    <w:rsid w:val="0020430B"/>
    <w:rsid w:val="0020474D"/>
    <w:rsid w:val="0020498A"/>
    <w:rsid w:val="00204DB0"/>
    <w:rsid w:val="0020580B"/>
    <w:rsid w:val="00205BDE"/>
    <w:rsid w:val="002063A2"/>
    <w:rsid w:val="00206784"/>
    <w:rsid w:val="002067C6"/>
    <w:rsid w:val="00206ABE"/>
    <w:rsid w:val="00207560"/>
    <w:rsid w:val="00207B53"/>
    <w:rsid w:val="00207DF9"/>
    <w:rsid w:val="00210160"/>
    <w:rsid w:val="00210305"/>
    <w:rsid w:val="002107C3"/>
    <w:rsid w:val="00210E33"/>
    <w:rsid w:val="00211418"/>
    <w:rsid w:val="0021144A"/>
    <w:rsid w:val="0021232A"/>
    <w:rsid w:val="00213274"/>
    <w:rsid w:val="002134B5"/>
    <w:rsid w:val="00213A15"/>
    <w:rsid w:val="00213DBB"/>
    <w:rsid w:val="00213E5D"/>
    <w:rsid w:val="002154A6"/>
    <w:rsid w:val="0021578F"/>
    <w:rsid w:val="00216087"/>
    <w:rsid w:val="00216C80"/>
    <w:rsid w:val="00216F39"/>
    <w:rsid w:val="00217483"/>
    <w:rsid w:val="002176D7"/>
    <w:rsid w:val="00217BBC"/>
    <w:rsid w:val="00220680"/>
    <w:rsid w:val="00220AEE"/>
    <w:rsid w:val="00220B53"/>
    <w:rsid w:val="00220ECE"/>
    <w:rsid w:val="0022102D"/>
    <w:rsid w:val="0022269B"/>
    <w:rsid w:val="002235C1"/>
    <w:rsid w:val="002236BA"/>
    <w:rsid w:val="00223A59"/>
    <w:rsid w:val="0022424E"/>
    <w:rsid w:val="0022503A"/>
    <w:rsid w:val="00225628"/>
    <w:rsid w:val="00226485"/>
    <w:rsid w:val="0022662A"/>
    <w:rsid w:val="002266A4"/>
    <w:rsid w:val="00226EAF"/>
    <w:rsid w:val="00226F6F"/>
    <w:rsid w:val="0022719F"/>
    <w:rsid w:val="002271A9"/>
    <w:rsid w:val="002273C2"/>
    <w:rsid w:val="0022769C"/>
    <w:rsid w:val="00227EB6"/>
    <w:rsid w:val="002300D5"/>
    <w:rsid w:val="002302C1"/>
    <w:rsid w:val="00231D4F"/>
    <w:rsid w:val="00232E5A"/>
    <w:rsid w:val="002331F8"/>
    <w:rsid w:val="002336E3"/>
    <w:rsid w:val="00233D86"/>
    <w:rsid w:val="00234096"/>
    <w:rsid w:val="00234180"/>
    <w:rsid w:val="002343FE"/>
    <w:rsid w:val="00234AC7"/>
    <w:rsid w:val="00234BFC"/>
    <w:rsid w:val="00234E2B"/>
    <w:rsid w:val="00234F47"/>
    <w:rsid w:val="00235B45"/>
    <w:rsid w:val="00235F99"/>
    <w:rsid w:val="002363CD"/>
    <w:rsid w:val="00236A00"/>
    <w:rsid w:val="0023724C"/>
    <w:rsid w:val="00237336"/>
    <w:rsid w:val="0023788A"/>
    <w:rsid w:val="00237B4C"/>
    <w:rsid w:val="0024004B"/>
    <w:rsid w:val="0024042D"/>
    <w:rsid w:val="0024043A"/>
    <w:rsid w:val="00240CAE"/>
    <w:rsid w:val="00240D0D"/>
    <w:rsid w:val="002431F3"/>
    <w:rsid w:val="00243AD9"/>
    <w:rsid w:val="00243AE4"/>
    <w:rsid w:val="00243C46"/>
    <w:rsid w:val="00243CC4"/>
    <w:rsid w:val="002442F1"/>
    <w:rsid w:val="002447E4"/>
    <w:rsid w:val="00244DB5"/>
    <w:rsid w:val="00245AD7"/>
    <w:rsid w:val="00246912"/>
    <w:rsid w:val="00246B7E"/>
    <w:rsid w:val="00246C87"/>
    <w:rsid w:val="00246C91"/>
    <w:rsid w:val="00246CB7"/>
    <w:rsid w:val="0024742B"/>
    <w:rsid w:val="002478FA"/>
    <w:rsid w:val="00247E56"/>
    <w:rsid w:val="00247E9B"/>
    <w:rsid w:val="00250E7F"/>
    <w:rsid w:val="00251103"/>
    <w:rsid w:val="0025124C"/>
    <w:rsid w:val="00251759"/>
    <w:rsid w:val="00251FB3"/>
    <w:rsid w:val="002520F4"/>
    <w:rsid w:val="0025230F"/>
    <w:rsid w:val="0025237F"/>
    <w:rsid w:val="00252453"/>
    <w:rsid w:val="00252A31"/>
    <w:rsid w:val="00252E84"/>
    <w:rsid w:val="00253166"/>
    <w:rsid w:val="00253E0D"/>
    <w:rsid w:val="00254292"/>
    <w:rsid w:val="00254949"/>
    <w:rsid w:val="00254BA1"/>
    <w:rsid w:val="00255136"/>
    <w:rsid w:val="00255506"/>
    <w:rsid w:val="00255845"/>
    <w:rsid w:val="00255C87"/>
    <w:rsid w:val="002561E7"/>
    <w:rsid w:val="002562D8"/>
    <w:rsid w:val="00256CC4"/>
    <w:rsid w:val="00257194"/>
    <w:rsid w:val="0025744E"/>
    <w:rsid w:val="002575A0"/>
    <w:rsid w:val="00257631"/>
    <w:rsid w:val="00257EE1"/>
    <w:rsid w:val="0026065A"/>
    <w:rsid w:val="00260A68"/>
    <w:rsid w:val="00260DD3"/>
    <w:rsid w:val="00260E32"/>
    <w:rsid w:val="00261181"/>
    <w:rsid w:val="00261219"/>
    <w:rsid w:val="00261596"/>
    <w:rsid w:val="0026167A"/>
    <w:rsid w:val="00261C91"/>
    <w:rsid w:val="002627A4"/>
    <w:rsid w:val="002628F2"/>
    <w:rsid w:val="00262D3B"/>
    <w:rsid w:val="00262D52"/>
    <w:rsid w:val="00262E1D"/>
    <w:rsid w:val="00262F07"/>
    <w:rsid w:val="0026318A"/>
    <w:rsid w:val="00263232"/>
    <w:rsid w:val="0026437A"/>
    <w:rsid w:val="0026517C"/>
    <w:rsid w:val="00265738"/>
    <w:rsid w:val="00265B94"/>
    <w:rsid w:val="00266318"/>
    <w:rsid w:val="0026679A"/>
    <w:rsid w:val="00270141"/>
    <w:rsid w:val="0027042A"/>
    <w:rsid w:val="002706CE"/>
    <w:rsid w:val="00270EC3"/>
    <w:rsid w:val="002714DE"/>
    <w:rsid w:val="0027155E"/>
    <w:rsid w:val="002715D4"/>
    <w:rsid w:val="00271688"/>
    <w:rsid w:val="0027301B"/>
    <w:rsid w:val="0027378A"/>
    <w:rsid w:val="0027382D"/>
    <w:rsid w:val="00273B74"/>
    <w:rsid w:val="00273DDE"/>
    <w:rsid w:val="00273EA1"/>
    <w:rsid w:val="002744D1"/>
    <w:rsid w:val="00274552"/>
    <w:rsid w:val="00274FB7"/>
    <w:rsid w:val="00275D73"/>
    <w:rsid w:val="00275F0B"/>
    <w:rsid w:val="00275FF0"/>
    <w:rsid w:val="00276186"/>
    <w:rsid w:val="002800B2"/>
    <w:rsid w:val="002800FD"/>
    <w:rsid w:val="002804F5"/>
    <w:rsid w:val="002805E8"/>
    <w:rsid w:val="002817EC"/>
    <w:rsid w:val="00281842"/>
    <w:rsid w:val="00281B95"/>
    <w:rsid w:val="00281E03"/>
    <w:rsid w:val="00282C40"/>
    <w:rsid w:val="00283598"/>
    <w:rsid w:val="00283AEB"/>
    <w:rsid w:val="00283E90"/>
    <w:rsid w:val="00283ECE"/>
    <w:rsid w:val="00284142"/>
    <w:rsid w:val="00284199"/>
    <w:rsid w:val="0028427C"/>
    <w:rsid w:val="00285703"/>
    <w:rsid w:val="00286F40"/>
    <w:rsid w:val="0028702F"/>
    <w:rsid w:val="00287408"/>
    <w:rsid w:val="002878F2"/>
    <w:rsid w:val="00287B6C"/>
    <w:rsid w:val="00290040"/>
    <w:rsid w:val="00290113"/>
    <w:rsid w:val="002907F4"/>
    <w:rsid w:val="00290A6C"/>
    <w:rsid w:val="002912AE"/>
    <w:rsid w:val="0029135F"/>
    <w:rsid w:val="002913D6"/>
    <w:rsid w:val="00291921"/>
    <w:rsid w:val="00291E5F"/>
    <w:rsid w:val="0029236F"/>
    <w:rsid w:val="00292DAA"/>
    <w:rsid w:val="00292EFF"/>
    <w:rsid w:val="00294522"/>
    <w:rsid w:val="00295DCA"/>
    <w:rsid w:val="00295E1B"/>
    <w:rsid w:val="0029788B"/>
    <w:rsid w:val="002979AC"/>
    <w:rsid w:val="00297B35"/>
    <w:rsid w:val="00297D12"/>
    <w:rsid w:val="002A06A6"/>
    <w:rsid w:val="002A120F"/>
    <w:rsid w:val="002A13A3"/>
    <w:rsid w:val="002A186D"/>
    <w:rsid w:val="002A1BA8"/>
    <w:rsid w:val="002A2135"/>
    <w:rsid w:val="002A2C00"/>
    <w:rsid w:val="002A3922"/>
    <w:rsid w:val="002A41BF"/>
    <w:rsid w:val="002A4226"/>
    <w:rsid w:val="002A47CB"/>
    <w:rsid w:val="002A48D3"/>
    <w:rsid w:val="002A4995"/>
    <w:rsid w:val="002A4B9E"/>
    <w:rsid w:val="002A4F22"/>
    <w:rsid w:val="002A55FD"/>
    <w:rsid w:val="002A5D00"/>
    <w:rsid w:val="002A6D30"/>
    <w:rsid w:val="002A6E12"/>
    <w:rsid w:val="002A72D4"/>
    <w:rsid w:val="002A7A48"/>
    <w:rsid w:val="002B0015"/>
    <w:rsid w:val="002B1052"/>
    <w:rsid w:val="002B1D5B"/>
    <w:rsid w:val="002B2087"/>
    <w:rsid w:val="002B27FB"/>
    <w:rsid w:val="002B2D1D"/>
    <w:rsid w:val="002B44DB"/>
    <w:rsid w:val="002B47BD"/>
    <w:rsid w:val="002B4852"/>
    <w:rsid w:val="002B51F3"/>
    <w:rsid w:val="002B58E4"/>
    <w:rsid w:val="002B5CC6"/>
    <w:rsid w:val="002B6244"/>
    <w:rsid w:val="002B643B"/>
    <w:rsid w:val="002B6567"/>
    <w:rsid w:val="002B68E3"/>
    <w:rsid w:val="002B6A09"/>
    <w:rsid w:val="002B6BB2"/>
    <w:rsid w:val="002B71BA"/>
    <w:rsid w:val="002C02A8"/>
    <w:rsid w:val="002C15A3"/>
    <w:rsid w:val="002C1BB2"/>
    <w:rsid w:val="002C1CB9"/>
    <w:rsid w:val="002C2074"/>
    <w:rsid w:val="002C2157"/>
    <w:rsid w:val="002C21D2"/>
    <w:rsid w:val="002C22CF"/>
    <w:rsid w:val="002C265D"/>
    <w:rsid w:val="002C2AA3"/>
    <w:rsid w:val="002C3739"/>
    <w:rsid w:val="002C3D0B"/>
    <w:rsid w:val="002C3F37"/>
    <w:rsid w:val="002C4143"/>
    <w:rsid w:val="002C4344"/>
    <w:rsid w:val="002C4376"/>
    <w:rsid w:val="002C4C6C"/>
    <w:rsid w:val="002C504E"/>
    <w:rsid w:val="002C5A87"/>
    <w:rsid w:val="002C5BFA"/>
    <w:rsid w:val="002C5D1C"/>
    <w:rsid w:val="002C64C0"/>
    <w:rsid w:val="002C68E7"/>
    <w:rsid w:val="002C6921"/>
    <w:rsid w:val="002C6937"/>
    <w:rsid w:val="002C70D9"/>
    <w:rsid w:val="002C7BA6"/>
    <w:rsid w:val="002C7FC4"/>
    <w:rsid w:val="002D016F"/>
    <w:rsid w:val="002D03EE"/>
    <w:rsid w:val="002D0F97"/>
    <w:rsid w:val="002D105A"/>
    <w:rsid w:val="002D1692"/>
    <w:rsid w:val="002D1720"/>
    <w:rsid w:val="002D23B8"/>
    <w:rsid w:val="002D3D57"/>
    <w:rsid w:val="002D43B5"/>
    <w:rsid w:val="002D4F03"/>
    <w:rsid w:val="002D5DE9"/>
    <w:rsid w:val="002D6005"/>
    <w:rsid w:val="002D606F"/>
    <w:rsid w:val="002D61F6"/>
    <w:rsid w:val="002D652C"/>
    <w:rsid w:val="002D6719"/>
    <w:rsid w:val="002D6CE6"/>
    <w:rsid w:val="002D7084"/>
    <w:rsid w:val="002D745E"/>
    <w:rsid w:val="002D7668"/>
    <w:rsid w:val="002D779E"/>
    <w:rsid w:val="002E0291"/>
    <w:rsid w:val="002E10C5"/>
    <w:rsid w:val="002E1159"/>
    <w:rsid w:val="002E1435"/>
    <w:rsid w:val="002E24F2"/>
    <w:rsid w:val="002E26B8"/>
    <w:rsid w:val="002E3027"/>
    <w:rsid w:val="002E356E"/>
    <w:rsid w:val="002E3D2C"/>
    <w:rsid w:val="002E444A"/>
    <w:rsid w:val="002E4D5E"/>
    <w:rsid w:val="002E5119"/>
    <w:rsid w:val="002E52DE"/>
    <w:rsid w:val="002E54CF"/>
    <w:rsid w:val="002E55F7"/>
    <w:rsid w:val="002E583E"/>
    <w:rsid w:val="002E5A27"/>
    <w:rsid w:val="002E6F45"/>
    <w:rsid w:val="002E714A"/>
    <w:rsid w:val="002E79F8"/>
    <w:rsid w:val="002E7BC9"/>
    <w:rsid w:val="002F1133"/>
    <w:rsid w:val="002F1736"/>
    <w:rsid w:val="002F21AD"/>
    <w:rsid w:val="002F33EF"/>
    <w:rsid w:val="002F355C"/>
    <w:rsid w:val="002F3E02"/>
    <w:rsid w:val="002F42C9"/>
    <w:rsid w:val="002F4446"/>
    <w:rsid w:val="002F50F0"/>
    <w:rsid w:val="002F5200"/>
    <w:rsid w:val="002F5557"/>
    <w:rsid w:val="002F578B"/>
    <w:rsid w:val="002F61A9"/>
    <w:rsid w:val="002F6314"/>
    <w:rsid w:val="002F712D"/>
    <w:rsid w:val="002F72BC"/>
    <w:rsid w:val="002F7E71"/>
    <w:rsid w:val="0030018E"/>
    <w:rsid w:val="00300579"/>
    <w:rsid w:val="00300ABE"/>
    <w:rsid w:val="00300CB9"/>
    <w:rsid w:val="003016F4"/>
    <w:rsid w:val="0030190D"/>
    <w:rsid w:val="00301D91"/>
    <w:rsid w:val="00302258"/>
    <w:rsid w:val="00302848"/>
    <w:rsid w:val="00302BDA"/>
    <w:rsid w:val="00302E6C"/>
    <w:rsid w:val="00303CE0"/>
    <w:rsid w:val="00304578"/>
    <w:rsid w:val="00304B27"/>
    <w:rsid w:val="00304F46"/>
    <w:rsid w:val="00305193"/>
    <w:rsid w:val="00306069"/>
    <w:rsid w:val="00307130"/>
    <w:rsid w:val="00307DF2"/>
    <w:rsid w:val="0031079E"/>
    <w:rsid w:val="00310969"/>
    <w:rsid w:val="00310EB7"/>
    <w:rsid w:val="00311055"/>
    <w:rsid w:val="003114A7"/>
    <w:rsid w:val="00311698"/>
    <w:rsid w:val="003116FE"/>
    <w:rsid w:val="003125BF"/>
    <w:rsid w:val="0031280D"/>
    <w:rsid w:val="00312F4A"/>
    <w:rsid w:val="0031347A"/>
    <w:rsid w:val="00313907"/>
    <w:rsid w:val="00313E0D"/>
    <w:rsid w:val="00313F08"/>
    <w:rsid w:val="003147DA"/>
    <w:rsid w:val="003159D9"/>
    <w:rsid w:val="00315CE0"/>
    <w:rsid w:val="00316070"/>
    <w:rsid w:val="0031658A"/>
    <w:rsid w:val="00316A44"/>
    <w:rsid w:val="00317244"/>
    <w:rsid w:val="003172EF"/>
    <w:rsid w:val="00317C5F"/>
    <w:rsid w:val="00317C9C"/>
    <w:rsid w:val="00320373"/>
    <w:rsid w:val="0032069B"/>
    <w:rsid w:val="00320996"/>
    <w:rsid w:val="00321080"/>
    <w:rsid w:val="0032138D"/>
    <w:rsid w:val="003214D3"/>
    <w:rsid w:val="0032154E"/>
    <w:rsid w:val="00321641"/>
    <w:rsid w:val="00321FAB"/>
    <w:rsid w:val="003227B7"/>
    <w:rsid w:val="00322A0E"/>
    <w:rsid w:val="003243D2"/>
    <w:rsid w:val="003243FF"/>
    <w:rsid w:val="0032467F"/>
    <w:rsid w:val="00324C4F"/>
    <w:rsid w:val="00324D82"/>
    <w:rsid w:val="00324F3A"/>
    <w:rsid w:val="00325400"/>
    <w:rsid w:val="003256B1"/>
    <w:rsid w:val="00325939"/>
    <w:rsid w:val="00325ED7"/>
    <w:rsid w:val="00326258"/>
    <w:rsid w:val="00327A6B"/>
    <w:rsid w:val="00330042"/>
    <w:rsid w:val="0033088B"/>
    <w:rsid w:val="00330E47"/>
    <w:rsid w:val="00330F0A"/>
    <w:rsid w:val="003312C2"/>
    <w:rsid w:val="00331EEA"/>
    <w:rsid w:val="00332900"/>
    <w:rsid w:val="00332F77"/>
    <w:rsid w:val="00333500"/>
    <w:rsid w:val="00333803"/>
    <w:rsid w:val="00333EAF"/>
    <w:rsid w:val="00334653"/>
    <w:rsid w:val="003347BB"/>
    <w:rsid w:val="00334854"/>
    <w:rsid w:val="00334A0C"/>
    <w:rsid w:val="00335094"/>
    <w:rsid w:val="0033520C"/>
    <w:rsid w:val="0033549E"/>
    <w:rsid w:val="003359D4"/>
    <w:rsid w:val="00335B1C"/>
    <w:rsid w:val="003360D6"/>
    <w:rsid w:val="0033611F"/>
    <w:rsid w:val="00336C6C"/>
    <w:rsid w:val="00337216"/>
    <w:rsid w:val="003375F9"/>
    <w:rsid w:val="003409F2"/>
    <w:rsid w:val="003416F4"/>
    <w:rsid w:val="00341831"/>
    <w:rsid w:val="00341CE1"/>
    <w:rsid w:val="00341EE1"/>
    <w:rsid w:val="00341EE6"/>
    <w:rsid w:val="003426C6"/>
    <w:rsid w:val="00342D16"/>
    <w:rsid w:val="00342E2D"/>
    <w:rsid w:val="00343C96"/>
    <w:rsid w:val="00344029"/>
    <w:rsid w:val="00344136"/>
    <w:rsid w:val="003445AF"/>
    <w:rsid w:val="003447F9"/>
    <w:rsid w:val="003449A5"/>
    <w:rsid w:val="00345334"/>
    <w:rsid w:val="003453D2"/>
    <w:rsid w:val="0034553C"/>
    <w:rsid w:val="00345CDC"/>
    <w:rsid w:val="00345D26"/>
    <w:rsid w:val="00345FFF"/>
    <w:rsid w:val="00346A2F"/>
    <w:rsid w:val="00346D01"/>
    <w:rsid w:val="00347775"/>
    <w:rsid w:val="0034790C"/>
    <w:rsid w:val="0034798D"/>
    <w:rsid w:val="00347D1C"/>
    <w:rsid w:val="00347F29"/>
    <w:rsid w:val="00350289"/>
    <w:rsid w:val="003505D3"/>
    <w:rsid w:val="003507B2"/>
    <w:rsid w:val="00350E65"/>
    <w:rsid w:val="00350F71"/>
    <w:rsid w:val="003512BF"/>
    <w:rsid w:val="00352250"/>
    <w:rsid w:val="0035297A"/>
    <w:rsid w:val="003531E6"/>
    <w:rsid w:val="00353A9F"/>
    <w:rsid w:val="00353E41"/>
    <w:rsid w:val="00354539"/>
    <w:rsid w:val="00354D83"/>
    <w:rsid w:val="00355029"/>
    <w:rsid w:val="00355331"/>
    <w:rsid w:val="003558A2"/>
    <w:rsid w:val="003558CB"/>
    <w:rsid w:val="00355A8D"/>
    <w:rsid w:val="00355D8B"/>
    <w:rsid w:val="00355FAD"/>
    <w:rsid w:val="0035622D"/>
    <w:rsid w:val="0035639A"/>
    <w:rsid w:val="003563BF"/>
    <w:rsid w:val="00356A44"/>
    <w:rsid w:val="00356C67"/>
    <w:rsid w:val="00356F36"/>
    <w:rsid w:val="00357A41"/>
    <w:rsid w:val="00357B85"/>
    <w:rsid w:val="00357EE5"/>
    <w:rsid w:val="00360678"/>
    <w:rsid w:val="0036122E"/>
    <w:rsid w:val="0036157F"/>
    <w:rsid w:val="00361765"/>
    <w:rsid w:val="003620FA"/>
    <w:rsid w:val="00362115"/>
    <w:rsid w:val="00362D65"/>
    <w:rsid w:val="00363075"/>
    <w:rsid w:val="00363499"/>
    <w:rsid w:val="0036381F"/>
    <w:rsid w:val="0036391E"/>
    <w:rsid w:val="00363A9B"/>
    <w:rsid w:val="00363DDC"/>
    <w:rsid w:val="00364655"/>
    <w:rsid w:val="00364783"/>
    <w:rsid w:val="00364D0E"/>
    <w:rsid w:val="00364DEC"/>
    <w:rsid w:val="00364E97"/>
    <w:rsid w:val="00365553"/>
    <w:rsid w:val="00366515"/>
    <w:rsid w:val="00366C50"/>
    <w:rsid w:val="00367461"/>
    <w:rsid w:val="00367535"/>
    <w:rsid w:val="00367595"/>
    <w:rsid w:val="003677C2"/>
    <w:rsid w:val="00370177"/>
    <w:rsid w:val="0037024E"/>
    <w:rsid w:val="003706FE"/>
    <w:rsid w:val="00370797"/>
    <w:rsid w:val="00370B2F"/>
    <w:rsid w:val="0037162B"/>
    <w:rsid w:val="003721D3"/>
    <w:rsid w:val="003731C4"/>
    <w:rsid w:val="003733C6"/>
    <w:rsid w:val="00374131"/>
    <w:rsid w:val="00374343"/>
    <w:rsid w:val="00374445"/>
    <w:rsid w:val="00374584"/>
    <w:rsid w:val="00374629"/>
    <w:rsid w:val="00374657"/>
    <w:rsid w:val="00374827"/>
    <w:rsid w:val="003748E5"/>
    <w:rsid w:val="00374D51"/>
    <w:rsid w:val="00375A6E"/>
    <w:rsid w:val="00375DB4"/>
    <w:rsid w:val="003762A6"/>
    <w:rsid w:val="00376984"/>
    <w:rsid w:val="00376AAC"/>
    <w:rsid w:val="00376B13"/>
    <w:rsid w:val="003775FC"/>
    <w:rsid w:val="0037786C"/>
    <w:rsid w:val="003779FF"/>
    <w:rsid w:val="00377D56"/>
    <w:rsid w:val="003807B9"/>
    <w:rsid w:val="00380928"/>
    <w:rsid w:val="00380CAC"/>
    <w:rsid w:val="003819C0"/>
    <w:rsid w:val="00381B8A"/>
    <w:rsid w:val="00381C7E"/>
    <w:rsid w:val="00381FAF"/>
    <w:rsid w:val="0038214B"/>
    <w:rsid w:val="00382192"/>
    <w:rsid w:val="003832BC"/>
    <w:rsid w:val="0038337A"/>
    <w:rsid w:val="003839A2"/>
    <w:rsid w:val="00384DFB"/>
    <w:rsid w:val="00385DF1"/>
    <w:rsid w:val="00386464"/>
    <w:rsid w:val="003869E5"/>
    <w:rsid w:val="00386A77"/>
    <w:rsid w:val="00386B56"/>
    <w:rsid w:val="00386D17"/>
    <w:rsid w:val="00387003"/>
    <w:rsid w:val="00387A8C"/>
    <w:rsid w:val="00387B23"/>
    <w:rsid w:val="00387F8D"/>
    <w:rsid w:val="003905E5"/>
    <w:rsid w:val="003906C3"/>
    <w:rsid w:val="00390B46"/>
    <w:rsid w:val="0039148A"/>
    <w:rsid w:val="00391593"/>
    <w:rsid w:val="003923B0"/>
    <w:rsid w:val="0039241D"/>
    <w:rsid w:val="0039268E"/>
    <w:rsid w:val="00392D7A"/>
    <w:rsid w:val="00392FAE"/>
    <w:rsid w:val="003938FF"/>
    <w:rsid w:val="00393C99"/>
    <w:rsid w:val="00393D21"/>
    <w:rsid w:val="003947BD"/>
    <w:rsid w:val="00394C6D"/>
    <w:rsid w:val="00394C8F"/>
    <w:rsid w:val="00395A73"/>
    <w:rsid w:val="00395B63"/>
    <w:rsid w:val="00395B84"/>
    <w:rsid w:val="00396237"/>
    <w:rsid w:val="00396309"/>
    <w:rsid w:val="00397E23"/>
    <w:rsid w:val="003A0D68"/>
    <w:rsid w:val="003A0FFE"/>
    <w:rsid w:val="003A15D2"/>
    <w:rsid w:val="003A1758"/>
    <w:rsid w:val="003A2527"/>
    <w:rsid w:val="003A257C"/>
    <w:rsid w:val="003A2725"/>
    <w:rsid w:val="003A4E3E"/>
    <w:rsid w:val="003A4E76"/>
    <w:rsid w:val="003A5DDB"/>
    <w:rsid w:val="003A5F29"/>
    <w:rsid w:val="003A62A6"/>
    <w:rsid w:val="003A6977"/>
    <w:rsid w:val="003A6BC0"/>
    <w:rsid w:val="003A6EB3"/>
    <w:rsid w:val="003A71A8"/>
    <w:rsid w:val="003A77BA"/>
    <w:rsid w:val="003A7A06"/>
    <w:rsid w:val="003A7B86"/>
    <w:rsid w:val="003B009D"/>
    <w:rsid w:val="003B0AB1"/>
    <w:rsid w:val="003B0DCC"/>
    <w:rsid w:val="003B0EFE"/>
    <w:rsid w:val="003B1411"/>
    <w:rsid w:val="003B1E0E"/>
    <w:rsid w:val="003B21E0"/>
    <w:rsid w:val="003B2ACA"/>
    <w:rsid w:val="003B332A"/>
    <w:rsid w:val="003B3FB1"/>
    <w:rsid w:val="003B4055"/>
    <w:rsid w:val="003B4A54"/>
    <w:rsid w:val="003B4ACE"/>
    <w:rsid w:val="003B4BA0"/>
    <w:rsid w:val="003B5259"/>
    <w:rsid w:val="003B5E1F"/>
    <w:rsid w:val="003B5E42"/>
    <w:rsid w:val="003B60BA"/>
    <w:rsid w:val="003B60EC"/>
    <w:rsid w:val="003B6B86"/>
    <w:rsid w:val="003B6F42"/>
    <w:rsid w:val="003B7222"/>
    <w:rsid w:val="003B7586"/>
    <w:rsid w:val="003C05F7"/>
    <w:rsid w:val="003C0CB0"/>
    <w:rsid w:val="003C0DC0"/>
    <w:rsid w:val="003C0FD0"/>
    <w:rsid w:val="003C1037"/>
    <w:rsid w:val="003C1F8B"/>
    <w:rsid w:val="003C2440"/>
    <w:rsid w:val="003C2AAE"/>
    <w:rsid w:val="003C3028"/>
    <w:rsid w:val="003C3488"/>
    <w:rsid w:val="003C3698"/>
    <w:rsid w:val="003C384F"/>
    <w:rsid w:val="003C3AE5"/>
    <w:rsid w:val="003C4199"/>
    <w:rsid w:val="003C41D3"/>
    <w:rsid w:val="003C41EC"/>
    <w:rsid w:val="003C448D"/>
    <w:rsid w:val="003C44A1"/>
    <w:rsid w:val="003C45E7"/>
    <w:rsid w:val="003C48C0"/>
    <w:rsid w:val="003C5690"/>
    <w:rsid w:val="003C674F"/>
    <w:rsid w:val="003C6E06"/>
    <w:rsid w:val="003C7A25"/>
    <w:rsid w:val="003D08D2"/>
    <w:rsid w:val="003D18D2"/>
    <w:rsid w:val="003D233D"/>
    <w:rsid w:val="003D2785"/>
    <w:rsid w:val="003D2BFD"/>
    <w:rsid w:val="003D3E40"/>
    <w:rsid w:val="003D41CF"/>
    <w:rsid w:val="003D44B8"/>
    <w:rsid w:val="003D4572"/>
    <w:rsid w:val="003D4DE3"/>
    <w:rsid w:val="003D5199"/>
    <w:rsid w:val="003D54E0"/>
    <w:rsid w:val="003D56BC"/>
    <w:rsid w:val="003D5756"/>
    <w:rsid w:val="003D6599"/>
    <w:rsid w:val="003D6C0B"/>
    <w:rsid w:val="003D71B3"/>
    <w:rsid w:val="003D76B5"/>
    <w:rsid w:val="003D795B"/>
    <w:rsid w:val="003E0015"/>
    <w:rsid w:val="003E054E"/>
    <w:rsid w:val="003E06A9"/>
    <w:rsid w:val="003E0873"/>
    <w:rsid w:val="003E0974"/>
    <w:rsid w:val="003E15EE"/>
    <w:rsid w:val="003E1674"/>
    <w:rsid w:val="003E1710"/>
    <w:rsid w:val="003E25F3"/>
    <w:rsid w:val="003E27BC"/>
    <w:rsid w:val="003E2A00"/>
    <w:rsid w:val="003E3355"/>
    <w:rsid w:val="003E339F"/>
    <w:rsid w:val="003E43DD"/>
    <w:rsid w:val="003E477E"/>
    <w:rsid w:val="003E4DDE"/>
    <w:rsid w:val="003E50B6"/>
    <w:rsid w:val="003E5746"/>
    <w:rsid w:val="003E5FC9"/>
    <w:rsid w:val="003E611C"/>
    <w:rsid w:val="003E61CA"/>
    <w:rsid w:val="003E62CE"/>
    <w:rsid w:val="003E65E7"/>
    <w:rsid w:val="003E6690"/>
    <w:rsid w:val="003E66E5"/>
    <w:rsid w:val="003E6F5E"/>
    <w:rsid w:val="003E6F6B"/>
    <w:rsid w:val="003E7295"/>
    <w:rsid w:val="003E7A54"/>
    <w:rsid w:val="003E7B25"/>
    <w:rsid w:val="003F01B2"/>
    <w:rsid w:val="003F03A4"/>
    <w:rsid w:val="003F0541"/>
    <w:rsid w:val="003F15E4"/>
    <w:rsid w:val="003F1712"/>
    <w:rsid w:val="003F1774"/>
    <w:rsid w:val="003F1784"/>
    <w:rsid w:val="003F181C"/>
    <w:rsid w:val="003F1F61"/>
    <w:rsid w:val="003F253B"/>
    <w:rsid w:val="003F2805"/>
    <w:rsid w:val="003F2C0E"/>
    <w:rsid w:val="003F3821"/>
    <w:rsid w:val="003F3CA6"/>
    <w:rsid w:val="003F4243"/>
    <w:rsid w:val="003F4330"/>
    <w:rsid w:val="003F44FE"/>
    <w:rsid w:val="003F505B"/>
    <w:rsid w:val="003F530B"/>
    <w:rsid w:val="003F534E"/>
    <w:rsid w:val="003F59A9"/>
    <w:rsid w:val="003F5C80"/>
    <w:rsid w:val="003F5FED"/>
    <w:rsid w:val="003F64E7"/>
    <w:rsid w:val="003F66C8"/>
    <w:rsid w:val="003F68CF"/>
    <w:rsid w:val="003F7377"/>
    <w:rsid w:val="003F73AF"/>
    <w:rsid w:val="003F76F4"/>
    <w:rsid w:val="00400A4D"/>
    <w:rsid w:val="00400DC2"/>
    <w:rsid w:val="00400EB7"/>
    <w:rsid w:val="004025C2"/>
    <w:rsid w:val="004026DE"/>
    <w:rsid w:val="00402B7B"/>
    <w:rsid w:val="00403645"/>
    <w:rsid w:val="0040412A"/>
    <w:rsid w:val="00404428"/>
    <w:rsid w:val="004044DE"/>
    <w:rsid w:val="004046F8"/>
    <w:rsid w:val="00404994"/>
    <w:rsid w:val="00405930"/>
    <w:rsid w:val="00405A2D"/>
    <w:rsid w:val="00405FE3"/>
    <w:rsid w:val="00407072"/>
    <w:rsid w:val="004071C0"/>
    <w:rsid w:val="00407874"/>
    <w:rsid w:val="0040797B"/>
    <w:rsid w:val="00407B07"/>
    <w:rsid w:val="004108E5"/>
    <w:rsid w:val="00411A0F"/>
    <w:rsid w:val="00411CE0"/>
    <w:rsid w:val="00411F80"/>
    <w:rsid w:val="00412036"/>
    <w:rsid w:val="004146E2"/>
    <w:rsid w:val="00414B01"/>
    <w:rsid w:val="00414F1F"/>
    <w:rsid w:val="00415BEA"/>
    <w:rsid w:val="00415CE5"/>
    <w:rsid w:val="00416A0B"/>
    <w:rsid w:val="00417C44"/>
    <w:rsid w:val="00417CD7"/>
    <w:rsid w:val="00417EB7"/>
    <w:rsid w:val="004205F1"/>
    <w:rsid w:val="00420A2E"/>
    <w:rsid w:val="00421232"/>
    <w:rsid w:val="004217E0"/>
    <w:rsid w:val="004219F2"/>
    <w:rsid w:val="00421D5E"/>
    <w:rsid w:val="00422208"/>
    <w:rsid w:val="00422907"/>
    <w:rsid w:val="00422DBF"/>
    <w:rsid w:val="004231CC"/>
    <w:rsid w:val="004234EF"/>
    <w:rsid w:val="00423F6C"/>
    <w:rsid w:val="0042513A"/>
    <w:rsid w:val="004251CF"/>
    <w:rsid w:val="004258D9"/>
    <w:rsid w:val="00425B14"/>
    <w:rsid w:val="00425EAC"/>
    <w:rsid w:val="0042608B"/>
    <w:rsid w:val="00427553"/>
    <w:rsid w:val="004277BB"/>
    <w:rsid w:val="0043035C"/>
    <w:rsid w:val="00430398"/>
    <w:rsid w:val="00431439"/>
    <w:rsid w:val="004317C8"/>
    <w:rsid w:val="00431EB5"/>
    <w:rsid w:val="004321C3"/>
    <w:rsid w:val="004325E4"/>
    <w:rsid w:val="0043267E"/>
    <w:rsid w:val="004326B3"/>
    <w:rsid w:val="00432E69"/>
    <w:rsid w:val="00433052"/>
    <w:rsid w:val="00433AA5"/>
    <w:rsid w:val="00433F10"/>
    <w:rsid w:val="00434C0F"/>
    <w:rsid w:val="00434E65"/>
    <w:rsid w:val="00434FC5"/>
    <w:rsid w:val="004356E4"/>
    <w:rsid w:val="00435D7A"/>
    <w:rsid w:val="00436011"/>
    <w:rsid w:val="004367E1"/>
    <w:rsid w:val="0043797E"/>
    <w:rsid w:val="00437D15"/>
    <w:rsid w:val="00440739"/>
    <w:rsid w:val="004409AC"/>
    <w:rsid w:val="00440A45"/>
    <w:rsid w:val="00440D89"/>
    <w:rsid w:val="00440ED6"/>
    <w:rsid w:val="0044162C"/>
    <w:rsid w:val="00441826"/>
    <w:rsid w:val="0044195F"/>
    <w:rsid w:val="00441E1E"/>
    <w:rsid w:val="00441FBF"/>
    <w:rsid w:val="0044289D"/>
    <w:rsid w:val="004434A5"/>
    <w:rsid w:val="004436BD"/>
    <w:rsid w:val="004437F9"/>
    <w:rsid w:val="0044386E"/>
    <w:rsid w:val="004438B2"/>
    <w:rsid w:val="00443A0B"/>
    <w:rsid w:val="00443A0F"/>
    <w:rsid w:val="00443FA9"/>
    <w:rsid w:val="0044490C"/>
    <w:rsid w:val="00445D2D"/>
    <w:rsid w:val="00446D17"/>
    <w:rsid w:val="00446E24"/>
    <w:rsid w:val="00447B84"/>
    <w:rsid w:val="00447F8F"/>
    <w:rsid w:val="004500A3"/>
    <w:rsid w:val="00450BCA"/>
    <w:rsid w:val="00450DD8"/>
    <w:rsid w:val="0045137E"/>
    <w:rsid w:val="00451B60"/>
    <w:rsid w:val="00451C31"/>
    <w:rsid w:val="00451D27"/>
    <w:rsid w:val="0045206B"/>
    <w:rsid w:val="004522AE"/>
    <w:rsid w:val="004524C5"/>
    <w:rsid w:val="004526CA"/>
    <w:rsid w:val="0045281E"/>
    <w:rsid w:val="004529AA"/>
    <w:rsid w:val="004529E9"/>
    <w:rsid w:val="00452FD0"/>
    <w:rsid w:val="004534A0"/>
    <w:rsid w:val="00454D86"/>
    <w:rsid w:val="00454E6A"/>
    <w:rsid w:val="004559C7"/>
    <w:rsid w:val="00456C53"/>
    <w:rsid w:val="0045715A"/>
    <w:rsid w:val="00457513"/>
    <w:rsid w:val="00457B45"/>
    <w:rsid w:val="00457C0E"/>
    <w:rsid w:val="004608B2"/>
    <w:rsid w:val="00460AC4"/>
    <w:rsid w:val="00461A07"/>
    <w:rsid w:val="00461C8F"/>
    <w:rsid w:val="00461E88"/>
    <w:rsid w:val="004627C9"/>
    <w:rsid w:val="00462CCF"/>
    <w:rsid w:val="004632EC"/>
    <w:rsid w:val="00463443"/>
    <w:rsid w:val="00464472"/>
    <w:rsid w:val="004646C3"/>
    <w:rsid w:val="00464752"/>
    <w:rsid w:val="0046492C"/>
    <w:rsid w:val="00465A23"/>
    <w:rsid w:val="00465F5A"/>
    <w:rsid w:val="00466297"/>
    <w:rsid w:val="00466620"/>
    <w:rsid w:val="00466A38"/>
    <w:rsid w:val="00466C07"/>
    <w:rsid w:val="00467054"/>
    <w:rsid w:val="004713F1"/>
    <w:rsid w:val="0047160E"/>
    <w:rsid w:val="0047212E"/>
    <w:rsid w:val="00472862"/>
    <w:rsid w:val="00472BAF"/>
    <w:rsid w:val="004736A2"/>
    <w:rsid w:val="00473888"/>
    <w:rsid w:val="00473A59"/>
    <w:rsid w:val="00473D8E"/>
    <w:rsid w:val="00474157"/>
    <w:rsid w:val="00474EB2"/>
    <w:rsid w:val="00475401"/>
    <w:rsid w:val="00475D65"/>
    <w:rsid w:val="00476090"/>
    <w:rsid w:val="00476AD7"/>
    <w:rsid w:val="00476DB6"/>
    <w:rsid w:val="0047709B"/>
    <w:rsid w:val="00477434"/>
    <w:rsid w:val="00477C56"/>
    <w:rsid w:val="00480472"/>
    <w:rsid w:val="00480A0A"/>
    <w:rsid w:val="00480A45"/>
    <w:rsid w:val="004816F4"/>
    <w:rsid w:val="00482738"/>
    <w:rsid w:val="00482CF0"/>
    <w:rsid w:val="00482F81"/>
    <w:rsid w:val="0048398A"/>
    <w:rsid w:val="00483EEE"/>
    <w:rsid w:val="004846D4"/>
    <w:rsid w:val="00484EAE"/>
    <w:rsid w:val="00484FA1"/>
    <w:rsid w:val="004857FB"/>
    <w:rsid w:val="00486204"/>
    <w:rsid w:val="00486890"/>
    <w:rsid w:val="00486B40"/>
    <w:rsid w:val="00486DE5"/>
    <w:rsid w:val="004871FB"/>
    <w:rsid w:val="00487595"/>
    <w:rsid w:val="004879CD"/>
    <w:rsid w:val="00487CF8"/>
    <w:rsid w:val="00487E5B"/>
    <w:rsid w:val="00490703"/>
    <w:rsid w:val="004908EC"/>
    <w:rsid w:val="004913CA"/>
    <w:rsid w:val="004916B1"/>
    <w:rsid w:val="00491C20"/>
    <w:rsid w:val="00492109"/>
    <w:rsid w:val="00492608"/>
    <w:rsid w:val="00493149"/>
    <w:rsid w:val="004931AB"/>
    <w:rsid w:val="00494B70"/>
    <w:rsid w:val="00495226"/>
    <w:rsid w:val="004953FA"/>
    <w:rsid w:val="004955CA"/>
    <w:rsid w:val="00496275"/>
    <w:rsid w:val="004965D6"/>
    <w:rsid w:val="00496ABF"/>
    <w:rsid w:val="004974E2"/>
    <w:rsid w:val="004978DD"/>
    <w:rsid w:val="0049793F"/>
    <w:rsid w:val="00497945"/>
    <w:rsid w:val="004A10FF"/>
    <w:rsid w:val="004A1315"/>
    <w:rsid w:val="004A1319"/>
    <w:rsid w:val="004A1472"/>
    <w:rsid w:val="004A167F"/>
    <w:rsid w:val="004A16A3"/>
    <w:rsid w:val="004A1853"/>
    <w:rsid w:val="004A1B63"/>
    <w:rsid w:val="004A1D42"/>
    <w:rsid w:val="004A1F15"/>
    <w:rsid w:val="004A2024"/>
    <w:rsid w:val="004A23CC"/>
    <w:rsid w:val="004A25CB"/>
    <w:rsid w:val="004A2F96"/>
    <w:rsid w:val="004A3030"/>
    <w:rsid w:val="004A3277"/>
    <w:rsid w:val="004A3768"/>
    <w:rsid w:val="004A3AF8"/>
    <w:rsid w:val="004A3B24"/>
    <w:rsid w:val="004A3D2F"/>
    <w:rsid w:val="004A4246"/>
    <w:rsid w:val="004A4337"/>
    <w:rsid w:val="004A44E1"/>
    <w:rsid w:val="004A450E"/>
    <w:rsid w:val="004A5015"/>
    <w:rsid w:val="004A5286"/>
    <w:rsid w:val="004A5A37"/>
    <w:rsid w:val="004A745D"/>
    <w:rsid w:val="004A7744"/>
    <w:rsid w:val="004B00C8"/>
    <w:rsid w:val="004B011E"/>
    <w:rsid w:val="004B0411"/>
    <w:rsid w:val="004B0F39"/>
    <w:rsid w:val="004B22BA"/>
    <w:rsid w:val="004B299F"/>
    <w:rsid w:val="004B2AE7"/>
    <w:rsid w:val="004B2F2F"/>
    <w:rsid w:val="004B327B"/>
    <w:rsid w:val="004B3A77"/>
    <w:rsid w:val="004B3EB7"/>
    <w:rsid w:val="004B40F6"/>
    <w:rsid w:val="004B411F"/>
    <w:rsid w:val="004B4135"/>
    <w:rsid w:val="004B475D"/>
    <w:rsid w:val="004B4CFF"/>
    <w:rsid w:val="004B4D80"/>
    <w:rsid w:val="004B5172"/>
    <w:rsid w:val="004B53CE"/>
    <w:rsid w:val="004B5EA1"/>
    <w:rsid w:val="004B5F5D"/>
    <w:rsid w:val="004B6094"/>
    <w:rsid w:val="004B6355"/>
    <w:rsid w:val="004B7127"/>
    <w:rsid w:val="004B732D"/>
    <w:rsid w:val="004B7A79"/>
    <w:rsid w:val="004B7B65"/>
    <w:rsid w:val="004B7EB1"/>
    <w:rsid w:val="004C01A4"/>
    <w:rsid w:val="004C0A91"/>
    <w:rsid w:val="004C0D30"/>
    <w:rsid w:val="004C0D36"/>
    <w:rsid w:val="004C1A5C"/>
    <w:rsid w:val="004C2553"/>
    <w:rsid w:val="004C2648"/>
    <w:rsid w:val="004C27DE"/>
    <w:rsid w:val="004C2A67"/>
    <w:rsid w:val="004C2DE1"/>
    <w:rsid w:val="004C2EFD"/>
    <w:rsid w:val="004C4367"/>
    <w:rsid w:val="004C4377"/>
    <w:rsid w:val="004C47B2"/>
    <w:rsid w:val="004C5E67"/>
    <w:rsid w:val="004C6098"/>
    <w:rsid w:val="004C60C8"/>
    <w:rsid w:val="004C61FF"/>
    <w:rsid w:val="004C623F"/>
    <w:rsid w:val="004C65B8"/>
    <w:rsid w:val="004C6BE1"/>
    <w:rsid w:val="004C6FCF"/>
    <w:rsid w:val="004C70DA"/>
    <w:rsid w:val="004C7FAC"/>
    <w:rsid w:val="004D03EA"/>
    <w:rsid w:val="004D1645"/>
    <w:rsid w:val="004D1744"/>
    <w:rsid w:val="004D3A1F"/>
    <w:rsid w:val="004D4160"/>
    <w:rsid w:val="004D5332"/>
    <w:rsid w:val="004D63D6"/>
    <w:rsid w:val="004D6587"/>
    <w:rsid w:val="004D6A5C"/>
    <w:rsid w:val="004D6EB4"/>
    <w:rsid w:val="004D776F"/>
    <w:rsid w:val="004E0BA3"/>
    <w:rsid w:val="004E0E1A"/>
    <w:rsid w:val="004E0F86"/>
    <w:rsid w:val="004E10BE"/>
    <w:rsid w:val="004E136B"/>
    <w:rsid w:val="004E20D2"/>
    <w:rsid w:val="004E2181"/>
    <w:rsid w:val="004E258F"/>
    <w:rsid w:val="004E2ACC"/>
    <w:rsid w:val="004E30F8"/>
    <w:rsid w:val="004E3771"/>
    <w:rsid w:val="004E3CF9"/>
    <w:rsid w:val="004E470A"/>
    <w:rsid w:val="004E4B28"/>
    <w:rsid w:val="004E53BB"/>
    <w:rsid w:val="004E5739"/>
    <w:rsid w:val="004E5A10"/>
    <w:rsid w:val="004E5C0F"/>
    <w:rsid w:val="004E6E7C"/>
    <w:rsid w:val="004E7058"/>
    <w:rsid w:val="004F1283"/>
    <w:rsid w:val="004F13C2"/>
    <w:rsid w:val="004F1A18"/>
    <w:rsid w:val="004F330C"/>
    <w:rsid w:val="004F3354"/>
    <w:rsid w:val="004F33C0"/>
    <w:rsid w:val="004F3DFE"/>
    <w:rsid w:val="004F3F89"/>
    <w:rsid w:val="004F422A"/>
    <w:rsid w:val="004F42C5"/>
    <w:rsid w:val="004F4633"/>
    <w:rsid w:val="004F4999"/>
    <w:rsid w:val="004F499C"/>
    <w:rsid w:val="004F4A4C"/>
    <w:rsid w:val="004F4D5B"/>
    <w:rsid w:val="004F4E41"/>
    <w:rsid w:val="004F5137"/>
    <w:rsid w:val="004F567A"/>
    <w:rsid w:val="004F5BC4"/>
    <w:rsid w:val="004F61C6"/>
    <w:rsid w:val="004F677B"/>
    <w:rsid w:val="004F7B30"/>
    <w:rsid w:val="004F7CF8"/>
    <w:rsid w:val="005001B1"/>
    <w:rsid w:val="005004A5"/>
    <w:rsid w:val="00500623"/>
    <w:rsid w:val="00500675"/>
    <w:rsid w:val="00500AB6"/>
    <w:rsid w:val="005018A5"/>
    <w:rsid w:val="00501AB0"/>
    <w:rsid w:val="005026D3"/>
    <w:rsid w:val="0050311A"/>
    <w:rsid w:val="00503840"/>
    <w:rsid w:val="00503BE5"/>
    <w:rsid w:val="00503D05"/>
    <w:rsid w:val="00503D5A"/>
    <w:rsid w:val="00503EF1"/>
    <w:rsid w:val="00504187"/>
    <w:rsid w:val="00504450"/>
    <w:rsid w:val="0050455A"/>
    <w:rsid w:val="005046CA"/>
    <w:rsid w:val="005049E6"/>
    <w:rsid w:val="00504F86"/>
    <w:rsid w:val="00505054"/>
    <w:rsid w:val="005057FE"/>
    <w:rsid w:val="00505AB0"/>
    <w:rsid w:val="00505ECD"/>
    <w:rsid w:val="00506F8A"/>
    <w:rsid w:val="0050793A"/>
    <w:rsid w:val="00507F26"/>
    <w:rsid w:val="005102BD"/>
    <w:rsid w:val="005109D8"/>
    <w:rsid w:val="00510B09"/>
    <w:rsid w:val="005114E6"/>
    <w:rsid w:val="0051176F"/>
    <w:rsid w:val="00511FC8"/>
    <w:rsid w:val="005122B2"/>
    <w:rsid w:val="005123AC"/>
    <w:rsid w:val="005126CF"/>
    <w:rsid w:val="00512A48"/>
    <w:rsid w:val="00512D8B"/>
    <w:rsid w:val="0051413C"/>
    <w:rsid w:val="00514181"/>
    <w:rsid w:val="00514E7C"/>
    <w:rsid w:val="005153E5"/>
    <w:rsid w:val="00515DD4"/>
    <w:rsid w:val="005164EA"/>
    <w:rsid w:val="005169CC"/>
    <w:rsid w:val="00516BBF"/>
    <w:rsid w:val="00516BE3"/>
    <w:rsid w:val="00516C6D"/>
    <w:rsid w:val="00516F9A"/>
    <w:rsid w:val="00517908"/>
    <w:rsid w:val="00520170"/>
    <w:rsid w:val="005212A5"/>
    <w:rsid w:val="005216AC"/>
    <w:rsid w:val="00521A3A"/>
    <w:rsid w:val="00521D02"/>
    <w:rsid w:val="0052234B"/>
    <w:rsid w:val="00522AED"/>
    <w:rsid w:val="005231B0"/>
    <w:rsid w:val="00523A09"/>
    <w:rsid w:val="00523CD8"/>
    <w:rsid w:val="0052426F"/>
    <w:rsid w:val="00524477"/>
    <w:rsid w:val="00524E76"/>
    <w:rsid w:val="00524EE6"/>
    <w:rsid w:val="005251E4"/>
    <w:rsid w:val="0052530F"/>
    <w:rsid w:val="00525D05"/>
    <w:rsid w:val="00525F1D"/>
    <w:rsid w:val="00526D8F"/>
    <w:rsid w:val="00526ED3"/>
    <w:rsid w:val="00526F7B"/>
    <w:rsid w:val="0052763A"/>
    <w:rsid w:val="00527888"/>
    <w:rsid w:val="005301AA"/>
    <w:rsid w:val="005302BF"/>
    <w:rsid w:val="00530466"/>
    <w:rsid w:val="005309F1"/>
    <w:rsid w:val="00530C7E"/>
    <w:rsid w:val="00530E10"/>
    <w:rsid w:val="00530E55"/>
    <w:rsid w:val="00531555"/>
    <w:rsid w:val="00531B9A"/>
    <w:rsid w:val="005320CF"/>
    <w:rsid w:val="005325CD"/>
    <w:rsid w:val="0053384F"/>
    <w:rsid w:val="00534456"/>
    <w:rsid w:val="005345B1"/>
    <w:rsid w:val="00534EAF"/>
    <w:rsid w:val="00535BCC"/>
    <w:rsid w:val="00535D00"/>
    <w:rsid w:val="00536043"/>
    <w:rsid w:val="00536726"/>
    <w:rsid w:val="00536DDB"/>
    <w:rsid w:val="0053735B"/>
    <w:rsid w:val="00537AFA"/>
    <w:rsid w:val="005400ED"/>
    <w:rsid w:val="00540286"/>
    <w:rsid w:val="00540A71"/>
    <w:rsid w:val="0054100C"/>
    <w:rsid w:val="00541D40"/>
    <w:rsid w:val="00542808"/>
    <w:rsid w:val="00542BA4"/>
    <w:rsid w:val="00543AD8"/>
    <w:rsid w:val="00543B7F"/>
    <w:rsid w:val="00543F04"/>
    <w:rsid w:val="00544035"/>
    <w:rsid w:val="00544083"/>
    <w:rsid w:val="00544ECE"/>
    <w:rsid w:val="00545754"/>
    <w:rsid w:val="00545823"/>
    <w:rsid w:val="005465D6"/>
    <w:rsid w:val="0054667C"/>
    <w:rsid w:val="005467D8"/>
    <w:rsid w:val="00546CC1"/>
    <w:rsid w:val="0054717C"/>
    <w:rsid w:val="005475C5"/>
    <w:rsid w:val="00547CAD"/>
    <w:rsid w:val="0055068E"/>
    <w:rsid w:val="005508B3"/>
    <w:rsid w:val="00551260"/>
    <w:rsid w:val="005515D7"/>
    <w:rsid w:val="00551926"/>
    <w:rsid w:val="00552338"/>
    <w:rsid w:val="0055236B"/>
    <w:rsid w:val="005526F7"/>
    <w:rsid w:val="00552FA4"/>
    <w:rsid w:val="00552FD6"/>
    <w:rsid w:val="005545EA"/>
    <w:rsid w:val="00554793"/>
    <w:rsid w:val="00554852"/>
    <w:rsid w:val="00554E94"/>
    <w:rsid w:val="0055612E"/>
    <w:rsid w:val="00556223"/>
    <w:rsid w:val="00557250"/>
    <w:rsid w:val="0055766B"/>
    <w:rsid w:val="005578B8"/>
    <w:rsid w:val="005600D3"/>
    <w:rsid w:val="00560EA8"/>
    <w:rsid w:val="0056111F"/>
    <w:rsid w:val="00561A48"/>
    <w:rsid w:val="00562204"/>
    <w:rsid w:val="00562F61"/>
    <w:rsid w:val="005636A8"/>
    <w:rsid w:val="005636B2"/>
    <w:rsid w:val="00563B7C"/>
    <w:rsid w:val="0056446E"/>
    <w:rsid w:val="005647D4"/>
    <w:rsid w:val="00564FC0"/>
    <w:rsid w:val="005651EC"/>
    <w:rsid w:val="005654F1"/>
    <w:rsid w:val="005659AC"/>
    <w:rsid w:val="00565FFB"/>
    <w:rsid w:val="005660E0"/>
    <w:rsid w:val="005673D7"/>
    <w:rsid w:val="005704E1"/>
    <w:rsid w:val="00570776"/>
    <w:rsid w:val="00570CCC"/>
    <w:rsid w:val="00571083"/>
    <w:rsid w:val="00571101"/>
    <w:rsid w:val="0057120A"/>
    <w:rsid w:val="005721D6"/>
    <w:rsid w:val="005723FA"/>
    <w:rsid w:val="00572E47"/>
    <w:rsid w:val="00573397"/>
    <w:rsid w:val="0057353F"/>
    <w:rsid w:val="00573719"/>
    <w:rsid w:val="005737E9"/>
    <w:rsid w:val="00573A0C"/>
    <w:rsid w:val="00573B5B"/>
    <w:rsid w:val="00573D97"/>
    <w:rsid w:val="00574202"/>
    <w:rsid w:val="005742F0"/>
    <w:rsid w:val="005743FB"/>
    <w:rsid w:val="005748E0"/>
    <w:rsid w:val="005749E1"/>
    <w:rsid w:val="00574C26"/>
    <w:rsid w:val="00575152"/>
    <w:rsid w:val="0057521D"/>
    <w:rsid w:val="0057597A"/>
    <w:rsid w:val="00575EA4"/>
    <w:rsid w:val="00576432"/>
    <w:rsid w:val="005767C5"/>
    <w:rsid w:val="00576F3D"/>
    <w:rsid w:val="00580804"/>
    <w:rsid w:val="005816D6"/>
    <w:rsid w:val="005817E7"/>
    <w:rsid w:val="00582162"/>
    <w:rsid w:val="00582C4D"/>
    <w:rsid w:val="00582FB1"/>
    <w:rsid w:val="0058303D"/>
    <w:rsid w:val="00583BC8"/>
    <w:rsid w:val="005844B4"/>
    <w:rsid w:val="005845AB"/>
    <w:rsid w:val="005845D1"/>
    <w:rsid w:val="00584777"/>
    <w:rsid w:val="005857FA"/>
    <w:rsid w:val="00585A58"/>
    <w:rsid w:val="00585AE5"/>
    <w:rsid w:val="00586051"/>
    <w:rsid w:val="0058623E"/>
    <w:rsid w:val="005866D0"/>
    <w:rsid w:val="00586785"/>
    <w:rsid w:val="00586CAF"/>
    <w:rsid w:val="00587530"/>
    <w:rsid w:val="00587DA8"/>
    <w:rsid w:val="00587FCA"/>
    <w:rsid w:val="00590081"/>
    <w:rsid w:val="00590613"/>
    <w:rsid w:val="005910F4"/>
    <w:rsid w:val="00591480"/>
    <w:rsid w:val="00591A2F"/>
    <w:rsid w:val="00591B64"/>
    <w:rsid w:val="0059291D"/>
    <w:rsid w:val="00592E11"/>
    <w:rsid w:val="005931E1"/>
    <w:rsid w:val="00593694"/>
    <w:rsid w:val="005936B4"/>
    <w:rsid w:val="00593C9B"/>
    <w:rsid w:val="00595B1F"/>
    <w:rsid w:val="00595CE7"/>
    <w:rsid w:val="00595DED"/>
    <w:rsid w:val="005966C6"/>
    <w:rsid w:val="0059704A"/>
    <w:rsid w:val="005973D1"/>
    <w:rsid w:val="0059761A"/>
    <w:rsid w:val="00597ADE"/>
    <w:rsid w:val="005A06D8"/>
    <w:rsid w:val="005A0B48"/>
    <w:rsid w:val="005A0C46"/>
    <w:rsid w:val="005A0D36"/>
    <w:rsid w:val="005A1BBD"/>
    <w:rsid w:val="005A1CE7"/>
    <w:rsid w:val="005A1D2E"/>
    <w:rsid w:val="005A1FE7"/>
    <w:rsid w:val="005A21B8"/>
    <w:rsid w:val="005A293B"/>
    <w:rsid w:val="005A2B1A"/>
    <w:rsid w:val="005A2C39"/>
    <w:rsid w:val="005A2CCB"/>
    <w:rsid w:val="005A37B4"/>
    <w:rsid w:val="005A3912"/>
    <w:rsid w:val="005A3DE4"/>
    <w:rsid w:val="005A437D"/>
    <w:rsid w:val="005A459D"/>
    <w:rsid w:val="005A46B4"/>
    <w:rsid w:val="005A5339"/>
    <w:rsid w:val="005A5C98"/>
    <w:rsid w:val="005A5E89"/>
    <w:rsid w:val="005A6531"/>
    <w:rsid w:val="005A6B15"/>
    <w:rsid w:val="005A6B1E"/>
    <w:rsid w:val="005A76B3"/>
    <w:rsid w:val="005B0031"/>
    <w:rsid w:val="005B003F"/>
    <w:rsid w:val="005B02FD"/>
    <w:rsid w:val="005B0351"/>
    <w:rsid w:val="005B0623"/>
    <w:rsid w:val="005B0D34"/>
    <w:rsid w:val="005B0E74"/>
    <w:rsid w:val="005B18E7"/>
    <w:rsid w:val="005B1DAE"/>
    <w:rsid w:val="005B1E2B"/>
    <w:rsid w:val="005B23CA"/>
    <w:rsid w:val="005B24BA"/>
    <w:rsid w:val="005B27AD"/>
    <w:rsid w:val="005B2C07"/>
    <w:rsid w:val="005B2C54"/>
    <w:rsid w:val="005B2D52"/>
    <w:rsid w:val="005B2DC9"/>
    <w:rsid w:val="005B32FD"/>
    <w:rsid w:val="005B3CDD"/>
    <w:rsid w:val="005B5157"/>
    <w:rsid w:val="005B52AB"/>
    <w:rsid w:val="005B55C6"/>
    <w:rsid w:val="005B6EEC"/>
    <w:rsid w:val="005B70CC"/>
    <w:rsid w:val="005B73E5"/>
    <w:rsid w:val="005B7CD2"/>
    <w:rsid w:val="005C018A"/>
    <w:rsid w:val="005C0CF0"/>
    <w:rsid w:val="005C0F69"/>
    <w:rsid w:val="005C113F"/>
    <w:rsid w:val="005C16AC"/>
    <w:rsid w:val="005C1B0A"/>
    <w:rsid w:val="005C2377"/>
    <w:rsid w:val="005C238E"/>
    <w:rsid w:val="005C286C"/>
    <w:rsid w:val="005C28F0"/>
    <w:rsid w:val="005C2E91"/>
    <w:rsid w:val="005C3405"/>
    <w:rsid w:val="005C38F6"/>
    <w:rsid w:val="005C39AA"/>
    <w:rsid w:val="005C3AFD"/>
    <w:rsid w:val="005C3F44"/>
    <w:rsid w:val="005C411B"/>
    <w:rsid w:val="005C46C1"/>
    <w:rsid w:val="005C5661"/>
    <w:rsid w:val="005C5F01"/>
    <w:rsid w:val="005C7B4F"/>
    <w:rsid w:val="005D0290"/>
    <w:rsid w:val="005D0655"/>
    <w:rsid w:val="005D06AB"/>
    <w:rsid w:val="005D1017"/>
    <w:rsid w:val="005D1650"/>
    <w:rsid w:val="005D2406"/>
    <w:rsid w:val="005D285B"/>
    <w:rsid w:val="005D2B95"/>
    <w:rsid w:val="005D3674"/>
    <w:rsid w:val="005D3688"/>
    <w:rsid w:val="005D3B4A"/>
    <w:rsid w:val="005D46E9"/>
    <w:rsid w:val="005D4766"/>
    <w:rsid w:val="005D4B77"/>
    <w:rsid w:val="005D4BDA"/>
    <w:rsid w:val="005D4E7C"/>
    <w:rsid w:val="005D4EE2"/>
    <w:rsid w:val="005D521C"/>
    <w:rsid w:val="005D5276"/>
    <w:rsid w:val="005D566E"/>
    <w:rsid w:val="005D56B8"/>
    <w:rsid w:val="005D56CD"/>
    <w:rsid w:val="005D56DB"/>
    <w:rsid w:val="005D5767"/>
    <w:rsid w:val="005D59F8"/>
    <w:rsid w:val="005D5AC4"/>
    <w:rsid w:val="005D5E8E"/>
    <w:rsid w:val="005D5EC8"/>
    <w:rsid w:val="005D66A1"/>
    <w:rsid w:val="005D731C"/>
    <w:rsid w:val="005D7EE5"/>
    <w:rsid w:val="005D7FD3"/>
    <w:rsid w:val="005E0540"/>
    <w:rsid w:val="005E05D3"/>
    <w:rsid w:val="005E0CBB"/>
    <w:rsid w:val="005E0E8F"/>
    <w:rsid w:val="005E13FD"/>
    <w:rsid w:val="005E1C38"/>
    <w:rsid w:val="005E2922"/>
    <w:rsid w:val="005E2A04"/>
    <w:rsid w:val="005E2E28"/>
    <w:rsid w:val="005E33F6"/>
    <w:rsid w:val="005E36CE"/>
    <w:rsid w:val="005E43A6"/>
    <w:rsid w:val="005E496D"/>
    <w:rsid w:val="005E4EAC"/>
    <w:rsid w:val="005E509D"/>
    <w:rsid w:val="005E5513"/>
    <w:rsid w:val="005E5541"/>
    <w:rsid w:val="005E5CB7"/>
    <w:rsid w:val="005E5D5A"/>
    <w:rsid w:val="005E6942"/>
    <w:rsid w:val="005E6E2E"/>
    <w:rsid w:val="005E6EE9"/>
    <w:rsid w:val="005E7B6C"/>
    <w:rsid w:val="005E7C7D"/>
    <w:rsid w:val="005F045A"/>
    <w:rsid w:val="005F04F6"/>
    <w:rsid w:val="005F094F"/>
    <w:rsid w:val="005F0D63"/>
    <w:rsid w:val="005F14BB"/>
    <w:rsid w:val="005F1AF6"/>
    <w:rsid w:val="005F1B54"/>
    <w:rsid w:val="005F1E0A"/>
    <w:rsid w:val="005F1F6B"/>
    <w:rsid w:val="005F21B5"/>
    <w:rsid w:val="005F23B9"/>
    <w:rsid w:val="005F2853"/>
    <w:rsid w:val="005F2949"/>
    <w:rsid w:val="005F2A19"/>
    <w:rsid w:val="005F3137"/>
    <w:rsid w:val="005F336A"/>
    <w:rsid w:val="005F34CE"/>
    <w:rsid w:val="005F387A"/>
    <w:rsid w:val="005F3C1D"/>
    <w:rsid w:val="005F3DAA"/>
    <w:rsid w:val="005F3DC8"/>
    <w:rsid w:val="005F41A4"/>
    <w:rsid w:val="005F4603"/>
    <w:rsid w:val="005F49C4"/>
    <w:rsid w:val="005F4DAB"/>
    <w:rsid w:val="005F5885"/>
    <w:rsid w:val="005F5CA0"/>
    <w:rsid w:val="005F5F10"/>
    <w:rsid w:val="005F5FDB"/>
    <w:rsid w:val="005F6064"/>
    <w:rsid w:val="005F61AA"/>
    <w:rsid w:val="005F7EC3"/>
    <w:rsid w:val="005F7FD3"/>
    <w:rsid w:val="0060026B"/>
    <w:rsid w:val="00600627"/>
    <w:rsid w:val="00600789"/>
    <w:rsid w:val="00600B0A"/>
    <w:rsid w:val="00601776"/>
    <w:rsid w:val="00602954"/>
    <w:rsid w:val="00602AC4"/>
    <w:rsid w:val="00602E02"/>
    <w:rsid w:val="00603270"/>
    <w:rsid w:val="00604720"/>
    <w:rsid w:val="00604A1B"/>
    <w:rsid w:val="0060511E"/>
    <w:rsid w:val="0060533E"/>
    <w:rsid w:val="00605794"/>
    <w:rsid w:val="00605CFE"/>
    <w:rsid w:val="00605ECC"/>
    <w:rsid w:val="00605FFF"/>
    <w:rsid w:val="00606035"/>
    <w:rsid w:val="00606760"/>
    <w:rsid w:val="00606DCF"/>
    <w:rsid w:val="00606F42"/>
    <w:rsid w:val="00607215"/>
    <w:rsid w:val="0060779A"/>
    <w:rsid w:val="00610093"/>
    <w:rsid w:val="00610C92"/>
    <w:rsid w:val="00611022"/>
    <w:rsid w:val="006111A8"/>
    <w:rsid w:val="006112CA"/>
    <w:rsid w:val="00611785"/>
    <w:rsid w:val="00611B87"/>
    <w:rsid w:val="006120E9"/>
    <w:rsid w:val="00612464"/>
    <w:rsid w:val="00612B14"/>
    <w:rsid w:val="00612B81"/>
    <w:rsid w:val="00612D8E"/>
    <w:rsid w:val="00613463"/>
    <w:rsid w:val="00613C3B"/>
    <w:rsid w:val="00614120"/>
    <w:rsid w:val="006145EA"/>
    <w:rsid w:val="00614872"/>
    <w:rsid w:val="00614D6A"/>
    <w:rsid w:val="00615075"/>
    <w:rsid w:val="006156D5"/>
    <w:rsid w:val="006156ED"/>
    <w:rsid w:val="00615978"/>
    <w:rsid w:val="00615982"/>
    <w:rsid w:val="0061661D"/>
    <w:rsid w:val="00617155"/>
    <w:rsid w:val="006174A0"/>
    <w:rsid w:val="006179AE"/>
    <w:rsid w:val="00617A13"/>
    <w:rsid w:val="00617E88"/>
    <w:rsid w:val="00621320"/>
    <w:rsid w:val="006213F6"/>
    <w:rsid w:val="006218A8"/>
    <w:rsid w:val="006225A3"/>
    <w:rsid w:val="00622789"/>
    <w:rsid w:val="006228D0"/>
    <w:rsid w:val="00622A49"/>
    <w:rsid w:val="00622FAF"/>
    <w:rsid w:val="00622FBD"/>
    <w:rsid w:val="006236BE"/>
    <w:rsid w:val="00623C5E"/>
    <w:rsid w:val="00623DBD"/>
    <w:rsid w:val="00624332"/>
    <w:rsid w:val="00624961"/>
    <w:rsid w:val="00624B9A"/>
    <w:rsid w:val="00624C13"/>
    <w:rsid w:val="006250AC"/>
    <w:rsid w:val="00625C00"/>
    <w:rsid w:val="006261C2"/>
    <w:rsid w:val="006263AE"/>
    <w:rsid w:val="00626432"/>
    <w:rsid w:val="00626644"/>
    <w:rsid w:val="006266F5"/>
    <w:rsid w:val="00626A47"/>
    <w:rsid w:val="00626E10"/>
    <w:rsid w:val="00626FDD"/>
    <w:rsid w:val="0062719F"/>
    <w:rsid w:val="00627D0D"/>
    <w:rsid w:val="006304EC"/>
    <w:rsid w:val="0063086D"/>
    <w:rsid w:val="00631479"/>
    <w:rsid w:val="00631B76"/>
    <w:rsid w:val="00632074"/>
    <w:rsid w:val="00633080"/>
    <w:rsid w:val="00633458"/>
    <w:rsid w:val="006335CE"/>
    <w:rsid w:val="006338C3"/>
    <w:rsid w:val="00633B63"/>
    <w:rsid w:val="00634C3E"/>
    <w:rsid w:val="00635408"/>
    <w:rsid w:val="00635B2A"/>
    <w:rsid w:val="00635D64"/>
    <w:rsid w:val="00637898"/>
    <w:rsid w:val="00637D57"/>
    <w:rsid w:val="00640173"/>
    <w:rsid w:val="00640A88"/>
    <w:rsid w:val="00640B71"/>
    <w:rsid w:val="00640BF4"/>
    <w:rsid w:val="00640C63"/>
    <w:rsid w:val="00641BE4"/>
    <w:rsid w:val="00641FE6"/>
    <w:rsid w:val="006424F2"/>
    <w:rsid w:val="00642C1E"/>
    <w:rsid w:val="00642FFB"/>
    <w:rsid w:val="00643145"/>
    <w:rsid w:val="006439A2"/>
    <w:rsid w:val="00643E5A"/>
    <w:rsid w:val="00643EAF"/>
    <w:rsid w:val="006440A8"/>
    <w:rsid w:val="0064461D"/>
    <w:rsid w:val="00644A0C"/>
    <w:rsid w:val="006459ED"/>
    <w:rsid w:val="00645AB6"/>
    <w:rsid w:val="0064624F"/>
    <w:rsid w:val="0064665D"/>
    <w:rsid w:val="006468C7"/>
    <w:rsid w:val="00646948"/>
    <w:rsid w:val="00646C8E"/>
    <w:rsid w:val="0064718F"/>
    <w:rsid w:val="006475E6"/>
    <w:rsid w:val="0065036D"/>
    <w:rsid w:val="00650C2F"/>
    <w:rsid w:val="00650C56"/>
    <w:rsid w:val="00650D0B"/>
    <w:rsid w:val="00651128"/>
    <w:rsid w:val="00651E7C"/>
    <w:rsid w:val="006521C1"/>
    <w:rsid w:val="006522A6"/>
    <w:rsid w:val="006522B2"/>
    <w:rsid w:val="00652B75"/>
    <w:rsid w:val="00653D23"/>
    <w:rsid w:val="006542F2"/>
    <w:rsid w:val="006546C1"/>
    <w:rsid w:val="0065519C"/>
    <w:rsid w:val="00655A91"/>
    <w:rsid w:val="00655E47"/>
    <w:rsid w:val="006564FA"/>
    <w:rsid w:val="006576BF"/>
    <w:rsid w:val="00657849"/>
    <w:rsid w:val="00657F02"/>
    <w:rsid w:val="00660E71"/>
    <w:rsid w:val="00660FA8"/>
    <w:rsid w:val="00661CA8"/>
    <w:rsid w:val="00661E57"/>
    <w:rsid w:val="00662E6B"/>
    <w:rsid w:val="00663669"/>
    <w:rsid w:val="006638FB"/>
    <w:rsid w:val="006641F1"/>
    <w:rsid w:val="0066423D"/>
    <w:rsid w:val="006647E4"/>
    <w:rsid w:val="0066515F"/>
    <w:rsid w:val="00665309"/>
    <w:rsid w:val="00667041"/>
    <w:rsid w:val="00667055"/>
    <w:rsid w:val="006670FC"/>
    <w:rsid w:val="006677AD"/>
    <w:rsid w:val="006678DA"/>
    <w:rsid w:val="00670446"/>
    <w:rsid w:val="006704EA"/>
    <w:rsid w:val="0067075B"/>
    <w:rsid w:val="00670EDC"/>
    <w:rsid w:val="006710FB"/>
    <w:rsid w:val="006715A6"/>
    <w:rsid w:val="00671C53"/>
    <w:rsid w:val="00671CB6"/>
    <w:rsid w:val="00671DFF"/>
    <w:rsid w:val="00672728"/>
    <w:rsid w:val="0067280D"/>
    <w:rsid w:val="0067285D"/>
    <w:rsid w:val="00672912"/>
    <w:rsid w:val="00673796"/>
    <w:rsid w:val="00673948"/>
    <w:rsid w:val="00673F40"/>
    <w:rsid w:val="006743B5"/>
    <w:rsid w:val="006745BC"/>
    <w:rsid w:val="006746E5"/>
    <w:rsid w:val="00674ABF"/>
    <w:rsid w:val="00674B82"/>
    <w:rsid w:val="00674BFE"/>
    <w:rsid w:val="00675722"/>
    <w:rsid w:val="0067591B"/>
    <w:rsid w:val="00675E2B"/>
    <w:rsid w:val="0067615F"/>
    <w:rsid w:val="00676776"/>
    <w:rsid w:val="00676860"/>
    <w:rsid w:val="00676C18"/>
    <w:rsid w:val="006772FC"/>
    <w:rsid w:val="00677718"/>
    <w:rsid w:val="006777EB"/>
    <w:rsid w:val="006807AE"/>
    <w:rsid w:val="00680901"/>
    <w:rsid w:val="00680AD5"/>
    <w:rsid w:val="006819C5"/>
    <w:rsid w:val="00681FE0"/>
    <w:rsid w:val="0068205B"/>
    <w:rsid w:val="0068234A"/>
    <w:rsid w:val="006823C4"/>
    <w:rsid w:val="006824BE"/>
    <w:rsid w:val="00682664"/>
    <w:rsid w:val="0068266A"/>
    <w:rsid w:val="006826A8"/>
    <w:rsid w:val="00682802"/>
    <w:rsid w:val="006828BC"/>
    <w:rsid w:val="00682DCE"/>
    <w:rsid w:val="00683473"/>
    <w:rsid w:val="0068395A"/>
    <w:rsid w:val="00683A20"/>
    <w:rsid w:val="00683C5C"/>
    <w:rsid w:val="00684FA7"/>
    <w:rsid w:val="00685359"/>
    <w:rsid w:val="00685551"/>
    <w:rsid w:val="00685934"/>
    <w:rsid w:val="006859B5"/>
    <w:rsid w:val="00685C9A"/>
    <w:rsid w:val="0068667B"/>
    <w:rsid w:val="00686A5E"/>
    <w:rsid w:val="00686F7C"/>
    <w:rsid w:val="0068709B"/>
    <w:rsid w:val="00687AC8"/>
    <w:rsid w:val="00687D2E"/>
    <w:rsid w:val="00690E8D"/>
    <w:rsid w:val="00691137"/>
    <w:rsid w:val="00691DAD"/>
    <w:rsid w:val="0069218D"/>
    <w:rsid w:val="0069259C"/>
    <w:rsid w:val="006929AB"/>
    <w:rsid w:val="006930A8"/>
    <w:rsid w:val="00693267"/>
    <w:rsid w:val="006936C3"/>
    <w:rsid w:val="00693E3A"/>
    <w:rsid w:val="00694980"/>
    <w:rsid w:val="00695139"/>
    <w:rsid w:val="00695228"/>
    <w:rsid w:val="00695324"/>
    <w:rsid w:val="0069588C"/>
    <w:rsid w:val="006964D8"/>
    <w:rsid w:val="00696894"/>
    <w:rsid w:val="00696A41"/>
    <w:rsid w:val="00696B1E"/>
    <w:rsid w:val="00696B9C"/>
    <w:rsid w:val="0069774D"/>
    <w:rsid w:val="006A202C"/>
    <w:rsid w:val="006A2F9F"/>
    <w:rsid w:val="006A3DB2"/>
    <w:rsid w:val="006A3E9F"/>
    <w:rsid w:val="006A4139"/>
    <w:rsid w:val="006A4DC8"/>
    <w:rsid w:val="006A54D9"/>
    <w:rsid w:val="006A5BE2"/>
    <w:rsid w:val="006A5E72"/>
    <w:rsid w:val="006A69D0"/>
    <w:rsid w:val="006A6EC4"/>
    <w:rsid w:val="006A725B"/>
    <w:rsid w:val="006A7660"/>
    <w:rsid w:val="006B00D4"/>
    <w:rsid w:val="006B010B"/>
    <w:rsid w:val="006B0392"/>
    <w:rsid w:val="006B0451"/>
    <w:rsid w:val="006B0564"/>
    <w:rsid w:val="006B096F"/>
    <w:rsid w:val="006B0B0C"/>
    <w:rsid w:val="006B106A"/>
    <w:rsid w:val="006B12CB"/>
    <w:rsid w:val="006B196E"/>
    <w:rsid w:val="006B2375"/>
    <w:rsid w:val="006B2989"/>
    <w:rsid w:val="006B2F75"/>
    <w:rsid w:val="006B2FD2"/>
    <w:rsid w:val="006B3059"/>
    <w:rsid w:val="006B340A"/>
    <w:rsid w:val="006B40F8"/>
    <w:rsid w:val="006B4ADA"/>
    <w:rsid w:val="006B4C77"/>
    <w:rsid w:val="006B4FF2"/>
    <w:rsid w:val="006B504F"/>
    <w:rsid w:val="006B555D"/>
    <w:rsid w:val="006B5898"/>
    <w:rsid w:val="006B5E19"/>
    <w:rsid w:val="006B6183"/>
    <w:rsid w:val="006B649D"/>
    <w:rsid w:val="006B6AF7"/>
    <w:rsid w:val="006B6D79"/>
    <w:rsid w:val="006B782F"/>
    <w:rsid w:val="006C0C38"/>
    <w:rsid w:val="006C160C"/>
    <w:rsid w:val="006C1E24"/>
    <w:rsid w:val="006C2141"/>
    <w:rsid w:val="006C237A"/>
    <w:rsid w:val="006C2641"/>
    <w:rsid w:val="006C2658"/>
    <w:rsid w:val="006C2715"/>
    <w:rsid w:val="006C28C3"/>
    <w:rsid w:val="006C2E03"/>
    <w:rsid w:val="006C2F5F"/>
    <w:rsid w:val="006C3D59"/>
    <w:rsid w:val="006C3FD5"/>
    <w:rsid w:val="006C4E80"/>
    <w:rsid w:val="006C535F"/>
    <w:rsid w:val="006C542C"/>
    <w:rsid w:val="006C5C59"/>
    <w:rsid w:val="006C5CF4"/>
    <w:rsid w:val="006C5E53"/>
    <w:rsid w:val="006C61FD"/>
    <w:rsid w:val="006C6EF2"/>
    <w:rsid w:val="006C7841"/>
    <w:rsid w:val="006C7C98"/>
    <w:rsid w:val="006D05A6"/>
    <w:rsid w:val="006D0728"/>
    <w:rsid w:val="006D0C4A"/>
    <w:rsid w:val="006D165E"/>
    <w:rsid w:val="006D23D4"/>
    <w:rsid w:val="006D2630"/>
    <w:rsid w:val="006D26A8"/>
    <w:rsid w:val="006D2917"/>
    <w:rsid w:val="006D2A0E"/>
    <w:rsid w:val="006D2F3E"/>
    <w:rsid w:val="006D3555"/>
    <w:rsid w:val="006D3A8F"/>
    <w:rsid w:val="006D4601"/>
    <w:rsid w:val="006D5309"/>
    <w:rsid w:val="006D54F2"/>
    <w:rsid w:val="006D5A21"/>
    <w:rsid w:val="006D5A54"/>
    <w:rsid w:val="006D7C9D"/>
    <w:rsid w:val="006D7CA4"/>
    <w:rsid w:val="006D7DEC"/>
    <w:rsid w:val="006E0110"/>
    <w:rsid w:val="006E08A3"/>
    <w:rsid w:val="006E0C19"/>
    <w:rsid w:val="006E1460"/>
    <w:rsid w:val="006E1471"/>
    <w:rsid w:val="006E1B92"/>
    <w:rsid w:val="006E1C1D"/>
    <w:rsid w:val="006E264B"/>
    <w:rsid w:val="006E2A69"/>
    <w:rsid w:val="006E2D88"/>
    <w:rsid w:val="006E2FD7"/>
    <w:rsid w:val="006E3108"/>
    <w:rsid w:val="006E36DC"/>
    <w:rsid w:val="006E3705"/>
    <w:rsid w:val="006E43B5"/>
    <w:rsid w:val="006E493E"/>
    <w:rsid w:val="006E4E79"/>
    <w:rsid w:val="006E52C6"/>
    <w:rsid w:val="006E52EB"/>
    <w:rsid w:val="006E5481"/>
    <w:rsid w:val="006E619E"/>
    <w:rsid w:val="006E6453"/>
    <w:rsid w:val="006E6460"/>
    <w:rsid w:val="006E6FB9"/>
    <w:rsid w:val="006E7AF5"/>
    <w:rsid w:val="006F0029"/>
    <w:rsid w:val="006F088B"/>
    <w:rsid w:val="006F0ABF"/>
    <w:rsid w:val="006F0B68"/>
    <w:rsid w:val="006F1936"/>
    <w:rsid w:val="006F1A2B"/>
    <w:rsid w:val="006F2045"/>
    <w:rsid w:val="006F2307"/>
    <w:rsid w:val="006F2A56"/>
    <w:rsid w:val="006F2C0C"/>
    <w:rsid w:val="006F2C70"/>
    <w:rsid w:val="006F304B"/>
    <w:rsid w:val="006F3234"/>
    <w:rsid w:val="006F3F32"/>
    <w:rsid w:val="006F42D9"/>
    <w:rsid w:val="006F459E"/>
    <w:rsid w:val="006F4D12"/>
    <w:rsid w:val="006F4DE2"/>
    <w:rsid w:val="006F5A30"/>
    <w:rsid w:val="006F68CE"/>
    <w:rsid w:val="006F74F4"/>
    <w:rsid w:val="006F7796"/>
    <w:rsid w:val="006F789D"/>
    <w:rsid w:val="006F7B46"/>
    <w:rsid w:val="006F7EEE"/>
    <w:rsid w:val="00700114"/>
    <w:rsid w:val="00700228"/>
    <w:rsid w:val="007003C8"/>
    <w:rsid w:val="007006F1"/>
    <w:rsid w:val="00700A4E"/>
    <w:rsid w:val="00701655"/>
    <w:rsid w:val="00701B07"/>
    <w:rsid w:val="007024BB"/>
    <w:rsid w:val="007029B0"/>
    <w:rsid w:val="00702D31"/>
    <w:rsid w:val="00703501"/>
    <w:rsid w:val="00703AE9"/>
    <w:rsid w:val="00703DAD"/>
    <w:rsid w:val="00703DFB"/>
    <w:rsid w:val="00705580"/>
    <w:rsid w:val="0070592B"/>
    <w:rsid w:val="00705A2C"/>
    <w:rsid w:val="00706325"/>
    <w:rsid w:val="007071AF"/>
    <w:rsid w:val="007071D3"/>
    <w:rsid w:val="00707523"/>
    <w:rsid w:val="007100A8"/>
    <w:rsid w:val="00710467"/>
    <w:rsid w:val="00710682"/>
    <w:rsid w:val="007109FC"/>
    <w:rsid w:val="00710B64"/>
    <w:rsid w:val="0071137C"/>
    <w:rsid w:val="007119F8"/>
    <w:rsid w:val="007121BA"/>
    <w:rsid w:val="007134F9"/>
    <w:rsid w:val="007137A5"/>
    <w:rsid w:val="00713E2B"/>
    <w:rsid w:val="00713F5E"/>
    <w:rsid w:val="00714124"/>
    <w:rsid w:val="007142F0"/>
    <w:rsid w:val="00714800"/>
    <w:rsid w:val="00714860"/>
    <w:rsid w:val="00715A77"/>
    <w:rsid w:val="00717B4B"/>
    <w:rsid w:val="00717CAC"/>
    <w:rsid w:val="0072039C"/>
    <w:rsid w:val="007203A8"/>
    <w:rsid w:val="007205D1"/>
    <w:rsid w:val="00720D6D"/>
    <w:rsid w:val="00720E39"/>
    <w:rsid w:val="00720FC1"/>
    <w:rsid w:val="00721188"/>
    <w:rsid w:val="00721F1E"/>
    <w:rsid w:val="007225B0"/>
    <w:rsid w:val="007227E8"/>
    <w:rsid w:val="00722866"/>
    <w:rsid w:val="007229E3"/>
    <w:rsid w:val="00723557"/>
    <w:rsid w:val="00723616"/>
    <w:rsid w:val="007237A7"/>
    <w:rsid w:val="00723C24"/>
    <w:rsid w:val="00724E1B"/>
    <w:rsid w:val="0072591D"/>
    <w:rsid w:val="00725927"/>
    <w:rsid w:val="00725937"/>
    <w:rsid w:val="00725E49"/>
    <w:rsid w:val="007274C8"/>
    <w:rsid w:val="00727797"/>
    <w:rsid w:val="00727EB7"/>
    <w:rsid w:val="00727F9A"/>
    <w:rsid w:val="007309CC"/>
    <w:rsid w:val="00731BD4"/>
    <w:rsid w:val="00731C05"/>
    <w:rsid w:val="00732626"/>
    <w:rsid w:val="00732D30"/>
    <w:rsid w:val="00732F27"/>
    <w:rsid w:val="007331BB"/>
    <w:rsid w:val="007338CA"/>
    <w:rsid w:val="007339E7"/>
    <w:rsid w:val="00733A04"/>
    <w:rsid w:val="00734DD7"/>
    <w:rsid w:val="00735222"/>
    <w:rsid w:val="007358BF"/>
    <w:rsid w:val="007358F0"/>
    <w:rsid w:val="00735A17"/>
    <w:rsid w:val="00735D2D"/>
    <w:rsid w:val="00735F28"/>
    <w:rsid w:val="007360E1"/>
    <w:rsid w:val="00736120"/>
    <w:rsid w:val="007362C8"/>
    <w:rsid w:val="007373AC"/>
    <w:rsid w:val="007374B1"/>
    <w:rsid w:val="00737DEE"/>
    <w:rsid w:val="00737EB5"/>
    <w:rsid w:val="007402F1"/>
    <w:rsid w:val="0074221C"/>
    <w:rsid w:val="0074295A"/>
    <w:rsid w:val="00742A3B"/>
    <w:rsid w:val="00743B08"/>
    <w:rsid w:val="00743C5A"/>
    <w:rsid w:val="00743F22"/>
    <w:rsid w:val="007440AA"/>
    <w:rsid w:val="00744282"/>
    <w:rsid w:val="00744440"/>
    <w:rsid w:val="007451C3"/>
    <w:rsid w:val="007453A2"/>
    <w:rsid w:val="00745852"/>
    <w:rsid w:val="00745941"/>
    <w:rsid w:val="007474BB"/>
    <w:rsid w:val="00747CD9"/>
    <w:rsid w:val="00747E1C"/>
    <w:rsid w:val="00747EAB"/>
    <w:rsid w:val="00750326"/>
    <w:rsid w:val="00750605"/>
    <w:rsid w:val="007506A7"/>
    <w:rsid w:val="00751E4B"/>
    <w:rsid w:val="00751F3E"/>
    <w:rsid w:val="00751FD9"/>
    <w:rsid w:val="00752037"/>
    <w:rsid w:val="00752319"/>
    <w:rsid w:val="00752C2A"/>
    <w:rsid w:val="00752C36"/>
    <w:rsid w:val="0075346C"/>
    <w:rsid w:val="00753E2E"/>
    <w:rsid w:val="007545E3"/>
    <w:rsid w:val="00754C96"/>
    <w:rsid w:val="0075570D"/>
    <w:rsid w:val="007563E5"/>
    <w:rsid w:val="00757435"/>
    <w:rsid w:val="00760062"/>
    <w:rsid w:val="007600BE"/>
    <w:rsid w:val="00760B7F"/>
    <w:rsid w:val="00760E5B"/>
    <w:rsid w:val="00761296"/>
    <w:rsid w:val="0076133C"/>
    <w:rsid w:val="0076166A"/>
    <w:rsid w:val="00761C9A"/>
    <w:rsid w:val="007624D5"/>
    <w:rsid w:val="00762B1B"/>
    <w:rsid w:val="0076341A"/>
    <w:rsid w:val="007637C0"/>
    <w:rsid w:val="007639C0"/>
    <w:rsid w:val="00763BF9"/>
    <w:rsid w:val="00764A50"/>
    <w:rsid w:val="00764CDF"/>
    <w:rsid w:val="00765B26"/>
    <w:rsid w:val="00765C16"/>
    <w:rsid w:val="00766775"/>
    <w:rsid w:val="00766A3C"/>
    <w:rsid w:val="00766D3D"/>
    <w:rsid w:val="007670C1"/>
    <w:rsid w:val="00767C13"/>
    <w:rsid w:val="00767E9D"/>
    <w:rsid w:val="007705EA"/>
    <w:rsid w:val="00770947"/>
    <w:rsid w:val="00770A2D"/>
    <w:rsid w:val="00770F8D"/>
    <w:rsid w:val="00771291"/>
    <w:rsid w:val="00771617"/>
    <w:rsid w:val="0077199C"/>
    <w:rsid w:val="00771C61"/>
    <w:rsid w:val="007736F4"/>
    <w:rsid w:val="007737A6"/>
    <w:rsid w:val="00773837"/>
    <w:rsid w:val="00774676"/>
    <w:rsid w:val="00774BFB"/>
    <w:rsid w:val="00775180"/>
    <w:rsid w:val="00775D96"/>
    <w:rsid w:val="00776291"/>
    <w:rsid w:val="007766E9"/>
    <w:rsid w:val="00777881"/>
    <w:rsid w:val="00777ADF"/>
    <w:rsid w:val="0078035D"/>
    <w:rsid w:val="00780693"/>
    <w:rsid w:val="007806D8"/>
    <w:rsid w:val="0078110D"/>
    <w:rsid w:val="0078117D"/>
    <w:rsid w:val="00782904"/>
    <w:rsid w:val="00782EEF"/>
    <w:rsid w:val="007834FB"/>
    <w:rsid w:val="007836D7"/>
    <w:rsid w:val="00784235"/>
    <w:rsid w:val="00784456"/>
    <w:rsid w:val="0078445E"/>
    <w:rsid w:val="00784DBF"/>
    <w:rsid w:val="00784E05"/>
    <w:rsid w:val="00785193"/>
    <w:rsid w:val="007856F4"/>
    <w:rsid w:val="00785E15"/>
    <w:rsid w:val="0078612A"/>
    <w:rsid w:val="00786C19"/>
    <w:rsid w:val="00787A42"/>
    <w:rsid w:val="00787D85"/>
    <w:rsid w:val="00790D28"/>
    <w:rsid w:val="00790FE4"/>
    <w:rsid w:val="007916A2"/>
    <w:rsid w:val="00791A5C"/>
    <w:rsid w:val="0079248F"/>
    <w:rsid w:val="00792F3C"/>
    <w:rsid w:val="00792FAB"/>
    <w:rsid w:val="007938C8"/>
    <w:rsid w:val="00793B25"/>
    <w:rsid w:val="00793E30"/>
    <w:rsid w:val="007941B2"/>
    <w:rsid w:val="007947B3"/>
    <w:rsid w:val="00794C06"/>
    <w:rsid w:val="00794F09"/>
    <w:rsid w:val="00795778"/>
    <w:rsid w:val="00795A92"/>
    <w:rsid w:val="0079613F"/>
    <w:rsid w:val="00796961"/>
    <w:rsid w:val="007A0FA1"/>
    <w:rsid w:val="007A1100"/>
    <w:rsid w:val="007A1161"/>
    <w:rsid w:val="007A22EF"/>
    <w:rsid w:val="007A2D43"/>
    <w:rsid w:val="007A2E3E"/>
    <w:rsid w:val="007A2F2E"/>
    <w:rsid w:val="007A307D"/>
    <w:rsid w:val="007A35D3"/>
    <w:rsid w:val="007A386D"/>
    <w:rsid w:val="007A3B3B"/>
    <w:rsid w:val="007A3C0B"/>
    <w:rsid w:val="007A4501"/>
    <w:rsid w:val="007A46F3"/>
    <w:rsid w:val="007A4A79"/>
    <w:rsid w:val="007A599D"/>
    <w:rsid w:val="007A5C4A"/>
    <w:rsid w:val="007A5CFE"/>
    <w:rsid w:val="007A62A5"/>
    <w:rsid w:val="007A639A"/>
    <w:rsid w:val="007A65CC"/>
    <w:rsid w:val="007A6677"/>
    <w:rsid w:val="007A66DB"/>
    <w:rsid w:val="007A6B67"/>
    <w:rsid w:val="007A6E40"/>
    <w:rsid w:val="007B02C8"/>
    <w:rsid w:val="007B0440"/>
    <w:rsid w:val="007B054A"/>
    <w:rsid w:val="007B0D90"/>
    <w:rsid w:val="007B0EC4"/>
    <w:rsid w:val="007B1493"/>
    <w:rsid w:val="007B1785"/>
    <w:rsid w:val="007B1CAE"/>
    <w:rsid w:val="007B250C"/>
    <w:rsid w:val="007B2610"/>
    <w:rsid w:val="007B2FC5"/>
    <w:rsid w:val="007B339B"/>
    <w:rsid w:val="007B366F"/>
    <w:rsid w:val="007B37D5"/>
    <w:rsid w:val="007B3860"/>
    <w:rsid w:val="007B431F"/>
    <w:rsid w:val="007B43D0"/>
    <w:rsid w:val="007B53CB"/>
    <w:rsid w:val="007B5985"/>
    <w:rsid w:val="007B5CB4"/>
    <w:rsid w:val="007B662A"/>
    <w:rsid w:val="007B6C17"/>
    <w:rsid w:val="007B6D20"/>
    <w:rsid w:val="007B73EB"/>
    <w:rsid w:val="007B784A"/>
    <w:rsid w:val="007B79D9"/>
    <w:rsid w:val="007B7ABC"/>
    <w:rsid w:val="007C0489"/>
    <w:rsid w:val="007C0FB6"/>
    <w:rsid w:val="007C1885"/>
    <w:rsid w:val="007C197F"/>
    <w:rsid w:val="007C1CE3"/>
    <w:rsid w:val="007C1FC7"/>
    <w:rsid w:val="007C22A0"/>
    <w:rsid w:val="007C2463"/>
    <w:rsid w:val="007C269D"/>
    <w:rsid w:val="007C2946"/>
    <w:rsid w:val="007C29A4"/>
    <w:rsid w:val="007C2FA7"/>
    <w:rsid w:val="007C374B"/>
    <w:rsid w:val="007C3947"/>
    <w:rsid w:val="007C4020"/>
    <w:rsid w:val="007C4C77"/>
    <w:rsid w:val="007C4EED"/>
    <w:rsid w:val="007C5A0F"/>
    <w:rsid w:val="007C5A25"/>
    <w:rsid w:val="007C602A"/>
    <w:rsid w:val="007C698A"/>
    <w:rsid w:val="007C73B3"/>
    <w:rsid w:val="007C7D27"/>
    <w:rsid w:val="007D046C"/>
    <w:rsid w:val="007D10BF"/>
    <w:rsid w:val="007D1243"/>
    <w:rsid w:val="007D1BC4"/>
    <w:rsid w:val="007D24D9"/>
    <w:rsid w:val="007D2543"/>
    <w:rsid w:val="007D28D8"/>
    <w:rsid w:val="007D2E67"/>
    <w:rsid w:val="007D3BCC"/>
    <w:rsid w:val="007D3D91"/>
    <w:rsid w:val="007D3F88"/>
    <w:rsid w:val="007D40FC"/>
    <w:rsid w:val="007D4123"/>
    <w:rsid w:val="007D42DC"/>
    <w:rsid w:val="007D437B"/>
    <w:rsid w:val="007D50D6"/>
    <w:rsid w:val="007D6317"/>
    <w:rsid w:val="007D66A0"/>
    <w:rsid w:val="007D6981"/>
    <w:rsid w:val="007D6FF4"/>
    <w:rsid w:val="007D7397"/>
    <w:rsid w:val="007D7418"/>
    <w:rsid w:val="007D7CD0"/>
    <w:rsid w:val="007D7E52"/>
    <w:rsid w:val="007E02D9"/>
    <w:rsid w:val="007E02F2"/>
    <w:rsid w:val="007E05C6"/>
    <w:rsid w:val="007E1026"/>
    <w:rsid w:val="007E1155"/>
    <w:rsid w:val="007E11F1"/>
    <w:rsid w:val="007E16FD"/>
    <w:rsid w:val="007E18E6"/>
    <w:rsid w:val="007E19B4"/>
    <w:rsid w:val="007E1B07"/>
    <w:rsid w:val="007E2096"/>
    <w:rsid w:val="007E20A6"/>
    <w:rsid w:val="007E2648"/>
    <w:rsid w:val="007E2906"/>
    <w:rsid w:val="007E2C3F"/>
    <w:rsid w:val="007E2D97"/>
    <w:rsid w:val="007E2F56"/>
    <w:rsid w:val="007E3234"/>
    <w:rsid w:val="007E3246"/>
    <w:rsid w:val="007E4150"/>
    <w:rsid w:val="007E4C77"/>
    <w:rsid w:val="007E5232"/>
    <w:rsid w:val="007E548B"/>
    <w:rsid w:val="007E595A"/>
    <w:rsid w:val="007E5D49"/>
    <w:rsid w:val="007E6379"/>
    <w:rsid w:val="007E671C"/>
    <w:rsid w:val="007E7172"/>
    <w:rsid w:val="007E759F"/>
    <w:rsid w:val="007E79DA"/>
    <w:rsid w:val="007E7D75"/>
    <w:rsid w:val="007F0021"/>
    <w:rsid w:val="007F0634"/>
    <w:rsid w:val="007F0A2B"/>
    <w:rsid w:val="007F0D4D"/>
    <w:rsid w:val="007F15AD"/>
    <w:rsid w:val="007F2BBD"/>
    <w:rsid w:val="007F3620"/>
    <w:rsid w:val="007F36E2"/>
    <w:rsid w:val="007F3BD8"/>
    <w:rsid w:val="007F3CE0"/>
    <w:rsid w:val="007F4102"/>
    <w:rsid w:val="007F4344"/>
    <w:rsid w:val="007F435C"/>
    <w:rsid w:val="007F476A"/>
    <w:rsid w:val="007F56C5"/>
    <w:rsid w:val="007F5BA3"/>
    <w:rsid w:val="007F6396"/>
    <w:rsid w:val="007F63FA"/>
    <w:rsid w:val="007F67D2"/>
    <w:rsid w:val="007F68DD"/>
    <w:rsid w:val="007F761B"/>
    <w:rsid w:val="007F79EF"/>
    <w:rsid w:val="007F7B65"/>
    <w:rsid w:val="0080043D"/>
    <w:rsid w:val="0080074D"/>
    <w:rsid w:val="008007E0"/>
    <w:rsid w:val="00800CC9"/>
    <w:rsid w:val="00800F1C"/>
    <w:rsid w:val="00801241"/>
    <w:rsid w:val="008019DA"/>
    <w:rsid w:val="00801BB9"/>
    <w:rsid w:val="00802626"/>
    <w:rsid w:val="008030FB"/>
    <w:rsid w:val="0080336C"/>
    <w:rsid w:val="00803919"/>
    <w:rsid w:val="00803A99"/>
    <w:rsid w:val="00803CBC"/>
    <w:rsid w:val="008040D4"/>
    <w:rsid w:val="008045E1"/>
    <w:rsid w:val="00804AD4"/>
    <w:rsid w:val="0080566B"/>
    <w:rsid w:val="00805886"/>
    <w:rsid w:val="0080614F"/>
    <w:rsid w:val="00806CF7"/>
    <w:rsid w:val="00807117"/>
    <w:rsid w:val="008077E7"/>
    <w:rsid w:val="008078B4"/>
    <w:rsid w:val="00807C6F"/>
    <w:rsid w:val="00810350"/>
    <w:rsid w:val="008104B8"/>
    <w:rsid w:val="00810855"/>
    <w:rsid w:val="00810C00"/>
    <w:rsid w:val="00810FEE"/>
    <w:rsid w:val="008110A0"/>
    <w:rsid w:val="008110E5"/>
    <w:rsid w:val="00811D26"/>
    <w:rsid w:val="008121A6"/>
    <w:rsid w:val="00812608"/>
    <w:rsid w:val="008129F8"/>
    <w:rsid w:val="00812AE8"/>
    <w:rsid w:val="00812BD1"/>
    <w:rsid w:val="0081335C"/>
    <w:rsid w:val="008139E7"/>
    <w:rsid w:val="00813B8E"/>
    <w:rsid w:val="00813C82"/>
    <w:rsid w:val="00815B3F"/>
    <w:rsid w:val="00815DBA"/>
    <w:rsid w:val="008163CE"/>
    <w:rsid w:val="00816DB6"/>
    <w:rsid w:val="00817005"/>
    <w:rsid w:val="00817078"/>
    <w:rsid w:val="008173D1"/>
    <w:rsid w:val="008175BD"/>
    <w:rsid w:val="00817ED9"/>
    <w:rsid w:val="00821092"/>
    <w:rsid w:val="0082152C"/>
    <w:rsid w:val="0082158D"/>
    <w:rsid w:val="00821726"/>
    <w:rsid w:val="0082184D"/>
    <w:rsid w:val="00821891"/>
    <w:rsid w:val="00821FA0"/>
    <w:rsid w:val="008229BA"/>
    <w:rsid w:val="00822C8A"/>
    <w:rsid w:val="008232B9"/>
    <w:rsid w:val="008243B4"/>
    <w:rsid w:val="00824F8D"/>
    <w:rsid w:val="00825424"/>
    <w:rsid w:val="00825EED"/>
    <w:rsid w:val="00827C0A"/>
    <w:rsid w:val="00827C7A"/>
    <w:rsid w:val="00827E46"/>
    <w:rsid w:val="00830206"/>
    <w:rsid w:val="00830D55"/>
    <w:rsid w:val="00831032"/>
    <w:rsid w:val="008314FC"/>
    <w:rsid w:val="00832067"/>
    <w:rsid w:val="00832279"/>
    <w:rsid w:val="00832B44"/>
    <w:rsid w:val="00833567"/>
    <w:rsid w:val="008337E4"/>
    <w:rsid w:val="00833806"/>
    <w:rsid w:val="00833895"/>
    <w:rsid w:val="00833AE8"/>
    <w:rsid w:val="00835625"/>
    <w:rsid w:val="008357A2"/>
    <w:rsid w:val="00835873"/>
    <w:rsid w:val="00835936"/>
    <w:rsid w:val="008359D1"/>
    <w:rsid w:val="0083652F"/>
    <w:rsid w:val="00836839"/>
    <w:rsid w:val="00836B3C"/>
    <w:rsid w:val="00836B9B"/>
    <w:rsid w:val="00836C6E"/>
    <w:rsid w:val="00837179"/>
    <w:rsid w:val="00837382"/>
    <w:rsid w:val="0083747B"/>
    <w:rsid w:val="00837C74"/>
    <w:rsid w:val="00837F3B"/>
    <w:rsid w:val="00840034"/>
    <w:rsid w:val="008407E4"/>
    <w:rsid w:val="00840C39"/>
    <w:rsid w:val="008418E3"/>
    <w:rsid w:val="00841944"/>
    <w:rsid w:val="00841B6E"/>
    <w:rsid w:val="008421D3"/>
    <w:rsid w:val="0084243A"/>
    <w:rsid w:val="00842478"/>
    <w:rsid w:val="0084247E"/>
    <w:rsid w:val="00842A95"/>
    <w:rsid w:val="0084336D"/>
    <w:rsid w:val="0084342A"/>
    <w:rsid w:val="0084364B"/>
    <w:rsid w:val="008439D4"/>
    <w:rsid w:val="00844459"/>
    <w:rsid w:val="008444FB"/>
    <w:rsid w:val="008448E6"/>
    <w:rsid w:val="00844C0E"/>
    <w:rsid w:val="00844D6F"/>
    <w:rsid w:val="00845233"/>
    <w:rsid w:val="008460F9"/>
    <w:rsid w:val="0084613E"/>
    <w:rsid w:val="00846621"/>
    <w:rsid w:val="0084683D"/>
    <w:rsid w:val="008469AA"/>
    <w:rsid w:val="00846E96"/>
    <w:rsid w:val="00846EAA"/>
    <w:rsid w:val="0084739E"/>
    <w:rsid w:val="008474F8"/>
    <w:rsid w:val="0084752F"/>
    <w:rsid w:val="00847B62"/>
    <w:rsid w:val="00847C5A"/>
    <w:rsid w:val="00850A90"/>
    <w:rsid w:val="00850C9C"/>
    <w:rsid w:val="00850EDF"/>
    <w:rsid w:val="00851BD1"/>
    <w:rsid w:val="00851ECC"/>
    <w:rsid w:val="00851EFA"/>
    <w:rsid w:val="00852288"/>
    <w:rsid w:val="00852B1D"/>
    <w:rsid w:val="00853062"/>
    <w:rsid w:val="00853A75"/>
    <w:rsid w:val="008544CC"/>
    <w:rsid w:val="008544FC"/>
    <w:rsid w:val="0085452E"/>
    <w:rsid w:val="00854629"/>
    <w:rsid w:val="00854C9F"/>
    <w:rsid w:val="0085519E"/>
    <w:rsid w:val="00855529"/>
    <w:rsid w:val="00855913"/>
    <w:rsid w:val="00855E19"/>
    <w:rsid w:val="00855E24"/>
    <w:rsid w:val="00855F47"/>
    <w:rsid w:val="00856615"/>
    <w:rsid w:val="008569E9"/>
    <w:rsid w:val="00856B2E"/>
    <w:rsid w:val="00857164"/>
    <w:rsid w:val="00857574"/>
    <w:rsid w:val="008577A6"/>
    <w:rsid w:val="00857B71"/>
    <w:rsid w:val="00857E14"/>
    <w:rsid w:val="0086048D"/>
    <w:rsid w:val="00860952"/>
    <w:rsid w:val="00861D72"/>
    <w:rsid w:val="008621CC"/>
    <w:rsid w:val="0086230D"/>
    <w:rsid w:val="00862946"/>
    <w:rsid w:val="00862B11"/>
    <w:rsid w:val="00862C42"/>
    <w:rsid w:val="00863264"/>
    <w:rsid w:val="00864235"/>
    <w:rsid w:val="008648EA"/>
    <w:rsid w:val="008654B5"/>
    <w:rsid w:val="00865AB6"/>
    <w:rsid w:val="008662C5"/>
    <w:rsid w:val="00866615"/>
    <w:rsid w:val="00866E3E"/>
    <w:rsid w:val="00867617"/>
    <w:rsid w:val="00867CEC"/>
    <w:rsid w:val="00867E41"/>
    <w:rsid w:val="00867E7A"/>
    <w:rsid w:val="008704A1"/>
    <w:rsid w:val="00870952"/>
    <w:rsid w:val="0087150F"/>
    <w:rsid w:val="00871566"/>
    <w:rsid w:val="008721E9"/>
    <w:rsid w:val="008724DB"/>
    <w:rsid w:val="0087260B"/>
    <w:rsid w:val="00872719"/>
    <w:rsid w:val="008727D8"/>
    <w:rsid w:val="00872C64"/>
    <w:rsid w:val="00872C6D"/>
    <w:rsid w:val="00872E3D"/>
    <w:rsid w:val="00872EB8"/>
    <w:rsid w:val="008731D1"/>
    <w:rsid w:val="00873849"/>
    <w:rsid w:val="00873E35"/>
    <w:rsid w:val="00874409"/>
    <w:rsid w:val="0087472E"/>
    <w:rsid w:val="00874B8A"/>
    <w:rsid w:val="00874EAC"/>
    <w:rsid w:val="00875730"/>
    <w:rsid w:val="00875BFF"/>
    <w:rsid w:val="00875D4E"/>
    <w:rsid w:val="008767DE"/>
    <w:rsid w:val="00876CC1"/>
    <w:rsid w:val="00877264"/>
    <w:rsid w:val="008772A2"/>
    <w:rsid w:val="00877D5D"/>
    <w:rsid w:val="0088014E"/>
    <w:rsid w:val="008807D2"/>
    <w:rsid w:val="00880BEC"/>
    <w:rsid w:val="00881AEC"/>
    <w:rsid w:val="00881C70"/>
    <w:rsid w:val="00882647"/>
    <w:rsid w:val="00882755"/>
    <w:rsid w:val="008834D1"/>
    <w:rsid w:val="00884779"/>
    <w:rsid w:val="00884798"/>
    <w:rsid w:val="008849D0"/>
    <w:rsid w:val="00884FF7"/>
    <w:rsid w:val="0088669D"/>
    <w:rsid w:val="00886EE9"/>
    <w:rsid w:val="008870F4"/>
    <w:rsid w:val="00887C6C"/>
    <w:rsid w:val="0089025A"/>
    <w:rsid w:val="00890914"/>
    <w:rsid w:val="00890A91"/>
    <w:rsid w:val="0089164D"/>
    <w:rsid w:val="00891953"/>
    <w:rsid w:val="00891BA7"/>
    <w:rsid w:val="008925D4"/>
    <w:rsid w:val="00892682"/>
    <w:rsid w:val="008927A0"/>
    <w:rsid w:val="00894301"/>
    <w:rsid w:val="008947E0"/>
    <w:rsid w:val="00894ED2"/>
    <w:rsid w:val="00895429"/>
    <w:rsid w:val="00895E7C"/>
    <w:rsid w:val="0089629B"/>
    <w:rsid w:val="008964E1"/>
    <w:rsid w:val="008964E6"/>
    <w:rsid w:val="0089655F"/>
    <w:rsid w:val="00896AEE"/>
    <w:rsid w:val="00896F10"/>
    <w:rsid w:val="008970D2"/>
    <w:rsid w:val="00897396"/>
    <w:rsid w:val="00897655"/>
    <w:rsid w:val="00897A85"/>
    <w:rsid w:val="00897E02"/>
    <w:rsid w:val="00897EC0"/>
    <w:rsid w:val="00897FD5"/>
    <w:rsid w:val="008A0684"/>
    <w:rsid w:val="008A06AA"/>
    <w:rsid w:val="008A0723"/>
    <w:rsid w:val="008A080C"/>
    <w:rsid w:val="008A08EC"/>
    <w:rsid w:val="008A1650"/>
    <w:rsid w:val="008A1669"/>
    <w:rsid w:val="008A17A2"/>
    <w:rsid w:val="008A1BE2"/>
    <w:rsid w:val="008A219B"/>
    <w:rsid w:val="008A27EC"/>
    <w:rsid w:val="008A28A5"/>
    <w:rsid w:val="008A2F3A"/>
    <w:rsid w:val="008A34BE"/>
    <w:rsid w:val="008A37B1"/>
    <w:rsid w:val="008A4D07"/>
    <w:rsid w:val="008A4EED"/>
    <w:rsid w:val="008A50F7"/>
    <w:rsid w:val="008A58DC"/>
    <w:rsid w:val="008A594A"/>
    <w:rsid w:val="008A5D91"/>
    <w:rsid w:val="008A70B5"/>
    <w:rsid w:val="008A712F"/>
    <w:rsid w:val="008A7AF9"/>
    <w:rsid w:val="008B0006"/>
    <w:rsid w:val="008B01BE"/>
    <w:rsid w:val="008B044F"/>
    <w:rsid w:val="008B0673"/>
    <w:rsid w:val="008B087C"/>
    <w:rsid w:val="008B094A"/>
    <w:rsid w:val="008B25E8"/>
    <w:rsid w:val="008B3641"/>
    <w:rsid w:val="008B3A40"/>
    <w:rsid w:val="008B3E02"/>
    <w:rsid w:val="008B434E"/>
    <w:rsid w:val="008B46F2"/>
    <w:rsid w:val="008B519D"/>
    <w:rsid w:val="008B5344"/>
    <w:rsid w:val="008B5381"/>
    <w:rsid w:val="008B5C28"/>
    <w:rsid w:val="008B5F04"/>
    <w:rsid w:val="008B677D"/>
    <w:rsid w:val="008B6899"/>
    <w:rsid w:val="008B6DD7"/>
    <w:rsid w:val="008B72DB"/>
    <w:rsid w:val="008B7CB5"/>
    <w:rsid w:val="008C0534"/>
    <w:rsid w:val="008C05AE"/>
    <w:rsid w:val="008C0793"/>
    <w:rsid w:val="008C0C6C"/>
    <w:rsid w:val="008C15D1"/>
    <w:rsid w:val="008C1730"/>
    <w:rsid w:val="008C182F"/>
    <w:rsid w:val="008C1FA1"/>
    <w:rsid w:val="008C24BB"/>
    <w:rsid w:val="008C27F9"/>
    <w:rsid w:val="008C2955"/>
    <w:rsid w:val="008C2D5B"/>
    <w:rsid w:val="008C338E"/>
    <w:rsid w:val="008C357A"/>
    <w:rsid w:val="008C3F3A"/>
    <w:rsid w:val="008C41B1"/>
    <w:rsid w:val="008C4285"/>
    <w:rsid w:val="008C47CA"/>
    <w:rsid w:val="008C4AD7"/>
    <w:rsid w:val="008C4BA0"/>
    <w:rsid w:val="008C4E4D"/>
    <w:rsid w:val="008C5580"/>
    <w:rsid w:val="008C582E"/>
    <w:rsid w:val="008C6478"/>
    <w:rsid w:val="008C6DBB"/>
    <w:rsid w:val="008C6F1D"/>
    <w:rsid w:val="008C7996"/>
    <w:rsid w:val="008C7AB2"/>
    <w:rsid w:val="008C7D00"/>
    <w:rsid w:val="008D0212"/>
    <w:rsid w:val="008D02D6"/>
    <w:rsid w:val="008D0636"/>
    <w:rsid w:val="008D0EA8"/>
    <w:rsid w:val="008D21BA"/>
    <w:rsid w:val="008D2593"/>
    <w:rsid w:val="008D356F"/>
    <w:rsid w:val="008D3D67"/>
    <w:rsid w:val="008D3FB5"/>
    <w:rsid w:val="008D408E"/>
    <w:rsid w:val="008D4330"/>
    <w:rsid w:val="008D49FA"/>
    <w:rsid w:val="008D4CB3"/>
    <w:rsid w:val="008D4DCA"/>
    <w:rsid w:val="008D50DD"/>
    <w:rsid w:val="008D54B3"/>
    <w:rsid w:val="008D5590"/>
    <w:rsid w:val="008D5B8D"/>
    <w:rsid w:val="008D6346"/>
    <w:rsid w:val="008D646A"/>
    <w:rsid w:val="008D7885"/>
    <w:rsid w:val="008D7EC2"/>
    <w:rsid w:val="008E010B"/>
    <w:rsid w:val="008E0EC6"/>
    <w:rsid w:val="008E1B9A"/>
    <w:rsid w:val="008E1C62"/>
    <w:rsid w:val="008E1F40"/>
    <w:rsid w:val="008E2B7D"/>
    <w:rsid w:val="008E4819"/>
    <w:rsid w:val="008E4F4D"/>
    <w:rsid w:val="008E53C9"/>
    <w:rsid w:val="008E5422"/>
    <w:rsid w:val="008E5C0E"/>
    <w:rsid w:val="008E5C3B"/>
    <w:rsid w:val="008E5DD1"/>
    <w:rsid w:val="008E643E"/>
    <w:rsid w:val="008E691D"/>
    <w:rsid w:val="008E6BF5"/>
    <w:rsid w:val="008E6CD4"/>
    <w:rsid w:val="008E6D28"/>
    <w:rsid w:val="008E7710"/>
    <w:rsid w:val="008F00B7"/>
    <w:rsid w:val="008F032C"/>
    <w:rsid w:val="008F0597"/>
    <w:rsid w:val="008F118A"/>
    <w:rsid w:val="008F1209"/>
    <w:rsid w:val="008F1894"/>
    <w:rsid w:val="008F196B"/>
    <w:rsid w:val="008F19B0"/>
    <w:rsid w:val="008F1A7A"/>
    <w:rsid w:val="008F1E49"/>
    <w:rsid w:val="008F20DB"/>
    <w:rsid w:val="008F3324"/>
    <w:rsid w:val="008F3FFA"/>
    <w:rsid w:val="008F4BC9"/>
    <w:rsid w:val="008F4E08"/>
    <w:rsid w:val="008F502F"/>
    <w:rsid w:val="008F50C5"/>
    <w:rsid w:val="008F66CE"/>
    <w:rsid w:val="008F6C3B"/>
    <w:rsid w:val="008F7067"/>
    <w:rsid w:val="008F7567"/>
    <w:rsid w:val="008F75A0"/>
    <w:rsid w:val="008F79DC"/>
    <w:rsid w:val="008F7E93"/>
    <w:rsid w:val="00900648"/>
    <w:rsid w:val="00901292"/>
    <w:rsid w:val="00901DBF"/>
    <w:rsid w:val="0090219C"/>
    <w:rsid w:val="00902808"/>
    <w:rsid w:val="00902F47"/>
    <w:rsid w:val="00902FA2"/>
    <w:rsid w:val="00903640"/>
    <w:rsid w:val="00903931"/>
    <w:rsid w:val="00903FBF"/>
    <w:rsid w:val="0090458F"/>
    <w:rsid w:val="0090467E"/>
    <w:rsid w:val="00904A8F"/>
    <w:rsid w:val="009054AE"/>
    <w:rsid w:val="009065AB"/>
    <w:rsid w:val="00907B86"/>
    <w:rsid w:val="00907B94"/>
    <w:rsid w:val="0091088D"/>
    <w:rsid w:val="009108ED"/>
    <w:rsid w:val="009114A8"/>
    <w:rsid w:val="00911C9F"/>
    <w:rsid w:val="00911E06"/>
    <w:rsid w:val="0091275E"/>
    <w:rsid w:val="00912BE1"/>
    <w:rsid w:val="00912DCA"/>
    <w:rsid w:val="00912E48"/>
    <w:rsid w:val="00912F49"/>
    <w:rsid w:val="00912F75"/>
    <w:rsid w:val="009131D4"/>
    <w:rsid w:val="009135E0"/>
    <w:rsid w:val="00913FB5"/>
    <w:rsid w:val="0091443A"/>
    <w:rsid w:val="00914494"/>
    <w:rsid w:val="009145A2"/>
    <w:rsid w:val="009148F2"/>
    <w:rsid w:val="00914A3A"/>
    <w:rsid w:val="009153F8"/>
    <w:rsid w:val="00916730"/>
    <w:rsid w:val="00916E02"/>
    <w:rsid w:val="009170F0"/>
    <w:rsid w:val="0091729D"/>
    <w:rsid w:val="00917481"/>
    <w:rsid w:val="00920A71"/>
    <w:rsid w:val="00920F4A"/>
    <w:rsid w:val="00921D71"/>
    <w:rsid w:val="009225A8"/>
    <w:rsid w:val="009230E4"/>
    <w:rsid w:val="00924635"/>
    <w:rsid w:val="0092463A"/>
    <w:rsid w:val="0092508B"/>
    <w:rsid w:val="00925219"/>
    <w:rsid w:val="0092569A"/>
    <w:rsid w:val="00925852"/>
    <w:rsid w:val="009258B1"/>
    <w:rsid w:val="00925CBB"/>
    <w:rsid w:val="009265E6"/>
    <w:rsid w:val="0092722D"/>
    <w:rsid w:val="009272AC"/>
    <w:rsid w:val="009276AC"/>
    <w:rsid w:val="009276B0"/>
    <w:rsid w:val="009279C2"/>
    <w:rsid w:val="00930299"/>
    <w:rsid w:val="00931438"/>
    <w:rsid w:val="00931A50"/>
    <w:rsid w:val="0093235C"/>
    <w:rsid w:val="0093361B"/>
    <w:rsid w:val="00933D0B"/>
    <w:rsid w:val="00934405"/>
    <w:rsid w:val="00934862"/>
    <w:rsid w:val="00934CC2"/>
    <w:rsid w:val="009355AB"/>
    <w:rsid w:val="009358DC"/>
    <w:rsid w:val="00935EDE"/>
    <w:rsid w:val="00936768"/>
    <w:rsid w:val="009368E0"/>
    <w:rsid w:val="009379A4"/>
    <w:rsid w:val="009405CF"/>
    <w:rsid w:val="00940F81"/>
    <w:rsid w:val="009413B3"/>
    <w:rsid w:val="00941434"/>
    <w:rsid w:val="009427C5"/>
    <w:rsid w:val="009428A2"/>
    <w:rsid w:val="00942C47"/>
    <w:rsid w:val="00943149"/>
    <w:rsid w:val="00943540"/>
    <w:rsid w:val="0094360E"/>
    <w:rsid w:val="00943CC1"/>
    <w:rsid w:val="00944BD1"/>
    <w:rsid w:val="00944C7F"/>
    <w:rsid w:val="00944F00"/>
    <w:rsid w:val="00944F99"/>
    <w:rsid w:val="0094542B"/>
    <w:rsid w:val="009457EE"/>
    <w:rsid w:val="0094583B"/>
    <w:rsid w:val="00946336"/>
    <w:rsid w:val="009466D9"/>
    <w:rsid w:val="00946E72"/>
    <w:rsid w:val="00947272"/>
    <w:rsid w:val="009475CD"/>
    <w:rsid w:val="0094761F"/>
    <w:rsid w:val="009478E6"/>
    <w:rsid w:val="00947D55"/>
    <w:rsid w:val="009501EF"/>
    <w:rsid w:val="009502ED"/>
    <w:rsid w:val="009506E5"/>
    <w:rsid w:val="00950A96"/>
    <w:rsid w:val="009510C2"/>
    <w:rsid w:val="0095153A"/>
    <w:rsid w:val="009515DC"/>
    <w:rsid w:val="0095164B"/>
    <w:rsid w:val="0095166F"/>
    <w:rsid w:val="009517FE"/>
    <w:rsid w:val="0095280D"/>
    <w:rsid w:val="00952C7A"/>
    <w:rsid w:val="00952DB5"/>
    <w:rsid w:val="00952E3E"/>
    <w:rsid w:val="009532D9"/>
    <w:rsid w:val="00953D32"/>
    <w:rsid w:val="009555D4"/>
    <w:rsid w:val="009566F5"/>
    <w:rsid w:val="00956942"/>
    <w:rsid w:val="009569F0"/>
    <w:rsid w:val="009619F4"/>
    <w:rsid w:val="00961B47"/>
    <w:rsid w:val="00961B83"/>
    <w:rsid w:val="00961D77"/>
    <w:rsid w:val="00961E8D"/>
    <w:rsid w:val="00962D0A"/>
    <w:rsid w:val="00962DA3"/>
    <w:rsid w:val="00962DC3"/>
    <w:rsid w:val="009631F0"/>
    <w:rsid w:val="00963A2C"/>
    <w:rsid w:val="00963FFB"/>
    <w:rsid w:val="009649D2"/>
    <w:rsid w:val="00964E9A"/>
    <w:rsid w:val="009658A8"/>
    <w:rsid w:val="00965D43"/>
    <w:rsid w:val="00965D4A"/>
    <w:rsid w:val="00965D5A"/>
    <w:rsid w:val="00965FA4"/>
    <w:rsid w:val="0096621A"/>
    <w:rsid w:val="009662AF"/>
    <w:rsid w:val="00966397"/>
    <w:rsid w:val="00966617"/>
    <w:rsid w:val="00966CE3"/>
    <w:rsid w:val="00967341"/>
    <w:rsid w:val="00967F36"/>
    <w:rsid w:val="0097008E"/>
    <w:rsid w:val="009704C8"/>
    <w:rsid w:val="00970F53"/>
    <w:rsid w:val="00970F69"/>
    <w:rsid w:val="009715A5"/>
    <w:rsid w:val="00971634"/>
    <w:rsid w:val="0097163F"/>
    <w:rsid w:val="00971653"/>
    <w:rsid w:val="00971771"/>
    <w:rsid w:val="009718EB"/>
    <w:rsid w:val="00971A22"/>
    <w:rsid w:val="0097222A"/>
    <w:rsid w:val="00972611"/>
    <w:rsid w:val="00972B25"/>
    <w:rsid w:val="00972B3D"/>
    <w:rsid w:val="0097311B"/>
    <w:rsid w:val="009736E5"/>
    <w:rsid w:val="00973FDF"/>
    <w:rsid w:val="00974239"/>
    <w:rsid w:val="00974290"/>
    <w:rsid w:val="009745F3"/>
    <w:rsid w:val="00974EB6"/>
    <w:rsid w:val="009750C7"/>
    <w:rsid w:val="0097570D"/>
    <w:rsid w:val="00976178"/>
    <w:rsid w:val="00976290"/>
    <w:rsid w:val="00977659"/>
    <w:rsid w:val="0098024A"/>
    <w:rsid w:val="009805C2"/>
    <w:rsid w:val="00980A07"/>
    <w:rsid w:val="00980BBE"/>
    <w:rsid w:val="00980C91"/>
    <w:rsid w:val="0098117D"/>
    <w:rsid w:val="009830C4"/>
    <w:rsid w:val="009839D1"/>
    <w:rsid w:val="00984ED5"/>
    <w:rsid w:val="009855F8"/>
    <w:rsid w:val="00985BA6"/>
    <w:rsid w:val="00985D3D"/>
    <w:rsid w:val="0098636D"/>
    <w:rsid w:val="00986519"/>
    <w:rsid w:val="0098748D"/>
    <w:rsid w:val="0098761A"/>
    <w:rsid w:val="00987F97"/>
    <w:rsid w:val="009906A7"/>
    <w:rsid w:val="00991120"/>
    <w:rsid w:val="009911DE"/>
    <w:rsid w:val="0099170A"/>
    <w:rsid w:val="009925BA"/>
    <w:rsid w:val="009926EB"/>
    <w:rsid w:val="0099403A"/>
    <w:rsid w:val="00994099"/>
    <w:rsid w:val="0099433A"/>
    <w:rsid w:val="009947DE"/>
    <w:rsid w:val="00994F53"/>
    <w:rsid w:val="0099592A"/>
    <w:rsid w:val="00995CB3"/>
    <w:rsid w:val="00995D93"/>
    <w:rsid w:val="00996CCD"/>
    <w:rsid w:val="00997102"/>
    <w:rsid w:val="00997271"/>
    <w:rsid w:val="00997ECA"/>
    <w:rsid w:val="009A0631"/>
    <w:rsid w:val="009A06D8"/>
    <w:rsid w:val="009A0A7A"/>
    <w:rsid w:val="009A14D3"/>
    <w:rsid w:val="009A1CF9"/>
    <w:rsid w:val="009A25B9"/>
    <w:rsid w:val="009A2AA9"/>
    <w:rsid w:val="009A2D84"/>
    <w:rsid w:val="009A3296"/>
    <w:rsid w:val="009A351B"/>
    <w:rsid w:val="009A3B4E"/>
    <w:rsid w:val="009A5792"/>
    <w:rsid w:val="009A582A"/>
    <w:rsid w:val="009A6679"/>
    <w:rsid w:val="009A7368"/>
    <w:rsid w:val="009A7636"/>
    <w:rsid w:val="009A7B8A"/>
    <w:rsid w:val="009B090E"/>
    <w:rsid w:val="009B0A96"/>
    <w:rsid w:val="009B0ED2"/>
    <w:rsid w:val="009B113B"/>
    <w:rsid w:val="009B127E"/>
    <w:rsid w:val="009B1B5E"/>
    <w:rsid w:val="009B1FA6"/>
    <w:rsid w:val="009B27EB"/>
    <w:rsid w:val="009B2E17"/>
    <w:rsid w:val="009B2F2F"/>
    <w:rsid w:val="009B3222"/>
    <w:rsid w:val="009B401C"/>
    <w:rsid w:val="009B54C5"/>
    <w:rsid w:val="009B5D4F"/>
    <w:rsid w:val="009B61CF"/>
    <w:rsid w:val="009B61FF"/>
    <w:rsid w:val="009B69E9"/>
    <w:rsid w:val="009B6C0C"/>
    <w:rsid w:val="009B7448"/>
    <w:rsid w:val="009B7839"/>
    <w:rsid w:val="009B7C99"/>
    <w:rsid w:val="009B7E1A"/>
    <w:rsid w:val="009C0162"/>
    <w:rsid w:val="009C05FF"/>
    <w:rsid w:val="009C08EC"/>
    <w:rsid w:val="009C0D95"/>
    <w:rsid w:val="009C0F3C"/>
    <w:rsid w:val="009C14D7"/>
    <w:rsid w:val="009C1B34"/>
    <w:rsid w:val="009C1C59"/>
    <w:rsid w:val="009C1D0A"/>
    <w:rsid w:val="009C2CAF"/>
    <w:rsid w:val="009C2E74"/>
    <w:rsid w:val="009C2ED3"/>
    <w:rsid w:val="009C2F43"/>
    <w:rsid w:val="009C3306"/>
    <w:rsid w:val="009C345F"/>
    <w:rsid w:val="009C35BF"/>
    <w:rsid w:val="009C3972"/>
    <w:rsid w:val="009C3A27"/>
    <w:rsid w:val="009C3AE8"/>
    <w:rsid w:val="009C3D97"/>
    <w:rsid w:val="009C3ECD"/>
    <w:rsid w:val="009C40EF"/>
    <w:rsid w:val="009C4133"/>
    <w:rsid w:val="009C4A1E"/>
    <w:rsid w:val="009C4F77"/>
    <w:rsid w:val="009C5342"/>
    <w:rsid w:val="009C58AD"/>
    <w:rsid w:val="009C630D"/>
    <w:rsid w:val="009C68C3"/>
    <w:rsid w:val="009C6C6A"/>
    <w:rsid w:val="009C773E"/>
    <w:rsid w:val="009C77C7"/>
    <w:rsid w:val="009D053A"/>
    <w:rsid w:val="009D0A60"/>
    <w:rsid w:val="009D0CF4"/>
    <w:rsid w:val="009D0DFF"/>
    <w:rsid w:val="009D1680"/>
    <w:rsid w:val="009D27CD"/>
    <w:rsid w:val="009D2A46"/>
    <w:rsid w:val="009D3F49"/>
    <w:rsid w:val="009D4114"/>
    <w:rsid w:val="009D4493"/>
    <w:rsid w:val="009D48C2"/>
    <w:rsid w:val="009D4939"/>
    <w:rsid w:val="009D5702"/>
    <w:rsid w:val="009D58F7"/>
    <w:rsid w:val="009D5B5D"/>
    <w:rsid w:val="009D634F"/>
    <w:rsid w:val="009D66FC"/>
    <w:rsid w:val="009D6939"/>
    <w:rsid w:val="009D702D"/>
    <w:rsid w:val="009D7188"/>
    <w:rsid w:val="009D745C"/>
    <w:rsid w:val="009D74C3"/>
    <w:rsid w:val="009D7F87"/>
    <w:rsid w:val="009E0536"/>
    <w:rsid w:val="009E0FEE"/>
    <w:rsid w:val="009E1D74"/>
    <w:rsid w:val="009E2AA6"/>
    <w:rsid w:val="009E2B80"/>
    <w:rsid w:val="009E2E5F"/>
    <w:rsid w:val="009E3509"/>
    <w:rsid w:val="009E3667"/>
    <w:rsid w:val="009E3737"/>
    <w:rsid w:val="009E3E6C"/>
    <w:rsid w:val="009E40B8"/>
    <w:rsid w:val="009E4395"/>
    <w:rsid w:val="009E4677"/>
    <w:rsid w:val="009E4BB4"/>
    <w:rsid w:val="009E4CC2"/>
    <w:rsid w:val="009E4F6B"/>
    <w:rsid w:val="009E53C7"/>
    <w:rsid w:val="009E5769"/>
    <w:rsid w:val="009E5912"/>
    <w:rsid w:val="009E5A07"/>
    <w:rsid w:val="009E5D14"/>
    <w:rsid w:val="009E5DAD"/>
    <w:rsid w:val="009E5E40"/>
    <w:rsid w:val="009E6BCF"/>
    <w:rsid w:val="009E6D71"/>
    <w:rsid w:val="009E70E9"/>
    <w:rsid w:val="009E715A"/>
    <w:rsid w:val="009E7558"/>
    <w:rsid w:val="009F0176"/>
    <w:rsid w:val="009F0D13"/>
    <w:rsid w:val="009F1227"/>
    <w:rsid w:val="009F1482"/>
    <w:rsid w:val="009F22EF"/>
    <w:rsid w:val="009F27FD"/>
    <w:rsid w:val="009F2E38"/>
    <w:rsid w:val="009F3DBE"/>
    <w:rsid w:val="009F442A"/>
    <w:rsid w:val="009F48F4"/>
    <w:rsid w:val="009F4DB1"/>
    <w:rsid w:val="009F50D0"/>
    <w:rsid w:val="009F54DC"/>
    <w:rsid w:val="009F5558"/>
    <w:rsid w:val="009F5D43"/>
    <w:rsid w:val="009F5E45"/>
    <w:rsid w:val="009F5F70"/>
    <w:rsid w:val="009F5FA7"/>
    <w:rsid w:val="009F62E3"/>
    <w:rsid w:val="009F6A69"/>
    <w:rsid w:val="009F7079"/>
    <w:rsid w:val="009F7391"/>
    <w:rsid w:val="009F744E"/>
    <w:rsid w:val="009F7547"/>
    <w:rsid w:val="009F757C"/>
    <w:rsid w:val="00A002F2"/>
    <w:rsid w:val="00A00330"/>
    <w:rsid w:val="00A007EF"/>
    <w:rsid w:val="00A01524"/>
    <w:rsid w:val="00A01E72"/>
    <w:rsid w:val="00A01FF6"/>
    <w:rsid w:val="00A02A86"/>
    <w:rsid w:val="00A02CBE"/>
    <w:rsid w:val="00A030A4"/>
    <w:rsid w:val="00A03529"/>
    <w:rsid w:val="00A039B2"/>
    <w:rsid w:val="00A03CB0"/>
    <w:rsid w:val="00A03D8A"/>
    <w:rsid w:val="00A04403"/>
    <w:rsid w:val="00A04A3C"/>
    <w:rsid w:val="00A04AD1"/>
    <w:rsid w:val="00A04EF6"/>
    <w:rsid w:val="00A05D10"/>
    <w:rsid w:val="00A05EE9"/>
    <w:rsid w:val="00A05F4D"/>
    <w:rsid w:val="00A063AB"/>
    <w:rsid w:val="00A06445"/>
    <w:rsid w:val="00A06510"/>
    <w:rsid w:val="00A06521"/>
    <w:rsid w:val="00A06784"/>
    <w:rsid w:val="00A06D53"/>
    <w:rsid w:val="00A06DCA"/>
    <w:rsid w:val="00A07567"/>
    <w:rsid w:val="00A10B5B"/>
    <w:rsid w:val="00A1106B"/>
    <w:rsid w:val="00A11730"/>
    <w:rsid w:val="00A11A41"/>
    <w:rsid w:val="00A11E0D"/>
    <w:rsid w:val="00A12280"/>
    <w:rsid w:val="00A12552"/>
    <w:rsid w:val="00A127CE"/>
    <w:rsid w:val="00A1284E"/>
    <w:rsid w:val="00A12FCE"/>
    <w:rsid w:val="00A1414D"/>
    <w:rsid w:val="00A1445B"/>
    <w:rsid w:val="00A14781"/>
    <w:rsid w:val="00A14E35"/>
    <w:rsid w:val="00A15471"/>
    <w:rsid w:val="00A155FB"/>
    <w:rsid w:val="00A159D6"/>
    <w:rsid w:val="00A16335"/>
    <w:rsid w:val="00A163F8"/>
    <w:rsid w:val="00A174ED"/>
    <w:rsid w:val="00A20317"/>
    <w:rsid w:val="00A2036A"/>
    <w:rsid w:val="00A205DC"/>
    <w:rsid w:val="00A2128A"/>
    <w:rsid w:val="00A215A3"/>
    <w:rsid w:val="00A2195D"/>
    <w:rsid w:val="00A21BC5"/>
    <w:rsid w:val="00A22950"/>
    <w:rsid w:val="00A23669"/>
    <w:rsid w:val="00A23FAE"/>
    <w:rsid w:val="00A24894"/>
    <w:rsid w:val="00A24DFB"/>
    <w:rsid w:val="00A24F08"/>
    <w:rsid w:val="00A25271"/>
    <w:rsid w:val="00A25755"/>
    <w:rsid w:val="00A25EB5"/>
    <w:rsid w:val="00A26462"/>
    <w:rsid w:val="00A2677A"/>
    <w:rsid w:val="00A26ABF"/>
    <w:rsid w:val="00A273DB"/>
    <w:rsid w:val="00A278ED"/>
    <w:rsid w:val="00A3035A"/>
    <w:rsid w:val="00A30FA6"/>
    <w:rsid w:val="00A3129F"/>
    <w:rsid w:val="00A32863"/>
    <w:rsid w:val="00A32C87"/>
    <w:rsid w:val="00A332B8"/>
    <w:rsid w:val="00A3365F"/>
    <w:rsid w:val="00A33EEE"/>
    <w:rsid w:val="00A33F7E"/>
    <w:rsid w:val="00A3494E"/>
    <w:rsid w:val="00A34BC3"/>
    <w:rsid w:val="00A357D6"/>
    <w:rsid w:val="00A35CC6"/>
    <w:rsid w:val="00A361FD"/>
    <w:rsid w:val="00A363F5"/>
    <w:rsid w:val="00A3641F"/>
    <w:rsid w:val="00A3695A"/>
    <w:rsid w:val="00A36A62"/>
    <w:rsid w:val="00A371DD"/>
    <w:rsid w:val="00A372E4"/>
    <w:rsid w:val="00A4040A"/>
    <w:rsid w:val="00A40D1F"/>
    <w:rsid w:val="00A42358"/>
    <w:rsid w:val="00A436C3"/>
    <w:rsid w:val="00A44199"/>
    <w:rsid w:val="00A44C36"/>
    <w:rsid w:val="00A44DC4"/>
    <w:rsid w:val="00A44F13"/>
    <w:rsid w:val="00A45205"/>
    <w:rsid w:val="00A4525C"/>
    <w:rsid w:val="00A452C6"/>
    <w:rsid w:val="00A45390"/>
    <w:rsid w:val="00A454CC"/>
    <w:rsid w:val="00A4581D"/>
    <w:rsid w:val="00A45E9F"/>
    <w:rsid w:val="00A46131"/>
    <w:rsid w:val="00A46FE8"/>
    <w:rsid w:val="00A47909"/>
    <w:rsid w:val="00A47E71"/>
    <w:rsid w:val="00A47E9A"/>
    <w:rsid w:val="00A47ECF"/>
    <w:rsid w:val="00A50161"/>
    <w:rsid w:val="00A50490"/>
    <w:rsid w:val="00A50EEC"/>
    <w:rsid w:val="00A51534"/>
    <w:rsid w:val="00A516E3"/>
    <w:rsid w:val="00A51C11"/>
    <w:rsid w:val="00A51E45"/>
    <w:rsid w:val="00A52C5F"/>
    <w:rsid w:val="00A535C6"/>
    <w:rsid w:val="00A53742"/>
    <w:rsid w:val="00A53A8A"/>
    <w:rsid w:val="00A5402E"/>
    <w:rsid w:val="00A5477C"/>
    <w:rsid w:val="00A548D8"/>
    <w:rsid w:val="00A54D09"/>
    <w:rsid w:val="00A54D3D"/>
    <w:rsid w:val="00A54FAE"/>
    <w:rsid w:val="00A551D6"/>
    <w:rsid w:val="00A55BD9"/>
    <w:rsid w:val="00A55E63"/>
    <w:rsid w:val="00A56571"/>
    <w:rsid w:val="00A56E7D"/>
    <w:rsid w:val="00A57546"/>
    <w:rsid w:val="00A57A42"/>
    <w:rsid w:val="00A60263"/>
    <w:rsid w:val="00A60680"/>
    <w:rsid w:val="00A60807"/>
    <w:rsid w:val="00A60C6B"/>
    <w:rsid w:val="00A61A85"/>
    <w:rsid w:val="00A62381"/>
    <w:rsid w:val="00A625B6"/>
    <w:rsid w:val="00A62779"/>
    <w:rsid w:val="00A62E98"/>
    <w:rsid w:val="00A6344E"/>
    <w:rsid w:val="00A63FBB"/>
    <w:rsid w:val="00A64286"/>
    <w:rsid w:val="00A6502F"/>
    <w:rsid w:val="00A65386"/>
    <w:rsid w:val="00A653E1"/>
    <w:rsid w:val="00A65533"/>
    <w:rsid w:val="00A65603"/>
    <w:rsid w:val="00A658A2"/>
    <w:rsid w:val="00A6647B"/>
    <w:rsid w:val="00A66797"/>
    <w:rsid w:val="00A6759E"/>
    <w:rsid w:val="00A679E1"/>
    <w:rsid w:val="00A67C3E"/>
    <w:rsid w:val="00A7050F"/>
    <w:rsid w:val="00A70860"/>
    <w:rsid w:val="00A70956"/>
    <w:rsid w:val="00A70DAC"/>
    <w:rsid w:val="00A7126F"/>
    <w:rsid w:val="00A71736"/>
    <w:rsid w:val="00A71DCE"/>
    <w:rsid w:val="00A71F2F"/>
    <w:rsid w:val="00A73891"/>
    <w:rsid w:val="00A73969"/>
    <w:rsid w:val="00A73B23"/>
    <w:rsid w:val="00A74A31"/>
    <w:rsid w:val="00A7551D"/>
    <w:rsid w:val="00A759B5"/>
    <w:rsid w:val="00A7713E"/>
    <w:rsid w:val="00A77456"/>
    <w:rsid w:val="00A775D3"/>
    <w:rsid w:val="00A779DF"/>
    <w:rsid w:val="00A814E2"/>
    <w:rsid w:val="00A818ED"/>
    <w:rsid w:val="00A81923"/>
    <w:rsid w:val="00A81EA0"/>
    <w:rsid w:val="00A8218C"/>
    <w:rsid w:val="00A82398"/>
    <w:rsid w:val="00A82927"/>
    <w:rsid w:val="00A8337A"/>
    <w:rsid w:val="00A8380D"/>
    <w:rsid w:val="00A844D5"/>
    <w:rsid w:val="00A84578"/>
    <w:rsid w:val="00A84611"/>
    <w:rsid w:val="00A84984"/>
    <w:rsid w:val="00A860E3"/>
    <w:rsid w:val="00A86573"/>
    <w:rsid w:val="00A86772"/>
    <w:rsid w:val="00A869C9"/>
    <w:rsid w:val="00A87454"/>
    <w:rsid w:val="00A87DEA"/>
    <w:rsid w:val="00A87F62"/>
    <w:rsid w:val="00A90E9D"/>
    <w:rsid w:val="00A91142"/>
    <w:rsid w:val="00A9150E"/>
    <w:rsid w:val="00A91A51"/>
    <w:rsid w:val="00A91DF2"/>
    <w:rsid w:val="00A92EA8"/>
    <w:rsid w:val="00A932EE"/>
    <w:rsid w:val="00A93454"/>
    <w:rsid w:val="00A9389F"/>
    <w:rsid w:val="00A938DC"/>
    <w:rsid w:val="00A93AA7"/>
    <w:rsid w:val="00A93B8B"/>
    <w:rsid w:val="00A93DC1"/>
    <w:rsid w:val="00A93E3D"/>
    <w:rsid w:val="00A9436A"/>
    <w:rsid w:val="00A94A3B"/>
    <w:rsid w:val="00A954C8"/>
    <w:rsid w:val="00A957D3"/>
    <w:rsid w:val="00A9593D"/>
    <w:rsid w:val="00A96152"/>
    <w:rsid w:val="00A96273"/>
    <w:rsid w:val="00A96320"/>
    <w:rsid w:val="00A96583"/>
    <w:rsid w:val="00A96854"/>
    <w:rsid w:val="00A96945"/>
    <w:rsid w:val="00A96D1A"/>
    <w:rsid w:val="00A97456"/>
    <w:rsid w:val="00A97D6D"/>
    <w:rsid w:val="00AA0501"/>
    <w:rsid w:val="00AA0689"/>
    <w:rsid w:val="00AA0895"/>
    <w:rsid w:val="00AA0A77"/>
    <w:rsid w:val="00AA1414"/>
    <w:rsid w:val="00AA17AE"/>
    <w:rsid w:val="00AA1A2C"/>
    <w:rsid w:val="00AA2B18"/>
    <w:rsid w:val="00AA2CCC"/>
    <w:rsid w:val="00AA34E0"/>
    <w:rsid w:val="00AA3958"/>
    <w:rsid w:val="00AA3BA1"/>
    <w:rsid w:val="00AA40A2"/>
    <w:rsid w:val="00AA4194"/>
    <w:rsid w:val="00AA4470"/>
    <w:rsid w:val="00AA611E"/>
    <w:rsid w:val="00AA66EC"/>
    <w:rsid w:val="00AA76B6"/>
    <w:rsid w:val="00AA7D3D"/>
    <w:rsid w:val="00AB00E2"/>
    <w:rsid w:val="00AB0406"/>
    <w:rsid w:val="00AB1A1D"/>
    <w:rsid w:val="00AB1D27"/>
    <w:rsid w:val="00AB21B9"/>
    <w:rsid w:val="00AB280A"/>
    <w:rsid w:val="00AB28E1"/>
    <w:rsid w:val="00AB4226"/>
    <w:rsid w:val="00AB47CD"/>
    <w:rsid w:val="00AB5EFC"/>
    <w:rsid w:val="00AB62A3"/>
    <w:rsid w:val="00AB75D2"/>
    <w:rsid w:val="00AB767B"/>
    <w:rsid w:val="00AB7B20"/>
    <w:rsid w:val="00AB7C1C"/>
    <w:rsid w:val="00AC03CB"/>
    <w:rsid w:val="00AC055F"/>
    <w:rsid w:val="00AC06F3"/>
    <w:rsid w:val="00AC0B22"/>
    <w:rsid w:val="00AC0D58"/>
    <w:rsid w:val="00AC0E04"/>
    <w:rsid w:val="00AC10CE"/>
    <w:rsid w:val="00AC126C"/>
    <w:rsid w:val="00AC13DC"/>
    <w:rsid w:val="00AC1A38"/>
    <w:rsid w:val="00AC2211"/>
    <w:rsid w:val="00AC2329"/>
    <w:rsid w:val="00AC232A"/>
    <w:rsid w:val="00AC2381"/>
    <w:rsid w:val="00AC27FF"/>
    <w:rsid w:val="00AC3185"/>
    <w:rsid w:val="00AC3969"/>
    <w:rsid w:val="00AC3F06"/>
    <w:rsid w:val="00AC3FE7"/>
    <w:rsid w:val="00AC42F8"/>
    <w:rsid w:val="00AC46BF"/>
    <w:rsid w:val="00AC4CDA"/>
    <w:rsid w:val="00AC540D"/>
    <w:rsid w:val="00AC56DC"/>
    <w:rsid w:val="00AC5869"/>
    <w:rsid w:val="00AC5BB8"/>
    <w:rsid w:val="00AC619A"/>
    <w:rsid w:val="00AC63BE"/>
    <w:rsid w:val="00AC648C"/>
    <w:rsid w:val="00AC6632"/>
    <w:rsid w:val="00AC66A2"/>
    <w:rsid w:val="00AC7060"/>
    <w:rsid w:val="00AC7334"/>
    <w:rsid w:val="00AC7529"/>
    <w:rsid w:val="00AC765E"/>
    <w:rsid w:val="00AC7EA1"/>
    <w:rsid w:val="00AD0595"/>
    <w:rsid w:val="00AD0A9D"/>
    <w:rsid w:val="00AD13DF"/>
    <w:rsid w:val="00AD1793"/>
    <w:rsid w:val="00AD1A4F"/>
    <w:rsid w:val="00AD204B"/>
    <w:rsid w:val="00AD24DB"/>
    <w:rsid w:val="00AD253F"/>
    <w:rsid w:val="00AD288B"/>
    <w:rsid w:val="00AD2C37"/>
    <w:rsid w:val="00AD2DFA"/>
    <w:rsid w:val="00AD303D"/>
    <w:rsid w:val="00AD36D5"/>
    <w:rsid w:val="00AD43DC"/>
    <w:rsid w:val="00AD4E00"/>
    <w:rsid w:val="00AD51BA"/>
    <w:rsid w:val="00AD534E"/>
    <w:rsid w:val="00AD579D"/>
    <w:rsid w:val="00AD5CA9"/>
    <w:rsid w:val="00AD6677"/>
    <w:rsid w:val="00AD674A"/>
    <w:rsid w:val="00AE094D"/>
    <w:rsid w:val="00AE119A"/>
    <w:rsid w:val="00AE11E2"/>
    <w:rsid w:val="00AE11FD"/>
    <w:rsid w:val="00AE1652"/>
    <w:rsid w:val="00AE18CC"/>
    <w:rsid w:val="00AE1A46"/>
    <w:rsid w:val="00AE1AC5"/>
    <w:rsid w:val="00AE232C"/>
    <w:rsid w:val="00AE2AB5"/>
    <w:rsid w:val="00AE35CF"/>
    <w:rsid w:val="00AE385E"/>
    <w:rsid w:val="00AE3ABA"/>
    <w:rsid w:val="00AE464F"/>
    <w:rsid w:val="00AE4651"/>
    <w:rsid w:val="00AE4E74"/>
    <w:rsid w:val="00AE52BA"/>
    <w:rsid w:val="00AE5938"/>
    <w:rsid w:val="00AE5FB3"/>
    <w:rsid w:val="00AE657E"/>
    <w:rsid w:val="00AE7AA8"/>
    <w:rsid w:val="00AF0031"/>
    <w:rsid w:val="00AF0A72"/>
    <w:rsid w:val="00AF1192"/>
    <w:rsid w:val="00AF16CA"/>
    <w:rsid w:val="00AF1907"/>
    <w:rsid w:val="00AF1E10"/>
    <w:rsid w:val="00AF205F"/>
    <w:rsid w:val="00AF2186"/>
    <w:rsid w:val="00AF2AC0"/>
    <w:rsid w:val="00AF2CCC"/>
    <w:rsid w:val="00AF2D92"/>
    <w:rsid w:val="00AF307E"/>
    <w:rsid w:val="00AF3A96"/>
    <w:rsid w:val="00AF3BF5"/>
    <w:rsid w:val="00AF4297"/>
    <w:rsid w:val="00AF4570"/>
    <w:rsid w:val="00AF48D0"/>
    <w:rsid w:val="00AF49F0"/>
    <w:rsid w:val="00AF578D"/>
    <w:rsid w:val="00AF66C5"/>
    <w:rsid w:val="00AF6785"/>
    <w:rsid w:val="00AF6FB8"/>
    <w:rsid w:val="00AF7536"/>
    <w:rsid w:val="00AF7773"/>
    <w:rsid w:val="00AF785C"/>
    <w:rsid w:val="00B00260"/>
    <w:rsid w:val="00B0060B"/>
    <w:rsid w:val="00B0084C"/>
    <w:rsid w:val="00B01604"/>
    <w:rsid w:val="00B02342"/>
    <w:rsid w:val="00B02F5D"/>
    <w:rsid w:val="00B030CA"/>
    <w:rsid w:val="00B03879"/>
    <w:rsid w:val="00B03A28"/>
    <w:rsid w:val="00B03E07"/>
    <w:rsid w:val="00B04170"/>
    <w:rsid w:val="00B04499"/>
    <w:rsid w:val="00B04613"/>
    <w:rsid w:val="00B046B2"/>
    <w:rsid w:val="00B04B64"/>
    <w:rsid w:val="00B0510F"/>
    <w:rsid w:val="00B056A8"/>
    <w:rsid w:val="00B05764"/>
    <w:rsid w:val="00B05CD3"/>
    <w:rsid w:val="00B05D5F"/>
    <w:rsid w:val="00B06120"/>
    <w:rsid w:val="00B0626A"/>
    <w:rsid w:val="00B067C6"/>
    <w:rsid w:val="00B06DE1"/>
    <w:rsid w:val="00B072DF"/>
    <w:rsid w:val="00B07742"/>
    <w:rsid w:val="00B07D1C"/>
    <w:rsid w:val="00B114CD"/>
    <w:rsid w:val="00B115B5"/>
    <w:rsid w:val="00B116A4"/>
    <w:rsid w:val="00B11802"/>
    <w:rsid w:val="00B11B03"/>
    <w:rsid w:val="00B11D89"/>
    <w:rsid w:val="00B1220B"/>
    <w:rsid w:val="00B12B5B"/>
    <w:rsid w:val="00B1346D"/>
    <w:rsid w:val="00B13866"/>
    <w:rsid w:val="00B13F2D"/>
    <w:rsid w:val="00B14709"/>
    <w:rsid w:val="00B14DD4"/>
    <w:rsid w:val="00B14F72"/>
    <w:rsid w:val="00B15032"/>
    <w:rsid w:val="00B156C6"/>
    <w:rsid w:val="00B15B03"/>
    <w:rsid w:val="00B15E01"/>
    <w:rsid w:val="00B16245"/>
    <w:rsid w:val="00B165DB"/>
    <w:rsid w:val="00B167BC"/>
    <w:rsid w:val="00B16B75"/>
    <w:rsid w:val="00B16CE7"/>
    <w:rsid w:val="00B16D0F"/>
    <w:rsid w:val="00B176DB"/>
    <w:rsid w:val="00B178C8"/>
    <w:rsid w:val="00B17F73"/>
    <w:rsid w:val="00B20B7E"/>
    <w:rsid w:val="00B217B2"/>
    <w:rsid w:val="00B21C03"/>
    <w:rsid w:val="00B21D6F"/>
    <w:rsid w:val="00B221E6"/>
    <w:rsid w:val="00B22489"/>
    <w:rsid w:val="00B22B59"/>
    <w:rsid w:val="00B22DD7"/>
    <w:rsid w:val="00B2307E"/>
    <w:rsid w:val="00B24075"/>
    <w:rsid w:val="00B24300"/>
    <w:rsid w:val="00B24586"/>
    <w:rsid w:val="00B24614"/>
    <w:rsid w:val="00B24788"/>
    <w:rsid w:val="00B2578C"/>
    <w:rsid w:val="00B25DAE"/>
    <w:rsid w:val="00B26A4B"/>
    <w:rsid w:val="00B26F80"/>
    <w:rsid w:val="00B27925"/>
    <w:rsid w:val="00B3003A"/>
    <w:rsid w:val="00B30290"/>
    <w:rsid w:val="00B31F45"/>
    <w:rsid w:val="00B329B3"/>
    <w:rsid w:val="00B33513"/>
    <w:rsid w:val="00B340E2"/>
    <w:rsid w:val="00B350F8"/>
    <w:rsid w:val="00B3628F"/>
    <w:rsid w:val="00B365D3"/>
    <w:rsid w:val="00B37025"/>
    <w:rsid w:val="00B371BE"/>
    <w:rsid w:val="00B372A7"/>
    <w:rsid w:val="00B3741E"/>
    <w:rsid w:val="00B37871"/>
    <w:rsid w:val="00B37997"/>
    <w:rsid w:val="00B37BB8"/>
    <w:rsid w:val="00B40464"/>
    <w:rsid w:val="00B4055B"/>
    <w:rsid w:val="00B40D39"/>
    <w:rsid w:val="00B4128B"/>
    <w:rsid w:val="00B41929"/>
    <w:rsid w:val="00B41AFB"/>
    <w:rsid w:val="00B41DBB"/>
    <w:rsid w:val="00B42074"/>
    <w:rsid w:val="00B425FE"/>
    <w:rsid w:val="00B42A8C"/>
    <w:rsid w:val="00B42C67"/>
    <w:rsid w:val="00B43217"/>
    <w:rsid w:val="00B43598"/>
    <w:rsid w:val="00B438BA"/>
    <w:rsid w:val="00B43F38"/>
    <w:rsid w:val="00B44917"/>
    <w:rsid w:val="00B44966"/>
    <w:rsid w:val="00B449D2"/>
    <w:rsid w:val="00B44E94"/>
    <w:rsid w:val="00B45C0F"/>
    <w:rsid w:val="00B46C6A"/>
    <w:rsid w:val="00B46CBE"/>
    <w:rsid w:val="00B474A5"/>
    <w:rsid w:val="00B516D4"/>
    <w:rsid w:val="00B51713"/>
    <w:rsid w:val="00B51866"/>
    <w:rsid w:val="00B51932"/>
    <w:rsid w:val="00B51C73"/>
    <w:rsid w:val="00B5222D"/>
    <w:rsid w:val="00B5282F"/>
    <w:rsid w:val="00B52AA6"/>
    <w:rsid w:val="00B52BF4"/>
    <w:rsid w:val="00B53098"/>
    <w:rsid w:val="00B532BD"/>
    <w:rsid w:val="00B53E95"/>
    <w:rsid w:val="00B5414C"/>
    <w:rsid w:val="00B547D8"/>
    <w:rsid w:val="00B54814"/>
    <w:rsid w:val="00B54B35"/>
    <w:rsid w:val="00B553F3"/>
    <w:rsid w:val="00B55F50"/>
    <w:rsid w:val="00B56339"/>
    <w:rsid w:val="00B563D7"/>
    <w:rsid w:val="00B5648E"/>
    <w:rsid w:val="00B56EBD"/>
    <w:rsid w:val="00B570C2"/>
    <w:rsid w:val="00B57464"/>
    <w:rsid w:val="00B575B8"/>
    <w:rsid w:val="00B57AE7"/>
    <w:rsid w:val="00B57C2C"/>
    <w:rsid w:val="00B57EDF"/>
    <w:rsid w:val="00B60B8F"/>
    <w:rsid w:val="00B60ED1"/>
    <w:rsid w:val="00B61665"/>
    <w:rsid w:val="00B61992"/>
    <w:rsid w:val="00B61E02"/>
    <w:rsid w:val="00B63060"/>
    <w:rsid w:val="00B6381E"/>
    <w:rsid w:val="00B63954"/>
    <w:rsid w:val="00B63F8D"/>
    <w:rsid w:val="00B640E0"/>
    <w:rsid w:val="00B646C0"/>
    <w:rsid w:val="00B64A80"/>
    <w:rsid w:val="00B64FEA"/>
    <w:rsid w:val="00B65042"/>
    <w:rsid w:val="00B65451"/>
    <w:rsid w:val="00B659FD"/>
    <w:rsid w:val="00B66974"/>
    <w:rsid w:val="00B674B6"/>
    <w:rsid w:val="00B70662"/>
    <w:rsid w:val="00B70955"/>
    <w:rsid w:val="00B70ADC"/>
    <w:rsid w:val="00B70BFE"/>
    <w:rsid w:val="00B71881"/>
    <w:rsid w:val="00B7221F"/>
    <w:rsid w:val="00B730C5"/>
    <w:rsid w:val="00B73568"/>
    <w:rsid w:val="00B736FA"/>
    <w:rsid w:val="00B73775"/>
    <w:rsid w:val="00B7388A"/>
    <w:rsid w:val="00B73CE6"/>
    <w:rsid w:val="00B74105"/>
    <w:rsid w:val="00B74A71"/>
    <w:rsid w:val="00B75D1B"/>
    <w:rsid w:val="00B76FE9"/>
    <w:rsid w:val="00B7710C"/>
    <w:rsid w:val="00B77CE9"/>
    <w:rsid w:val="00B77CF2"/>
    <w:rsid w:val="00B80250"/>
    <w:rsid w:val="00B80747"/>
    <w:rsid w:val="00B808D8"/>
    <w:rsid w:val="00B8092C"/>
    <w:rsid w:val="00B80C2E"/>
    <w:rsid w:val="00B80D16"/>
    <w:rsid w:val="00B81078"/>
    <w:rsid w:val="00B81132"/>
    <w:rsid w:val="00B811C9"/>
    <w:rsid w:val="00B81294"/>
    <w:rsid w:val="00B8164C"/>
    <w:rsid w:val="00B81EAF"/>
    <w:rsid w:val="00B8218C"/>
    <w:rsid w:val="00B822D6"/>
    <w:rsid w:val="00B82371"/>
    <w:rsid w:val="00B83050"/>
    <w:rsid w:val="00B84795"/>
    <w:rsid w:val="00B84972"/>
    <w:rsid w:val="00B85739"/>
    <w:rsid w:val="00B86542"/>
    <w:rsid w:val="00B867DC"/>
    <w:rsid w:val="00B86BCF"/>
    <w:rsid w:val="00B86FCC"/>
    <w:rsid w:val="00B871B4"/>
    <w:rsid w:val="00B874A2"/>
    <w:rsid w:val="00B874EB"/>
    <w:rsid w:val="00B8761B"/>
    <w:rsid w:val="00B879FA"/>
    <w:rsid w:val="00B87A7D"/>
    <w:rsid w:val="00B87C85"/>
    <w:rsid w:val="00B87D6C"/>
    <w:rsid w:val="00B903DA"/>
    <w:rsid w:val="00B9096D"/>
    <w:rsid w:val="00B90D1D"/>
    <w:rsid w:val="00B91176"/>
    <w:rsid w:val="00B91409"/>
    <w:rsid w:val="00B9162F"/>
    <w:rsid w:val="00B917C5"/>
    <w:rsid w:val="00B92BE3"/>
    <w:rsid w:val="00B9349A"/>
    <w:rsid w:val="00B93E68"/>
    <w:rsid w:val="00B940C7"/>
    <w:rsid w:val="00B9446D"/>
    <w:rsid w:val="00B944F0"/>
    <w:rsid w:val="00B9536C"/>
    <w:rsid w:val="00B954A7"/>
    <w:rsid w:val="00B958CC"/>
    <w:rsid w:val="00B95B3C"/>
    <w:rsid w:val="00B95F60"/>
    <w:rsid w:val="00B95FB7"/>
    <w:rsid w:val="00B976A7"/>
    <w:rsid w:val="00B97B03"/>
    <w:rsid w:val="00B97B81"/>
    <w:rsid w:val="00BA0FE9"/>
    <w:rsid w:val="00BA10E2"/>
    <w:rsid w:val="00BA1A1C"/>
    <w:rsid w:val="00BA1BF2"/>
    <w:rsid w:val="00BA221B"/>
    <w:rsid w:val="00BA23AB"/>
    <w:rsid w:val="00BA2875"/>
    <w:rsid w:val="00BA28EF"/>
    <w:rsid w:val="00BA29C9"/>
    <w:rsid w:val="00BA2A5A"/>
    <w:rsid w:val="00BA3156"/>
    <w:rsid w:val="00BA31CE"/>
    <w:rsid w:val="00BA321D"/>
    <w:rsid w:val="00BA36C4"/>
    <w:rsid w:val="00BA371A"/>
    <w:rsid w:val="00BA3FB0"/>
    <w:rsid w:val="00BA4971"/>
    <w:rsid w:val="00BA4A21"/>
    <w:rsid w:val="00BA502F"/>
    <w:rsid w:val="00BA53B6"/>
    <w:rsid w:val="00BA5764"/>
    <w:rsid w:val="00BA5915"/>
    <w:rsid w:val="00BA5947"/>
    <w:rsid w:val="00BA65E0"/>
    <w:rsid w:val="00BA6F4F"/>
    <w:rsid w:val="00BA7914"/>
    <w:rsid w:val="00BA7FCA"/>
    <w:rsid w:val="00BB0368"/>
    <w:rsid w:val="00BB0918"/>
    <w:rsid w:val="00BB0CA3"/>
    <w:rsid w:val="00BB19AA"/>
    <w:rsid w:val="00BB1A13"/>
    <w:rsid w:val="00BB2084"/>
    <w:rsid w:val="00BB209C"/>
    <w:rsid w:val="00BB26A3"/>
    <w:rsid w:val="00BB29DA"/>
    <w:rsid w:val="00BB2B48"/>
    <w:rsid w:val="00BB3886"/>
    <w:rsid w:val="00BB3C70"/>
    <w:rsid w:val="00BB3CA3"/>
    <w:rsid w:val="00BB3F39"/>
    <w:rsid w:val="00BB421C"/>
    <w:rsid w:val="00BB4D58"/>
    <w:rsid w:val="00BB524D"/>
    <w:rsid w:val="00BB6E46"/>
    <w:rsid w:val="00BB7072"/>
    <w:rsid w:val="00BB7312"/>
    <w:rsid w:val="00BB7419"/>
    <w:rsid w:val="00BB763E"/>
    <w:rsid w:val="00BB7A96"/>
    <w:rsid w:val="00BB7D26"/>
    <w:rsid w:val="00BC0283"/>
    <w:rsid w:val="00BC0FD0"/>
    <w:rsid w:val="00BC1195"/>
    <w:rsid w:val="00BC162D"/>
    <w:rsid w:val="00BC213B"/>
    <w:rsid w:val="00BC279C"/>
    <w:rsid w:val="00BC28A0"/>
    <w:rsid w:val="00BC314E"/>
    <w:rsid w:val="00BC3610"/>
    <w:rsid w:val="00BC388F"/>
    <w:rsid w:val="00BC3F9C"/>
    <w:rsid w:val="00BC43E5"/>
    <w:rsid w:val="00BC4E99"/>
    <w:rsid w:val="00BC4EB1"/>
    <w:rsid w:val="00BC4FA5"/>
    <w:rsid w:val="00BC4FEF"/>
    <w:rsid w:val="00BC5013"/>
    <w:rsid w:val="00BC5135"/>
    <w:rsid w:val="00BC52CF"/>
    <w:rsid w:val="00BC53BB"/>
    <w:rsid w:val="00BC5A4A"/>
    <w:rsid w:val="00BC666A"/>
    <w:rsid w:val="00BC6AD6"/>
    <w:rsid w:val="00BC7067"/>
    <w:rsid w:val="00BD07A6"/>
    <w:rsid w:val="00BD0BA1"/>
    <w:rsid w:val="00BD1CC1"/>
    <w:rsid w:val="00BD1D72"/>
    <w:rsid w:val="00BD1D77"/>
    <w:rsid w:val="00BD1FA9"/>
    <w:rsid w:val="00BD2A4A"/>
    <w:rsid w:val="00BD35C0"/>
    <w:rsid w:val="00BD3647"/>
    <w:rsid w:val="00BD44C1"/>
    <w:rsid w:val="00BD4993"/>
    <w:rsid w:val="00BD4AF6"/>
    <w:rsid w:val="00BD4E15"/>
    <w:rsid w:val="00BD4F39"/>
    <w:rsid w:val="00BD54FA"/>
    <w:rsid w:val="00BD5658"/>
    <w:rsid w:val="00BD579D"/>
    <w:rsid w:val="00BD62CA"/>
    <w:rsid w:val="00BD681C"/>
    <w:rsid w:val="00BD68F5"/>
    <w:rsid w:val="00BD6905"/>
    <w:rsid w:val="00BD6CD3"/>
    <w:rsid w:val="00BD6CFC"/>
    <w:rsid w:val="00BD773E"/>
    <w:rsid w:val="00BD7750"/>
    <w:rsid w:val="00BD77C8"/>
    <w:rsid w:val="00BE0484"/>
    <w:rsid w:val="00BE055C"/>
    <w:rsid w:val="00BE0FEF"/>
    <w:rsid w:val="00BE125F"/>
    <w:rsid w:val="00BE13CA"/>
    <w:rsid w:val="00BE1679"/>
    <w:rsid w:val="00BE17AB"/>
    <w:rsid w:val="00BE19E8"/>
    <w:rsid w:val="00BE1A5A"/>
    <w:rsid w:val="00BE1C2C"/>
    <w:rsid w:val="00BE1FEE"/>
    <w:rsid w:val="00BE2792"/>
    <w:rsid w:val="00BE2FCE"/>
    <w:rsid w:val="00BE39BD"/>
    <w:rsid w:val="00BE3D3E"/>
    <w:rsid w:val="00BE4A65"/>
    <w:rsid w:val="00BE4B5B"/>
    <w:rsid w:val="00BE5A14"/>
    <w:rsid w:val="00BE5A44"/>
    <w:rsid w:val="00BE65F3"/>
    <w:rsid w:val="00BE7548"/>
    <w:rsid w:val="00BE7713"/>
    <w:rsid w:val="00BF0069"/>
    <w:rsid w:val="00BF006C"/>
    <w:rsid w:val="00BF08DC"/>
    <w:rsid w:val="00BF09B4"/>
    <w:rsid w:val="00BF0C08"/>
    <w:rsid w:val="00BF16B7"/>
    <w:rsid w:val="00BF1C4D"/>
    <w:rsid w:val="00BF2429"/>
    <w:rsid w:val="00BF2ABC"/>
    <w:rsid w:val="00BF30CD"/>
    <w:rsid w:val="00BF32BF"/>
    <w:rsid w:val="00BF3A67"/>
    <w:rsid w:val="00BF3A6C"/>
    <w:rsid w:val="00BF3EE7"/>
    <w:rsid w:val="00BF40A7"/>
    <w:rsid w:val="00BF4BB7"/>
    <w:rsid w:val="00BF55BF"/>
    <w:rsid w:val="00BF565F"/>
    <w:rsid w:val="00BF5F4D"/>
    <w:rsid w:val="00BF64F8"/>
    <w:rsid w:val="00BF6D05"/>
    <w:rsid w:val="00BF6EB1"/>
    <w:rsid w:val="00BF7163"/>
    <w:rsid w:val="00BF7761"/>
    <w:rsid w:val="00BF7AAD"/>
    <w:rsid w:val="00BF7B41"/>
    <w:rsid w:val="00BF7C2D"/>
    <w:rsid w:val="00C0010D"/>
    <w:rsid w:val="00C00D8C"/>
    <w:rsid w:val="00C01B63"/>
    <w:rsid w:val="00C01DCE"/>
    <w:rsid w:val="00C022E7"/>
    <w:rsid w:val="00C027B1"/>
    <w:rsid w:val="00C02E43"/>
    <w:rsid w:val="00C03139"/>
    <w:rsid w:val="00C03389"/>
    <w:rsid w:val="00C03569"/>
    <w:rsid w:val="00C035FB"/>
    <w:rsid w:val="00C03763"/>
    <w:rsid w:val="00C037BC"/>
    <w:rsid w:val="00C03C58"/>
    <w:rsid w:val="00C0475D"/>
    <w:rsid w:val="00C05137"/>
    <w:rsid w:val="00C0558C"/>
    <w:rsid w:val="00C05B87"/>
    <w:rsid w:val="00C05D3B"/>
    <w:rsid w:val="00C0650B"/>
    <w:rsid w:val="00C06555"/>
    <w:rsid w:val="00C065CF"/>
    <w:rsid w:val="00C077B7"/>
    <w:rsid w:val="00C0782B"/>
    <w:rsid w:val="00C10238"/>
    <w:rsid w:val="00C10317"/>
    <w:rsid w:val="00C107BE"/>
    <w:rsid w:val="00C108B2"/>
    <w:rsid w:val="00C12341"/>
    <w:rsid w:val="00C12A6E"/>
    <w:rsid w:val="00C12E83"/>
    <w:rsid w:val="00C146B6"/>
    <w:rsid w:val="00C147E6"/>
    <w:rsid w:val="00C14806"/>
    <w:rsid w:val="00C14B74"/>
    <w:rsid w:val="00C14DC7"/>
    <w:rsid w:val="00C15138"/>
    <w:rsid w:val="00C159A2"/>
    <w:rsid w:val="00C15A44"/>
    <w:rsid w:val="00C16F08"/>
    <w:rsid w:val="00C1782C"/>
    <w:rsid w:val="00C20330"/>
    <w:rsid w:val="00C2073C"/>
    <w:rsid w:val="00C20A66"/>
    <w:rsid w:val="00C20F6E"/>
    <w:rsid w:val="00C20F8F"/>
    <w:rsid w:val="00C22A37"/>
    <w:rsid w:val="00C237C7"/>
    <w:rsid w:val="00C2383D"/>
    <w:rsid w:val="00C23AAD"/>
    <w:rsid w:val="00C23B0A"/>
    <w:rsid w:val="00C23EC3"/>
    <w:rsid w:val="00C24633"/>
    <w:rsid w:val="00C248BA"/>
    <w:rsid w:val="00C24DA0"/>
    <w:rsid w:val="00C24EEE"/>
    <w:rsid w:val="00C25075"/>
    <w:rsid w:val="00C2526B"/>
    <w:rsid w:val="00C258AD"/>
    <w:rsid w:val="00C25D42"/>
    <w:rsid w:val="00C26440"/>
    <w:rsid w:val="00C264C8"/>
    <w:rsid w:val="00C268CD"/>
    <w:rsid w:val="00C26CD3"/>
    <w:rsid w:val="00C27142"/>
    <w:rsid w:val="00C278DF"/>
    <w:rsid w:val="00C27D18"/>
    <w:rsid w:val="00C30110"/>
    <w:rsid w:val="00C301CC"/>
    <w:rsid w:val="00C303F4"/>
    <w:rsid w:val="00C30F03"/>
    <w:rsid w:val="00C30F9B"/>
    <w:rsid w:val="00C316D9"/>
    <w:rsid w:val="00C31ADC"/>
    <w:rsid w:val="00C31D64"/>
    <w:rsid w:val="00C31FB1"/>
    <w:rsid w:val="00C326A1"/>
    <w:rsid w:val="00C32CFD"/>
    <w:rsid w:val="00C336C3"/>
    <w:rsid w:val="00C33708"/>
    <w:rsid w:val="00C3396A"/>
    <w:rsid w:val="00C33A54"/>
    <w:rsid w:val="00C34C19"/>
    <w:rsid w:val="00C34E18"/>
    <w:rsid w:val="00C350E2"/>
    <w:rsid w:val="00C35BB5"/>
    <w:rsid w:val="00C36081"/>
    <w:rsid w:val="00C36D00"/>
    <w:rsid w:val="00C36DC3"/>
    <w:rsid w:val="00C36EF0"/>
    <w:rsid w:val="00C37164"/>
    <w:rsid w:val="00C37251"/>
    <w:rsid w:val="00C37537"/>
    <w:rsid w:val="00C37B52"/>
    <w:rsid w:val="00C37EA0"/>
    <w:rsid w:val="00C40079"/>
    <w:rsid w:val="00C4049A"/>
    <w:rsid w:val="00C4073D"/>
    <w:rsid w:val="00C41498"/>
    <w:rsid w:val="00C4253B"/>
    <w:rsid w:val="00C426D2"/>
    <w:rsid w:val="00C42CA0"/>
    <w:rsid w:val="00C42E1F"/>
    <w:rsid w:val="00C43ABF"/>
    <w:rsid w:val="00C43D1A"/>
    <w:rsid w:val="00C44918"/>
    <w:rsid w:val="00C45128"/>
    <w:rsid w:val="00C45EB5"/>
    <w:rsid w:val="00C467AB"/>
    <w:rsid w:val="00C46957"/>
    <w:rsid w:val="00C46B18"/>
    <w:rsid w:val="00C46D99"/>
    <w:rsid w:val="00C47102"/>
    <w:rsid w:val="00C47256"/>
    <w:rsid w:val="00C474D1"/>
    <w:rsid w:val="00C504AB"/>
    <w:rsid w:val="00C50E81"/>
    <w:rsid w:val="00C519B4"/>
    <w:rsid w:val="00C51EC3"/>
    <w:rsid w:val="00C527C3"/>
    <w:rsid w:val="00C52E6B"/>
    <w:rsid w:val="00C53168"/>
    <w:rsid w:val="00C538AB"/>
    <w:rsid w:val="00C53B5B"/>
    <w:rsid w:val="00C53DB7"/>
    <w:rsid w:val="00C5492F"/>
    <w:rsid w:val="00C5498C"/>
    <w:rsid w:val="00C55C4E"/>
    <w:rsid w:val="00C55C68"/>
    <w:rsid w:val="00C55E67"/>
    <w:rsid w:val="00C5699F"/>
    <w:rsid w:val="00C56CF7"/>
    <w:rsid w:val="00C56DB6"/>
    <w:rsid w:val="00C57EED"/>
    <w:rsid w:val="00C606E4"/>
    <w:rsid w:val="00C60E6A"/>
    <w:rsid w:val="00C6105A"/>
    <w:rsid w:val="00C610F5"/>
    <w:rsid w:val="00C618A9"/>
    <w:rsid w:val="00C62A72"/>
    <w:rsid w:val="00C62AAF"/>
    <w:rsid w:val="00C63288"/>
    <w:rsid w:val="00C6365B"/>
    <w:rsid w:val="00C639A2"/>
    <w:rsid w:val="00C63DD7"/>
    <w:rsid w:val="00C63DEF"/>
    <w:rsid w:val="00C63F00"/>
    <w:rsid w:val="00C63F22"/>
    <w:rsid w:val="00C63FB4"/>
    <w:rsid w:val="00C645C2"/>
    <w:rsid w:val="00C645C5"/>
    <w:rsid w:val="00C64816"/>
    <w:rsid w:val="00C64C91"/>
    <w:rsid w:val="00C64EBF"/>
    <w:rsid w:val="00C65339"/>
    <w:rsid w:val="00C66B12"/>
    <w:rsid w:val="00C67298"/>
    <w:rsid w:val="00C67825"/>
    <w:rsid w:val="00C67A25"/>
    <w:rsid w:val="00C70427"/>
    <w:rsid w:val="00C70471"/>
    <w:rsid w:val="00C70989"/>
    <w:rsid w:val="00C714E2"/>
    <w:rsid w:val="00C7165B"/>
    <w:rsid w:val="00C71A30"/>
    <w:rsid w:val="00C71DC5"/>
    <w:rsid w:val="00C72955"/>
    <w:rsid w:val="00C73A2D"/>
    <w:rsid w:val="00C746CA"/>
    <w:rsid w:val="00C74805"/>
    <w:rsid w:val="00C7487B"/>
    <w:rsid w:val="00C75292"/>
    <w:rsid w:val="00C755C6"/>
    <w:rsid w:val="00C755EA"/>
    <w:rsid w:val="00C75866"/>
    <w:rsid w:val="00C763EC"/>
    <w:rsid w:val="00C76AE2"/>
    <w:rsid w:val="00C76F28"/>
    <w:rsid w:val="00C77861"/>
    <w:rsid w:val="00C806D3"/>
    <w:rsid w:val="00C8075B"/>
    <w:rsid w:val="00C80BD4"/>
    <w:rsid w:val="00C80C48"/>
    <w:rsid w:val="00C80F26"/>
    <w:rsid w:val="00C81235"/>
    <w:rsid w:val="00C814ED"/>
    <w:rsid w:val="00C8192E"/>
    <w:rsid w:val="00C819B4"/>
    <w:rsid w:val="00C81E4A"/>
    <w:rsid w:val="00C820F2"/>
    <w:rsid w:val="00C8255E"/>
    <w:rsid w:val="00C83083"/>
    <w:rsid w:val="00C8342C"/>
    <w:rsid w:val="00C837A5"/>
    <w:rsid w:val="00C840E2"/>
    <w:rsid w:val="00C843CB"/>
    <w:rsid w:val="00C84EEF"/>
    <w:rsid w:val="00C85090"/>
    <w:rsid w:val="00C85FD8"/>
    <w:rsid w:val="00C860AE"/>
    <w:rsid w:val="00C86A7A"/>
    <w:rsid w:val="00C872B1"/>
    <w:rsid w:val="00C8743D"/>
    <w:rsid w:val="00C87929"/>
    <w:rsid w:val="00C906F1"/>
    <w:rsid w:val="00C90C3F"/>
    <w:rsid w:val="00C9123B"/>
    <w:rsid w:val="00C91DED"/>
    <w:rsid w:val="00C91F06"/>
    <w:rsid w:val="00C92583"/>
    <w:rsid w:val="00C92ACE"/>
    <w:rsid w:val="00C92C7D"/>
    <w:rsid w:val="00C93A08"/>
    <w:rsid w:val="00C93C15"/>
    <w:rsid w:val="00C94401"/>
    <w:rsid w:val="00C94450"/>
    <w:rsid w:val="00C95161"/>
    <w:rsid w:val="00C9747D"/>
    <w:rsid w:val="00C97541"/>
    <w:rsid w:val="00C97660"/>
    <w:rsid w:val="00C97906"/>
    <w:rsid w:val="00C979DE"/>
    <w:rsid w:val="00C97D86"/>
    <w:rsid w:val="00CA0225"/>
    <w:rsid w:val="00CA1466"/>
    <w:rsid w:val="00CA17F7"/>
    <w:rsid w:val="00CA187D"/>
    <w:rsid w:val="00CA1A0E"/>
    <w:rsid w:val="00CA20F0"/>
    <w:rsid w:val="00CA23B6"/>
    <w:rsid w:val="00CA2794"/>
    <w:rsid w:val="00CA2910"/>
    <w:rsid w:val="00CA2973"/>
    <w:rsid w:val="00CA2BC9"/>
    <w:rsid w:val="00CA2BDE"/>
    <w:rsid w:val="00CA2C3B"/>
    <w:rsid w:val="00CA2FFD"/>
    <w:rsid w:val="00CA348E"/>
    <w:rsid w:val="00CA3672"/>
    <w:rsid w:val="00CA3DA1"/>
    <w:rsid w:val="00CA3FE1"/>
    <w:rsid w:val="00CA45EE"/>
    <w:rsid w:val="00CA4D25"/>
    <w:rsid w:val="00CA5BB3"/>
    <w:rsid w:val="00CA6925"/>
    <w:rsid w:val="00CA6E0D"/>
    <w:rsid w:val="00CA7B87"/>
    <w:rsid w:val="00CB0125"/>
    <w:rsid w:val="00CB01A4"/>
    <w:rsid w:val="00CB07DF"/>
    <w:rsid w:val="00CB0AF8"/>
    <w:rsid w:val="00CB0F37"/>
    <w:rsid w:val="00CB1191"/>
    <w:rsid w:val="00CB122B"/>
    <w:rsid w:val="00CB1A88"/>
    <w:rsid w:val="00CB279D"/>
    <w:rsid w:val="00CB284D"/>
    <w:rsid w:val="00CB2AAA"/>
    <w:rsid w:val="00CB3003"/>
    <w:rsid w:val="00CB37F5"/>
    <w:rsid w:val="00CB3FF2"/>
    <w:rsid w:val="00CB4276"/>
    <w:rsid w:val="00CB4427"/>
    <w:rsid w:val="00CB4597"/>
    <w:rsid w:val="00CB4697"/>
    <w:rsid w:val="00CB4803"/>
    <w:rsid w:val="00CB494F"/>
    <w:rsid w:val="00CB506A"/>
    <w:rsid w:val="00CB51C9"/>
    <w:rsid w:val="00CB59E1"/>
    <w:rsid w:val="00CB5CCB"/>
    <w:rsid w:val="00CB6323"/>
    <w:rsid w:val="00CB66BE"/>
    <w:rsid w:val="00CB7119"/>
    <w:rsid w:val="00CB76EF"/>
    <w:rsid w:val="00CB7CB8"/>
    <w:rsid w:val="00CC023E"/>
    <w:rsid w:val="00CC0B73"/>
    <w:rsid w:val="00CC0D12"/>
    <w:rsid w:val="00CC0F4C"/>
    <w:rsid w:val="00CC1471"/>
    <w:rsid w:val="00CC1507"/>
    <w:rsid w:val="00CC1528"/>
    <w:rsid w:val="00CC1DC5"/>
    <w:rsid w:val="00CC25B5"/>
    <w:rsid w:val="00CC2CDA"/>
    <w:rsid w:val="00CC2D33"/>
    <w:rsid w:val="00CC3233"/>
    <w:rsid w:val="00CC44D7"/>
    <w:rsid w:val="00CC48C4"/>
    <w:rsid w:val="00CC50D4"/>
    <w:rsid w:val="00CC51F9"/>
    <w:rsid w:val="00CC52C6"/>
    <w:rsid w:val="00CC5443"/>
    <w:rsid w:val="00CC5986"/>
    <w:rsid w:val="00CC5DD3"/>
    <w:rsid w:val="00CC61B2"/>
    <w:rsid w:val="00CC6B57"/>
    <w:rsid w:val="00CC7341"/>
    <w:rsid w:val="00CC76C1"/>
    <w:rsid w:val="00CD026F"/>
    <w:rsid w:val="00CD098D"/>
    <w:rsid w:val="00CD0B6D"/>
    <w:rsid w:val="00CD0E18"/>
    <w:rsid w:val="00CD10AE"/>
    <w:rsid w:val="00CD16E6"/>
    <w:rsid w:val="00CD2A83"/>
    <w:rsid w:val="00CD2CB0"/>
    <w:rsid w:val="00CD3825"/>
    <w:rsid w:val="00CD3B45"/>
    <w:rsid w:val="00CD4BD0"/>
    <w:rsid w:val="00CD4E2C"/>
    <w:rsid w:val="00CD52F1"/>
    <w:rsid w:val="00CD539F"/>
    <w:rsid w:val="00CD7324"/>
    <w:rsid w:val="00CD7330"/>
    <w:rsid w:val="00CD7E06"/>
    <w:rsid w:val="00CD7F02"/>
    <w:rsid w:val="00CE25A4"/>
    <w:rsid w:val="00CE2F9C"/>
    <w:rsid w:val="00CE3BFF"/>
    <w:rsid w:val="00CE3DFD"/>
    <w:rsid w:val="00CE42A7"/>
    <w:rsid w:val="00CE4C05"/>
    <w:rsid w:val="00CE513F"/>
    <w:rsid w:val="00CE592D"/>
    <w:rsid w:val="00CE5BCF"/>
    <w:rsid w:val="00CE5CC5"/>
    <w:rsid w:val="00CE6E00"/>
    <w:rsid w:val="00CE7317"/>
    <w:rsid w:val="00CE74CF"/>
    <w:rsid w:val="00CE7698"/>
    <w:rsid w:val="00CE77E9"/>
    <w:rsid w:val="00CE78EC"/>
    <w:rsid w:val="00CF0201"/>
    <w:rsid w:val="00CF03AF"/>
    <w:rsid w:val="00CF0402"/>
    <w:rsid w:val="00CF0D15"/>
    <w:rsid w:val="00CF0F58"/>
    <w:rsid w:val="00CF10EB"/>
    <w:rsid w:val="00CF17C2"/>
    <w:rsid w:val="00CF2177"/>
    <w:rsid w:val="00CF2956"/>
    <w:rsid w:val="00CF2A90"/>
    <w:rsid w:val="00CF3102"/>
    <w:rsid w:val="00CF3A2A"/>
    <w:rsid w:val="00CF3A34"/>
    <w:rsid w:val="00CF3D0B"/>
    <w:rsid w:val="00CF4448"/>
    <w:rsid w:val="00CF45BD"/>
    <w:rsid w:val="00CF4F2A"/>
    <w:rsid w:val="00CF51D8"/>
    <w:rsid w:val="00CF54DD"/>
    <w:rsid w:val="00CF68ED"/>
    <w:rsid w:val="00CF7559"/>
    <w:rsid w:val="00CF75BB"/>
    <w:rsid w:val="00CF7825"/>
    <w:rsid w:val="00D0016D"/>
    <w:rsid w:val="00D0032F"/>
    <w:rsid w:val="00D0190A"/>
    <w:rsid w:val="00D01FDB"/>
    <w:rsid w:val="00D0228D"/>
    <w:rsid w:val="00D02D9A"/>
    <w:rsid w:val="00D02EA9"/>
    <w:rsid w:val="00D038DB"/>
    <w:rsid w:val="00D03AF7"/>
    <w:rsid w:val="00D03C63"/>
    <w:rsid w:val="00D04722"/>
    <w:rsid w:val="00D04BBA"/>
    <w:rsid w:val="00D04F27"/>
    <w:rsid w:val="00D054CE"/>
    <w:rsid w:val="00D05EAA"/>
    <w:rsid w:val="00D05F3C"/>
    <w:rsid w:val="00D063E3"/>
    <w:rsid w:val="00D06A28"/>
    <w:rsid w:val="00D06AC6"/>
    <w:rsid w:val="00D07395"/>
    <w:rsid w:val="00D0763C"/>
    <w:rsid w:val="00D07A35"/>
    <w:rsid w:val="00D10E5F"/>
    <w:rsid w:val="00D11353"/>
    <w:rsid w:val="00D113E7"/>
    <w:rsid w:val="00D11B61"/>
    <w:rsid w:val="00D11EC6"/>
    <w:rsid w:val="00D12572"/>
    <w:rsid w:val="00D127C0"/>
    <w:rsid w:val="00D129EE"/>
    <w:rsid w:val="00D12B04"/>
    <w:rsid w:val="00D12DD0"/>
    <w:rsid w:val="00D133B7"/>
    <w:rsid w:val="00D13B74"/>
    <w:rsid w:val="00D13DA0"/>
    <w:rsid w:val="00D14CB5"/>
    <w:rsid w:val="00D1510B"/>
    <w:rsid w:val="00D1559B"/>
    <w:rsid w:val="00D17158"/>
    <w:rsid w:val="00D1721B"/>
    <w:rsid w:val="00D21047"/>
    <w:rsid w:val="00D21B3F"/>
    <w:rsid w:val="00D21D03"/>
    <w:rsid w:val="00D226E7"/>
    <w:rsid w:val="00D22A93"/>
    <w:rsid w:val="00D22D9B"/>
    <w:rsid w:val="00D23762"/>
    <w:rsid w:val="00D24456"/>
    <w:rsid w:val="00D24559"/>
    <w:rsid w:val="00D245D3"/>
    <w:rsid w:val="00D25EFA"/>
    <w:rsid w:val="00D25FDF"/>
    <w:rsid w:val="00D2612A"/>
    <w:rsid w:val="00D26A7F"/>
    <w:rsid w:val="00D26C62"/>
    <w:rsid w:val="00D27526"/>
    <w:rsid w:val="00D27959"/>
    <w:rsid w:val="00D27AE6"/>
    <w:rsid w:val="00D31382"/>
    <w:rsid w:val="00D31A1C"/>
    <w:rsid w:val="00D31A34"/>
    <w:rsid w:val="00D31E08"/>
    <w:rsid w:val="00D32051"/>
    <w:rsid w:val="00D32572"/>
    <w:rsid w:val="00D32AAE"/>
    <w:rsid w:val="00D32E82"/>
    <w:rsid w:val="00D3328D"/>
    <w:rsid w:val="00D335CA"/>
    <w:rsid w:val="00D34CBB"/>
    <w:rsid w:val="00D35750"/>
    <w:rsid w:val="00D35C04"/>
    <w:rsid w:val="00D35D61"/>
    <w:rsid w:val="00D35D83"/>
    <w:rsid w:val="00D36009"/>
    <w:rsid w:val="00D36CF9"/>
    <w:rsid w:val="00D37482"/>
    <w:rsid w:val="00D374DB"/>
    <w:rsid w:val="00D379F2"/>
    <w:rsid w:val="00D402A8"/>
    <w:rsid w:val="00D407E6"/>
    <w:rsid w:val="00D408D5"/>
    <w:rsid w:val="00D40C91"/>
    <w:rsid w:val="00D40FAC"/>
    <w:rsid w:val="00D4101C"/>
    <w:rsid w:val="00D41053"/>
    <w:rsid w:val="00D41C49"/>
    <w:rsid w:val="00D422E9"/>
    <w:rsid w:val="00D4250C"/>
    <w:rsid w:val="00D42D9A"/>
    <w:rsid w:val="00D43760"/>
    <w:rsid w:val="00D4390E"/>
    <w:rsid w:val="00D43DFD"/>
    <w:rsid w:val="00D45043"/>
    <w:rsid w:val="00D455ED"/>
    <w:rsid w:val="00D45CA4"/>
    <w:rsid w:val="00D464F8"/>
    <w:rsid w:val="00D46688"/>
    <w:rsid w:val="00D46D2A"/>
    <w:rsid w:val="00D4742C"/>
    <w:rsid w:val="00D4756F"/>
    <w:rsid w:val="00D47723"/>
    <w:rsid w:val="00D477E2"/>
    <w:rsid w:val="00D47A0A"/>
    <w:rsid w:val="00D47AC5"/>
    <w:rsid w:val="00D47F62"/>
    <w:rsid w:val="00D50EA2"/>
    <w:rsid w:val="00D51519"/>
    <w:rsid w:val="00D519E8"/>
    <w:rsid w:val="00D51C34"/>
    <w:rsid w:val="00D528B3"/>
    <w:rsid w:val="00D52F31"/>
    <w:rsid w:val="00D5342D"/>
    <w:rsid w:val="00D5408B"/>
    <w:rsid w:val="00D540B0"/>
    <w:rsid w:val="00D546EF"/>
    <w:rsid w:val="00D54B34"/>
    <w:rsid w:val="00D5556F"/>
    <w:rsid w:val="00D55C51"/>
    <w:rsid w:val="00D560DD"/>
    <w:rsid w:val="00D56E83"/>
    <w:rsid w:val="00D56F92"/>
    <w:rsid w:val="00D57119"/>
    <w:rsid w:val="00D57844"/>
    <w:rsid w:val="00D5795B"/>
    <w:rsid w:val="00D57C07"/>
    <w:rsid w:val="00D60070"/>
    <w:rsid w:val="00D60316"/>
    <w:rsid w:val="00D61F6E"/>
    <w:rsid w:val="00D62171"/>
    <w:rsid w:val="00D62E4B"/>
    <w:rsid w:val="00D6376D"/>
    <w:rsid w:val="00D646EE"/>
    <w:rsid w:val="00D64A72"/>
    <w:rsid w:val="00D65583"/>
    <w:rsid w:val="00D657D9"/>
    <w:rsid w:val="00D659C4"/>
    <w:rsid w:val="00D65BE5"/>
    <w:rsid w:val="00D66181"/>
    <w:rsid w:val="00D66328"/>
    <w:rsid w:val="00D66AB6"/>
    <w:rsid w:val="00D66E14"/>
    <w:rsid w:val="00D677DF"/>
    <w:rsid w:val="00D679B2"/>
    <w:rsid w:val="00D67D8A"/>
    <w:rsid w:val="00D67F8D"/>
    <w:rsid w:val="00D7010C"/>
    <w:rsid w:val="00D7063C"/>
    <w:rsid w:val="00D71B89"/>
    <w:rsid w:val="00D71D51"/>
    <w:rsid w:val="00D7247B"/>
    <w:rsid w:val="00D729C8"/>
    <w:rsid w:val="00D72ADD"/>
    <w:rsid w:val="00D72C7C"/>
    <w:rsid w:val="00D7332D"/>
    <w:rsid w:val="00D73333"/>
    <w:rsid w:val="00D74815"/>
    <w:rsid w:val="00D74F70"/>
    <w:rsid w:val="00D75C1F"/>
    <w:rsid w:val="00D75EA9"/>
    <w:rsid w:val="00D76390"/>
    <w:rsid w:val="00D775B7"/>
    <w:rsid w:val="00D776A2"/>
    <w:rsid w:val="00D7798B"/>
    <w:rsid w:val="00D802E2"/>
    <w:rsid w:val="00D805F4"/>
    <w:rsid w:val="00D80930"/>
    <w:rsid w:val="00D80A9B"/>
    <w:rsid w:val="00D810CB"/>
    <w:rsid w:val="00D814C6"/>
    <w:rsid w:val="00D8168C"/>
    <w:rsid w:val="00D819C6"/>
    <w:rsid w:val="00D81A68"/>
    <w:rsid w:val="00D81C0B"/>
    <w:rsid w:val="00D82482"/>
    <w:rsid w:val="00D8250F"/>
    <w:rsid w:val="00D825EB"/>
    <w:rsid w:val="00D82F26"/>
    <w:rsid w:val="00D8316E"/>
    <w:rsid w:val="00D83617"/>
    <w:rsid w:val="00D838CD"/>
    <w:rsid w:val="00D8422B"/>
    <w:rsid w:val="00D84441"/>
    <w:rsid w:val="00D84DCF"/>
    <w:rsid w:val="00D85339"/>
    <w:rsid w:val="00D855FB"/>
    <w:rsid w:val="00D85F07"/>
    <w:rsid w:val="00D861C1"/>
    <w:rsid w:val="00D86431"/>
    <w:rsid w:val="00D86772"/>
    <w:rsid w:val="00D869C6"/>
    <w:rsid w:val="00D86B35"/>
    <w:rsid w:val="00D90255"/>
    <w:rsid w:val="00D90B12"/>
    <w:rsid w:val="00D916B9"/>
    <w:rsid w:val="00D91F90"/>
    <w:rsid w:val="00D92A52"/>
    <w:rsid w:val="00D9487B"/>
    <w:rsid w:val="00D94C9B"/>
    <w:rsid w:val="00D94DF1"/>
    <w:rsid w:val="00D951DC"/>
    <w:rsid w:val="00D952CD"/>
    <w:rsid w:val="00D955F1"/>
    <w:rsid w:val="00D956EF"/>
    <w:rsid w:val="00D95C6F"/>
    <w:rsid w:val="00D95DE4"/>
    <w:rsid w:val="00D9617E"/>
    <w:rsid w:val="00D963D9"/>
    <w:rsid w:val="00D965BC"/>
    <w:rsid w:val="00D96A45"/>
    <w:rsid w:val="00D96F1E"/>
    <w:rsid w:val="00D96F25"/>
    <w:rsid w:val="00D97132"/>
    <w:rsid w:val="00D977AE"/>
    <w:rsid w:val="00D979A0"/>
    <w:rsid w:val="00D979FD"/>
    <w:rsid w:val="00D97C93"/>
    <w:rsid w:val="00DA00BD"/>
    <w:rsid w:val="00DA04B6"/>
    <w:rsid w:val="00DA0572"/>
    <w:rsid w:val="00DA0639"/>
    <w:rsid w:val="00DA064A"/>
    <w:rsid w:val="00DA06E5"/>
    <w:rsid w:val="00DA0E78"/>
    <w:rsid w:val="00DA0ED6"/>
    <w:rsid w:val="00DA1151"/>
    <w:rsid w:val="00DA1469"/>
    <w:rsid w:val="00DA1CDD"/>
    <w:rsid w:val="00DA2080"/>
    <w:rsid w:val="00DA273D"/>
    <w:rsid w:val="00DA27F9"/>
    <w:rsid w:val="00DA28F6"/>
    <w:rsid w:val="00DA3FCB"/>
    <w:rsid w:val="00DA457B"/>
    <w:rsid w:val="00DA45EF"/>
    <w:rsid w:val="00DA4B3D"/>
    <w:rsid w:val="00DA6B4E"/>
    <w:rsid w:val="00DA7227"/>
    <w:rsid w:val="00DA7465"/>
    <w:rsid w:val="00DA7B05"/>
    <w:rsid w:val="00DA7C0B"/>
    <w:rsid w:val="00DB030B"/>
    <w:rsid w:val="00DB05E9"/>
    <w:rsid w:val="00DB10BA"/>
    <w:rsid w:val="00DB13D4"/>
    <w:rsid w:val="00DB14BE"/>
    <w:rsid w:val="00DB1801"/>
    <w:rsid w:val="00DB22FA"/>
    <w:rsid w:val="00DB237A"/>
    <w:rsid w:val="00DB2B66"/>
    <w:rsid w:val="00DB2FEB"/>
    <w:rsid w:val="00DB317C"/>
    <w:rsid w:val="00DB3A80"/>
    <w:rsid w:val="00DB4423"/>
    <w:rsid w:val="00DB4754"/>
    <w:rsid w:val="00DB555C"/>
    <w:rsid w:val="00DB557F"/>
    <w:rsid w:val="00DB5A0F"/>
    <w:rsid w:val="00DB5FAD"/>
    <w:rsid w:val="00DB605C"/>
    <w:rsid w:val="00DB63EF"/>
    <w:rsid w:val="00DB71D4"/>
    <w:rsid w:val="00DC02AB"/>
    <w:rsid w:val="00DC171E"/>
    <w:rsid w:val="00DC25B7"/>
    <w:rsid w:val="00DC2688"/>
    <w:rsid w:val="00DC2B0A"/>
    <w:rsid w:val="00DC2DE8"/>
    <w:rsid w:val="00DC2FB4"/>
    <w:rsid w:val="00DC4089"/>
    <w:rsid w:val="00DC46B5"/>
    <w:rsid w:val="00DC4806"/>
    <w:rsid w:val="00DC566A"/>
    <w:rsid w:val="00DC5A4C"/>
    <w:rsid w:val="00DC6A20"/>
    <w:rsid w:val="00DC6EDA"/>
    <w:rsid w:val="00DC7719"/>
    <w:rsid w:val="00DC77B9"/>
    <w:rsid w:val="00DC783F"/>
    <w:rsid w:val="00DC7B90"/>
    <w:rsid w:val="00DC7FA2"/>
    <w:rsid w:val="00DD027F"/>
    <w:rsid w:val="00DD0E83"/>
    <w:rsid w:val="00DD1732"/>
    <w:rsid w:val="00DD1E99"/>
    <w:rsid w:val="00DD2451"/>
    <w:rsid w:val="00DD313E"/>
    <w:rsid w:val="00DD3954"/>
    <w:rsid w:val="00DD3975"/>
    <w:rsid w:val="00DD408A"/>
    <w:rsid w:val="00DD4A5F"/>
    <w:rsid w:val="00DD5257"/>
    <w:rsid w:val="00DD5409"/>
    <w:rsid w:val="00DD6912"/>
    <w:rsid w:val="00DD6EF6"/>
    <w:rsid w:val="00DD7AB4"/>
    <w:rsid w:val="00DE0265"/>
    <w:rsid w:val="00DE0818"/>
    <w:rsid w:val="00DE0C7C"/>
    <w:rsid w:val="00DE0EDF"/>
    <w:rsid w:val="00DE0EE4"/>
    <w:rsid w:val="00DE180B"/>
    <w:rsid w:val="00DE207E"/>
    <w:rsid w:val="00DE3190"/>
    <w:rsid w:val="00DE3A7B"/>
    <w:rsid w:val="00DE4580"/>
    <w:rsid w:val="00DE48DF"/>
    <w:rsid w:val="00DE5249"/>
    <w:rsid w:val="00DE5F72"/>
    <w:rsid w:val="00DE6965"/>
    <w:rsid w:val="00DE6EF1"/>
    <w:rsid w:val="00DE737A"/>
    <w:rsid w:val="00DE77B1"/>
    <w:rsid w:val="00DE7F85"/>
    <w:rsid w:val="00DF09F9"/>
    <w:rsid w:val="00DF0A97"/>
    <w:rsid w:val="00DF131D"/>
    <w:rsid w:val="00DF166B"/>
    <w:rsid w:val="00DF1778"/>
    <w:rsid w:val="00DF1D01"/>
    <w:rsid w:val="00DF1D6C"/>
    <w:rsid w:val="00DF209D"/>
    <w:rsid w:val="00DF268B"/>
    <w:rsid w:val="00DF2B50"/>
    <w:rsid w:val="00DF2F83"/>
    <w:rsid w:val="00DF3F96"/>
    <w:rsid w:val="00DF45BB"/>
    <w:rsid w:val="00DF46DF"/>
    <w:rsid w:val="00DF4B25"/>
    <w:rsid w:val="00DF4C1E"/>
    <w:rsid w:val="00DF4F39"/>
    <w:rsid w:val="00DF504D"/>
    <w:rsid w:val="00DF530A"/>
    <w:rsid w:val="00DF5554"/>
    <w:rsid w:val="00DF5BD3"/>
    <w:rsid w:val="00DF613F"/>
    <w:rsid w:val="00DF637B"/>
    <w:rsid w:val="00DF6462"/>
    <w:rsid w:val="00DF6700"/>
    <w:rsid w:val="00DF6816"/>
    <w:rsid w:val="00DF6859"/>
    <w:rsid w:val="00DF690E"/>
    <w:rsid w:val="00DF6979"/>
    <w:rsid w:val="00DF737A"/>
    <w:rsid w:val="00DF7BEC"/>
    <w:rsid w:val="00E002CF"/>
    <w:rsid w:val="00E002DC"/>
    <w:rsid w:val="00E0037E"/>
    <w:rsid w:val="00E00502"/>
    <w:rsid w:val="00E00692"/>
    <w:rsid w:val="00E00976"/>
    <w:rsid w:val="00E00B3F"/>
    <w:rsid w:val="00E00CD4"/>
    <w:rsid w:val="00E01657"/>
    <w:rsid w:val="00E01CB8"/>
    <w:rsid w:val="00E01E12"/>
    <w:rsid w:val="00E02281"/>
    <w:rsid w:val="00E0245C"/>
    <w:rsid w:val="00E02B5F"/>
    <w:rsid w:val="00E02FA4"/>
    <w:rsid w:val="00E02FDC"/>
    <w:rsid w:val="00E031EA"/>
    <w:rsid w:val="00E035F2"/>
    <w:rsid w:val="00E03C7A"/>
    <w:rsid w:val="00E040EF"/>
    <w:rsid w:val="00E0439D"/>
    <w:rsid w:val="00E0474E"/>
    <w:rsid w:val="00E05DF7"/>
    <w:rsid w:val="00E06825"/>
    <w:rsid w:val="00E06DA4"/>
    <w:rsid w:val="00E1047F"/>
    <w:rsid w:val="00E110BD"/>
    <w:rsid w:val="00E111E4"/>
    <w:rsid w:val="00E111F2"/>
    <w:rsid w:val="00E11FA9"/>
    <w:rsid w:val="00E12271"/>
    <w:rsid w:val="00E12D36"/>
    <w:rsid w:val="00E13186"/>
    <w:rsid w:val="00E13EC7"/>
    <w:rsid w:val="00E14C13"/>
    <w:rsid w:val="00E14FD3"/>
    <w:rsid w:val="00E15512"/>
    <w:rsid w:val="00E15890"/>
    <w:rsid w:val="00E15BB4"/>
    <w:rsid w:val="00E16637"/>
    <w:rsid w:val="00E1696D"/>
    <w:rsid w:val="00E1736E"/>
    <w:rsid w:val="00E174CC"/>
    <w:rsid w:val="00E17FF6"/>
    <w:rsid w:val="00E202FD"/>
    <w:rsid w:val="00E2079B"/>
    <w:rsid w:val="00E209A8"/>
    <w:rsid w:val="00E209FD"/>
    <w:rsid w:val="00E20FEC"/>
    <w:rsid w:val="00E219FD"/>
    <w:rsid w:val="00E222B2"/>
    <w:rsid w:val="00E229B7"/>
    <w:rsid w:val="00E22B51"/>
    <w:rsid w:val="00E2387A"/>
    <w:rsid w:val="00E23A15"/>
    <w:rsid w:val="00E24933"/>
    <w:rsid w:val="00E24A94"/>
    <w:rsid w:val="00E24EA1"/>
    <w:rsid w:val="00E25047"/>
    <w:rsid w:val="00E25318"/>
    <w:rsid w:val="00E257E0"/>
    <w:rsid w:val="00E25A07"/>
    <w:rsid w:val="00E2625B"/>
    <w:rsid w:val="00E26C36"/>
    <w:rsid w:val="00E27031"/>
    <w:rsid w:val="00E30AD0"/>
    <w:rsid w:val="00E30B73"/>
    <w:rsid w:val="00E30D3E"/>
    <w:rsid w:val="00E3131D"/>
    <w:rsid w:val="00E314CC"/>
    <w:rsid w:val="00E31963"/>
    <w:rsid w:val="00E319ED"/>
    <w:rsid w:val="00E31CA2"/>
    <w:rsid w:val="00E31DA2"/>
    <w:rsid w:val="00E32460"/>
    <w:rsid w:val="00E325F6"/>
    <w:rsid w:val="00E32BBB"/>
    <w:rsid w:val="00E32E3E"/>
    <w:rsid w:val="00E33760"/>
    <w:rsid w:val="00E337B6"/>
    <w:rsid w:val="00E33A5F"/>
    <w:rsid w:val="00E343EE"/>
    <w:rsid w:val="00E34711"/>
    <w:rsid w:val="00E34907"/>
    <w:rsid w:val="00E34D34"/>
    <w:rsid w:val="00E35054"/>
    <w:rsid w:val="00E35A6B"/>
    <w:rsid w:val="00E35AE6"/>
    <w:rsid w:val="00E361D9"/>
    <w:rsid w:val="00E3642F"/>
    <w:rsid w:val="00E36AEE"/>
    <w:rsid w:val="00E36FFE"/>
    <w:rsid w:val="00E37293"/>
    <w:rsid w:val="00E3762B"/>
    <w:rsid w:val="00E3787C"/>
    <w:rsid w:val="00E37EEB"/>
    <w:rsid w:val="00E40334"/>
    <w:rsid w:val="00E4036F"/>
    <w:rsid w:val="00E406BD"/>
    <w:rsid w:val="00E40B32"/>
    <w:rsid w:val="00E4128D"/>
    <w:rsid w:val="00E419E6"/>
    <w:rsid w:val="00E41DAA"/>
    <w:rsid w:val="00E42A12"/>
    <w:rsid w:val="00E43016"/>
    <w:rsid w:val="00E434D5"/>
    <w:rsid w:val="00E4386D"/>
    <w:rsid w:val="00E43A41"/>
    <w:rsid w:val="00E44430"/>
    <w:rsid w:val="00E444D2"/>
    <w:rsid w:val="00E45637"/>
    <w:rsid w:val="00E45BCD"/>
    <w:rsid w:val="00E45C38"/>
    <w:rsid w:val="00E46019"/>
    <w:rsid w:val="00E461C9"/>
    <w:rsid w:val="00E4667D"/>
    <w:rsid w:val="00E46776"/>
    <w:rsid w:val="00E46A3E"/>
    <w:rsid w:val="00E46ADC"/>
    <w:rsid w:val="00E46B63"/>
    <w:rsid w:val="00E47295"/>
    <w:rsid w:val="00E4754B"/>
    <w:rsid w:val="00E50643"/>
    <w:rsid w:val="00E50657"/>
    <w:rsid w:val="00E5089C"/>
    <w:rsid w:val="00E50991"/>
    <w:rsid w:val="00E515E1"/>
    <w:rsid w:val="00E51C5B"/>
    <w:rsid w:val="00E51DFF"/>
    <w:rsid w:val="00E51E45"/>
    <w:rsid w:val="00E5250C"/>
    <w:rsid w:val="00E52842"/>
    <w:rsid w:val="00E52CAD"/>
    <w:rsid w:val="00E52F96"/>
    <w:rsid w:val="00E53225"/>
    <w:rsid w:val="00E544ED"/>
    <w:rsid w:val="00E546BA"/>
    <w:rsid w:val="00E55E7F"/>
    <w:rsid w:val="00E563B0"/>
    <w:rsid w:val="00E56BC9"/>
    <w:rsid w:val="00E56CEF"/>
    <w:rsid w:val="00E56D2E"/>
    <w:rsid w:val="00E5710E"/>
    <w:rsid w:val="00E57812"/>
    <w:rsid w:val="00E57883"/>
    <w:rsid w:val="00E601A5"/>
    <w:rsid w:val="00E60BC6"/>
    <w:rsid w:val="00E60FB0"/>
    <w:rsid w:val="00E610C4"/>
    <w:rsid w:val="00E620FF"/>
    <w:rsid w:val="00E62C38"/>
    <w:rsid w:val="00E63810"/>
    <w:rsid w:val="00E65429"/>
    <w:rsid w:val="00E65843"/>
    <w:rsid w:val="00E65982"/>
    <w:rsid w:val="00E65C1F"/>
    <w:rsid w:val="00E66062"/>
    <w:rsid w:val="00E66327"/>
    <w:rsid w:val="00E664C4"/>
    <w:rsid w:val="00E66937"/>
    <w:rsid w:val="00E66B9F"/>
    <w:rsid w:val="00E67370"/>
    <w:rsid w:val="00E67A99"/>
    <w:rsid w:val="00E67B24"/>
    <w:rsid w:val="00E7077B"/>
    <w:rsid w:val="00E70788"/>
    <w:rsid w:val="00E70A3F"/>
    <w:rsid w:val="00E70A57"/>
    <w:rsid w:val="00E711A5"/>
    <w:rsid w:val="00E71236"/>
    <w:rsid w:val="00E7146B"/>
    <w:rsid w:val="00E7151A"/>
    <w:rsid w:val="00E7156B"/>
    <w:rsid w:val="00E71C0A"/>
    <w:rsid w:val="00E71F13"/>
    <w:rsid w:val="00E723E6"/>
    <w:rsid w:val="00E7247A"/>
    <w:rsid w:val="00E72550"/>
    <w:rsid w:val="00E725B5"/>
    <w:rsid w:val="00E72977"/>
    <w:rsid w:val="00E72F9C"/>
    <w:rsid w:val="00E73D49"/>
    <w:rsid w:val="00E73DB1"/>
    <w:rsid w:val="00E74346"/>
    <w:rsid w:val="00E74466"/>
    <w:rsid w:val="00E74710"/>
    <w:rsid w:val="00E74E45"/>
    <w:rsid w:val="00E74FC1"/>
    <w:rsid w:val="00E750E3"/>
    <w:rsid w:val="00E75231"/>
    <w:rsid w:val="00E754C5"/>
    <w:rsid w:val="00E75B10"/>
    <w:rsid w:val="00E75D40"/>
    <w:rsid w:val="00E75E4C"/>
    <w:rsid w:val="00E7663F"/>
    <w:rsid w:val="00E76E97"/>
    <w:rsid w:val="00E7713D"/>
    <w:rsid w:val="00E7719F"/>
    <w:rsid w:val="00E77987"/>
    <w:rsid w:val="00E779B1"/>
    <w:rsid w:val="00E8158E"/>
    <w:rsid w:val="00E821EF"/>
    <w:rsid w:val="00E8297A"/>
    <w:rsid w:val="00E82A72"/>
    <w:rsid w:val="00E8432D"/>
    <w:rsid w:val="00E84E3E"/>
    <w:rsid w:val="00E84EC2"/>
    <w:rsid w:val="00E8528F"/>
    <w:rsid w:val="00E85500"/>
    <w:rsid w:val="00E85856"/>
    <w:rsid w:val="00E859AC"/>
    <w:rsid w:val="00E85C5E"/>
    <w:rsid w:val="00E85EB8"/>
    <w:rsid w:val="00E85FEA"/>
    <w:rsid w:val="00E86907"/>
    <w:rsid w:val="00E86E97"/>
    <w:rsid w:val="00E870C5"/>
    <w:rsid w:val="00E8720A"/>
    <w:rsid w:val="00E87308"/>
    <w:rsid w:val="00E874DE"/>
    <w:rsid w:val="00E87912"/>
    <w:rsid w:val="00E90B42"/>
    <w:rsid w:val="00E90E3C"/>
    <w:rsid w:val="00E90FD7"/>
    <w:rsid w:val="00E91FEF"/>
    <w:rsid w:val="00E9253E"/>
    <w:rsid w:val="00E93214"/>
    <w:rsid w:val="00E9341F"/>
    <w:rsid w:val="00E93606"/>
    <w:rsid w:val="00E942CB"/>
    <w:rsid w:val="00E94443"/>
    <w:rsid w:val="00E950D3"/>
    <w:rsid w:val="00E95899"/>
    <w:rsid w:val="00E95CE4"/>
    <w:rsid w:val="00E95DB8"/>
    <w:rsid w:val="00EA0A28"/>
    <w:rsid w:val="00EA0EF5"/>
    <w:rsid w:val="00EA10BC"/>
    <w:rsid w:val="00EA1D36"/>
    <w:rsid w:val="00EA1F2A"/>
    <w:rsid w:val="00EA2BC4"/>
    <w:rsid w:val="00EA2E85"/>
    <w:rsid w:val="00EA434E"/>
    <w:rsid w:val="00EA472C"/>
    <w:rsid w:val="00EA49D0"/>
    <w:rsid w:val="00EA4CBA"/>
    <w:rsid w:val="00EA4F9B"/>
    <w:rsid w:val="00EA54AC"/>
    <w:rsid w:val="00EA57D1"/>
    <w:rsid w:val="00EA5893"/>
    <w:rsid w:val="00EA5EDA"/>
    <w:rsid w:val="00EA6A6E"/>
    <w:rsid w:val="00EA7A32"/>
    <w:rsid w:val="00EA7B10"/>
    <w:rsid w:val="00EA7C9C"/>
    <w:rsid w:val="00EB03C7"/>
    <w:rsid w:val="00EB059A"/>
    <w:rsid w:val="00EB1910"/>
    <w:rsid w:val="00EB1D3D"/>
    <w:rsid w:val="00EB24EF"/>
    <w:rsid w:val="00EB26E5"/>
    <w:rsid w:val="00EB2D35"/>
    <w:rsid w:val="00EB31DE"/>
    <w:rsid w:val="00EB38FA"/>
    <w:rsid w:val="00EB3DF8"/>
    <w:rsid w:val="00EB46BA"/>
    <w:rsid w:val="00EB4823"/>
    <w:rsid w:val="00EB4D88"/>
    <w:rsid w:val="00EB5262"/>
    <w:rsid w:val="00EB54DA"/>
    <w:rsid w:val="00EB5AB4"/>
    <w:rsid w:val="00EB5CF4"/>
    <w:rsid w:val="00EB63C8"/>
    <w:rsid w:val="00EB6503"/>
    <w:rsid w:val="00EB6652"/>
    <w:rsid w:val="00EB6F39"/>
    <w:rsid w:val="00EB7418"/>
    <w:rsid w:val="00EB7699"/>
    <w:rsid w:val="00EB7836"/>
    <w:rsid w:val="00EB7CF1"/>
    <w:rsid w:val="00EB7D99"/>
    <w:rsid w:val="00EC0A09"/>
    <w:rsid w:val="00EC0D7E"/>
    <w:rsid w:val="00EC0FCA"/>
    <w:rsid w:val="00EC1504"/>
    <w:rsid w:val="00EC15B7"/>
    <w:rsid w:val="00EC1A20"/>
    <w:rsid w:val="00EC27BC"/>
    <w:rsid w:val="00EC28D5"/>
    <w:rsid w:val="00EC29E9"/>
    <w:rsid w:val="00EC2A79"/>
    <w:rsid w:val="00EC2B25"/>
    <w:rsid w:val="00EC3E89"/>
    <w:rsid w:val="00EC433C"/>
    <w:rsid w:val="00EC433F"/>
    <w:rsid w:val="00EC4ED1"/>
    <w:rsid w:val="00EC508F"/>
    <w:rsid w:val="00EC51DC"/>
    <w:rsid w:val="00EC523D"/>
    <w:rsid w:val="00EC55AD"/>
    <w:rsid w:val="00EC5BAD"/>
    <w:rsid w:val="00EC5F63"/>
    <w:rsid w:val="00EC62E8"/>
    <w:rsid w:val="00EC63B1"/>
    <w:rsid w:val="00EC6818"/>
    <w:rsid w:val="00EC6C30"/>
    <w:rsid w:val="00EC7474"/>
    <w:rsid w:val="00EC76F5"/>
    <w:rsid w:val="00EC7C8E"/>
    <w:rsid w:val="00ED0EA4"/>
    <w:rsid w:val="00ED161A"/>
    <w:rsid w:val="00ED19AD"/>
    <w:rsid w:val="00ED1A3B"/>
    <w:rsid w:val="00ED21F1"/>
    <w:rsid w:val="00ED2C6D"/>
    <w:rsid w:val="00ED2E08"/>
    <w:rsid w:val="00ED35E1"/>
    <w:rsid w:val="00ED457E"/>
    <w:rsid w:val="00ED5019"/>
    <w:rsid w:val="00ED53D0"/>
    <w:rsid w:val="00ED5775"/>
    <w:rsid w:val="00ED577E"/>
    <w:rsid w:val="00ED7000"/>
    <w:rsid w:val="00ED7185"/>
    <w:rsid w:val="00ED71A9"/>
    <w:rsid w:val="00ED75E3"/>
    <w:rsid w:val="00EE04A3"/>
    <w:rsid w:val="00EE0884"/>
    <w:rsid w:val="00EE0A89"/>
    <w:rsid w:val="00EE103F"/>
    <w:rsid w:val="00EE127E"/>
    <w:rsid w:val="00EE138D"/>
    <w:rsid w:val="00EE142C"/>
    <w:rsid w:val="00EE14FD"/>
    <w:rsid w:val="00EE1A2B"/>
    <w:rsid w:val="00EE1C2E"/>
    <w:rsid w:val="00EE2298"/>
    <w:rsid w:val="00EE2747"/>
    <w:rsid w:val="00EE28E0"/>
    <w:rsid w:val="00EE291E"/>
    <w:rsid w:val="00EE2A68"/>
    <w:rsid w:val="00EE3769"/>
    <w:rsid w:val="00EE3D74"/>
    <w:rsid w:val="00EE4917"/>
    <w:rsid w:val="00EE4AD5"/>
    <w:rsid w:val="00EE4B1B"/>
    <w:rsid w:val="00EE50C2"/>
    <w:rsid w:val="00EE5295"/>
    <w:rsid w:val="00EE52F2"/>
    <w:rsid w:val="00EE55FA"/>
    <w:rsid w:val="00EE5732"/>
    <w:rsid w:val="00EE57EB"/>
    <w:rsid w:val="00EE5F75"/>
    <w:rsid w:val="00EE6B84"/>
    <w:rsid w:val="00EE7139"/>
    <w:rsid w:val="00EE72D3"/>
    <w:rsid w:val="00EF06D5"/>
    <w:rsid w:val="00EF08B3"/>
    <w:rsid w:val="00EF0E26"/>
    <w:rsid w:val="00EF0E93"/>
    <w:rsid w:val="00EF1870"/>
    <w:rsid w:val="00EF20B8"/>
    <w:rsid w:val="00EF32EA"/>
    <w:rsid w:val="00EF364D"/>
    <w:rsid w:val="00EF44B1"/>
    <w:rsid w:val="00EF4BBE"/>
    <w:rsid w:val="00EF4C94"/>
    <w:rsid w:val="00EF50F2"/>
    <w:rsid w:val="00EF51CF"/>
    <w:rsid w:val="00EF5B40"/>
    <w:rsid w:val="00EF5C44"/>
    <w:rsid w:val="00EF6A4B"/>
    <w:rsid w:val="00EF6C4A"/>
    <w:rsid w:val="00EF6E80"/>
    <w:rsid w:val="00EF741E"/>
    <w:rsid w:val="00EF7537"/>
    <w:rsid w:val="00EF7D00"/>
    <w:rsid w:val="00F0061D"/>
    <w:rsid w:val="00F0098B"/>
    <w:rsid w:val="00F01031"/>
    <w:rsid w:val="00F02074"/>
    <w:rsid w:val="00F02969"/>
    <w:rsid w:val="00F02A08"/>
    <w:rsid w:val="00F02D02"/>
    <w:rsid w:val="00F03B11"/>
    <w:rsid w:val="00F03D35"/>
    <w:rsid w:val="00F04276"/>
    <w:rsid w:val="00F042CD"/>
    <w:rsid w:val="00F042DD"/>
    <w:rsid w:val="00F04C0B"/>
    <w:rsid w:val="00F04F2B"/>
    <w:rsid w:val="00F05076"/>
    <w:rsid w:val="00F05363"/>
    <w:rsid w:val="00F05B85"/>
    <w:rsid w:val="00F05C06"/>
    <w:rsid w:val="00F05FF4"/>
    <w:rsid w:val="00F0625F"/>
    <w:rsid w:val="00F06E49"/>
    <w:rsid w:val="00F074FE"/>
    <w:rsid w:val="00F07554"/>
    <w:rsid w:val="00F100D2"/>
    <w:rsid w:val="00F1028D"/>
    <w:rsid w:val="00F1061F"/>
    <w:rsid w:val="00F10F4A"/>
    <w:rsid w:val="00F10FB6"/>
    <w:rsid w:val="00F11873"/>
    <w:rsid w:val="00F12672"/>
    <w:rsid w:val="00F12CD3"/>
    <w:rsid w:val="00F12D82"/>
    <w:rsid w:val="00F13357"/>
    <w:rsid w:val="00F1343A"/>
    <w:rsid w:val="00F14459"/>
    <w:rsid w:val="00F14677"/>
    <w:rsid w:val="00F148F3"/>
    <w:rsid w:val="00F148FE"/>
    <w:rsid w:val="00F1495A"/>
    <w:rsid w:val="00F14A9B"/>
    <w:rsid w:val="00F14D0E"/>
    <w:rsid w:val="00F154DF"/>
    <w:rsid w:val="00F15C60"/>
    <w:rsid w:val="00F1620E"/>
    <w:rsid w:val="00F1688F"/>
    <w:rsid w:val="00F16B5C"/>
    <w:rsid w:val="00F16D90"/>
    <w:rsid w:val="00F16F1F"/>
    <w:rsid w:val="00F1706D"/>
    <w:rsid w:val="00F177AE"/>
    <w:rsid w:val="00F17B9C"/>
    <w:rsid w:val="00F2046E"/>
    <w:rsid w:val="00F20AFC"/>
    <w:rsid w:val="00F2103D"/>
    <w:rsid w:val="00F21D27"/>
    <w:rsid w:val="00F21D30"/>
    <w:rsid w:val="00F22B91"/>
    <w:rsid w:val="00F22DEC"/>
    <w:rsid w:val="00F22EA6"/>
    <w:rsid w:val="00F239A2"/>
    <w:rsid w:val="00F247F2"/>
    <w:rsid w:val="00F24A17"/>
    <w:rsid w:val="00F24A4D"/>
    <w:rsid w:val="00F24D37"/>
    <w:rsid w:val="00F24D9C"/>
    <w:rsid w:val="00F2540D"/>
    <w:rsid w:val="00F25848"/>
    <w:rsid w:val="00F259D0"/>
    <w:rsid w:val="00F25A17"/>
    <w:rsid w:val="00F260F9"/>
    <w:rsid w:val="00F26416"/>
    <w:rsid w:val="00F26B91"/>
    <w:rsid w:val="00F26E22"/>
    <w:rsid w:val="00F2707B"/>
    <w:rsid w:val="00F274B0"/>
    <w:rsid w:val="00F27C24"/>
    <w:rsid w:val="00F27C45"/>
    <w:rsid w:val="00F304C7"/>
    <w:rsid w:val="00F30743"/>
    <w:rsid w:val="00F30BE2"/>
    <w:rsid w:val="00F30F3A"/>
    <w:rsid w:val="00F319A6"/>
    <w:rsid w:val="00F31E17"/>
    <w:rsid w:val="00F31ECE"/>
    <w:rsid w:val="00F3210B"/>
    <w:rsid w:val="00F32548"/>
    <w:rsid w:val="00F32BE7"/>
    <w:rsid w:val="00F32DD7"/>
    <w:rsid w:val="00F331BF"/>
    <w:rsid w:val="00F33ADD"/>
    <w:rsid w:val="00F33B7C"/>
    <w:rsid w:val="00F33BCA"/>
    <w:rsid w:val="00F3592D"/>
    <w:rsid w:val="00F35B47"/>
    <w:rsid w:val="00F35CD0"/>
    <w:rsid w:val="00F36166"/>
    <w:rsid w:val="00F363BF"/>
    <w:rsid w:val="00F3680C"/>
    <w:rsid w:val="00F36F3F"/>
    <w:rsid w:val="00F37331"/>
    <w:rsid w:val="00F377DD"/>
    <w:rsid w:val="00F37871"/>
    <w:rsid w:val="00F4022E"/>
    <w:rsid w:val="00F4037E"/>
    <w:rsid w:val="00F407B4"/>
    <w:rsid w:val="00F4090C"/>
    <w:rsid w:val="00F40D15"/>
    <w:rsid w:val="00F40D50"/>
    <w:rsid w:val="00F40F01"/>
    <w:rsid w:val="00F4113F"/>
    <w:rsid w:val="00F41824"/>
    <w:rsid w:val="00F41A0A"/>
    <w:rsid w:val="00F41FCE"/>
    <w:rsid w:val="00F4221D"/>
    <w:rsid w:val="00F422A4"/>
    <w:rsid w:val="00F4249D"/>
    <w:rsid w:val="00F42540"/>
    <w:rsid w:val="00F42E52"/>
    <w:rsid w:val="00F43521"/>
    <w:rsid w:val="00F43D34"/>
    <w:rsid w:val="00F43F0C"/>
    <w:rsid w:val="00F4449C"/>
    <w:rsid w:val="00F4459C"/>
    <w:rsid w:val="00F4485C"/>
    <w:rsid w:val="00F44D45"/>
    <w:rsid w:val="00F4514B"/>
    <w:rsid w:val="00F458ED"/>
    <w:rsid w:val="00F46B16"/>
    <w:rsid w:val="00F46C54"/>
    <w:rsid w:val="00F46CA4"/>
    <w:rsid w:val="00F47AE6"/>
    <w:rsid w:val="00F47B67"/>
    <w:rsid w:val="00F47E05"/>
    <w:rsid w:val="00F501C6"/>
    <w:rsid w:val="00F50C41"/>
    <w:rsid w:val="00F50D6C"/>
    <w:rsid w:val="00F50E4E"/>
    <w:rsid w:val="00F51C38"/>
    <w:rsid w:val="00F5203D"/>
    <w:rsid w:val="00F52B75"/>
    <w:rsid w:val="00F52FD6"/>
    <w:rsid w:val="00F53542"/>
    <w:rsid w:val="00F53BBC"/>
    <w:rsid w:val="00F54260"/>
    <w:rsid w:val="00F544B9"/>
    <w:rsid w:val="00F54F7C"/>
    <w:rsid w:val="00F54FF5"/>
    <w:rsid w:val="00F55A2D"/>
    <w:rsid w:val="00F55A2E"/>
    <w:rsid w:val="00F55B04"/>
    <w:rsid w:val="00F55CF8"/>
    <w:rsid w:val="00F56903"/>
    <w:rsid w:val="00F56A53"/>
    <w:rsid w:val="00F56E99"/>
    <w:rsid w:val="00F57486"/>
    <w:rsid w:val="00F5748F"/>
    <w:rsid w:val="00F5763D"/>
    <w:rsid w:val="00F57A76"/>
    <w:rsid w:val="00F60652"/>
    <w:rsid w:val="00F60C2F"/>
    <w:rsid w:val="00F60E24"/>
    <w:rsid w:val="00F61EFA"/>
    <w:rsid w:val="00F633F2"/>
    <w:rsid w:val="00F63768"/>
    <w:rsid w:val="00F63BC4"/>
    <w:rsid w:val="00F646A3"/>
    <w:rsid w:val="00F652A4"/>
    <w:rsid w:val="00F6545D"/>
    <w:rsid w:val="00F657F9"/>
    <w:rsid w:val="00F65C91"/>
    <w:rsid w:val="00F66135"/>
    <w:rsid w:val="00F6641A"/>
    <w:rsid w:val="00F666B2"/>
    <w:rsid w:val="00F66F4D"/>
    <w:rsid w:val="00F67454"/>
    <w:rsid w:val="00F675FE"/>
    <w:rsid w:val="00F67A37"/>
    <w:rsid w:val="00F700D1"/>
    <w:rsid w:val="00F70460"/>
    <w:rsid w:val="00F70A51"/>
    <w:rsid w:val="00F70C18"/>
    <w:rsid w:val="00F70CBD"/>
    <w:rsid w:val="00F70DEB"/>
    <w:rsid w:val="00F7114B"/>
    <w:rsid w:val="00F713EA"/>
    <w:rsid w:val="00F719D2"/>
    <w:rsid w:val="00F71FA1"/>
    <w:rsid w:val="00F72211"/>
    <w:rsid w:val="00F7231A"/>
    <w:rsid w:val="00F7296A"/>
    <w:rsid w:val="00F73F52"/>
    <w:rsid w:val="00F7435F"/>
    <w:rsid w:val="00F75036"/>
    <w:rsid w:val="00F76B92"/>
    <w:rsid w:val="00F76E9E"/>
    <w:rsid w:val="00F77172"/>
    <w:rsid w:val="00F77900"/>
    <w:rsid w:val="00F779CA"/>
    <w:rsid w:val="00F8041B"/>
    <w:rsid w:val="00F8055B"/>
    <w:rsid w:val="00F8067E"/>
    <w:rsid w:val="00F80809"/>
    <w:rsid w:val="00F8094D"/>
    <w:rsid w:val="00F80A74"/>
    <w:rsid w:val="00F824EE"/>
    <w:rsid w:val="00F82A51"/>
    <w:rsid w:val="00F82AE6"/>
    <w:rsid w:val="00F82CAE"/>
    <w:rsid w:val="00F82DF6"/>
    <w:rsid w:val="00F83ACF"/>
    <w:rsid w:val="00F83BE9"/>
    <w:rsid w:val="00F83DF6"/>
    <w:rsid w:val="00F8473B"/>
    <w:rsid w:val="00F847C3"/>
    <w:rsid w:val="00F848CB"/>
    <w:rsid w:val="00F84A52"/>
    <w:rsid w:val="00F84A6A"/>
    <w:rsid w:val="00F84C17"/>
    <w:rsid w:val="00F8599E"/>
    <w:rsid w:val="00F859F4"/>
    <w:rsid w:val="00F8636C"/>
    <w:rsid w:val="00F86381"/>
    <w:rsid w:val="00F86666"/>
    <w:rsid w:val="00F8677C"/>
    <w:rsid w:val="00F86AFF"/>
    <w:rsid w:val="00F86C7C"/>
    <w:rsid w:val="00F86D7D"/>
    <w:rsid w:val="00F87543"/>
    <w:rsid w:val="00F87675"/>
    <w:rsid w:val="00F877BA"/>
    <w:rsid w:val="00F8787D"/>
    <w:rsid w:val="00F87A3A"/>
    <w:rsid w:val="00F90550"/>
    <w:rsid w:val="00F90664"/>
    <w:rsid w:val="00F9098E"/>
    <w:rsid w:val="00F91208"/>
    <w:rsid w:val="00F9228A"/>
    <w:rsid w:val="00F9245B"/>
    <w:rsid w:val="00F92E10"/>
    <w:rsid w:val="00F92F98"/>
    <w:rsid w:val="00F93332"/>
    <w:rsid w:val="00F93DBC"/>
    <w:rsid w:val="00F94605"/>
    <w:rsid w:val="00F94D7C"/>
    <w:rsid w:val="00F94E93"/>
    <w:rsid w:val="00F95A2B"/>
    <w:rsid w:val="00F95B8A"/>
    <w:rsid w:val="00F9659F"/>
    <w:rsid w:val="00F96885"/>
    <w:rsid w:val="00F968EA"/>
    <w:rsid w:val="00F975F3"/>
    <w:rsid w:val="00F97C6F"/>
    <w:rsid w:val="00FA09D7"/>
    <w:rsid w:val="00FA2452"/>
    <w:rsid w:val="00FA27BA"/>
    <w:rsid w:val="00FA32FE"/>
    <w:rsid w:val="00FA3641"/>
    <w:rsid w:val="00FA43BC"/>
    <w:rsid w:val="00FA45A7"/>
    <w:rsid w:val="00FA5B12"/>
    <w:rsid w:val="00FA5D3E"/>
    <w:rsid w:val="00FA5E7C"/>
    <w:rsid w:val="00FA68D1"/>
    <w:rsid w:val="00FA6C83"/>
    <w:rsid w:val="00FA72C4"/>
    <w:rsid w:val="00FA77BF"/>
    <w:rsid w:val="00FA7A20"/>
    <w:rsid w:val="00FA7E74"/>
    <w:rsid w:val="00FB0265"/>
    <w:rsid w:val="00FB0B88"/>
    <w:rsid w:val="00FB0E1C"/>
    <w:rsid w:val="00FB10D4"/>
    <w:rsid w:val="00FB1771"/>
    <w:rsid w:val="00FB1CAD"/>
    <w:rsid w:val="00FB1E9A"/>
    <w:rsid w:val="00FB2859"/>
    <w:rsid w:val="00FB2D61"/>
    <w:rsid w:val="00FB34E5"/>
    <w:rsid w:val="00FB47DE"/>
    <w:rsid w:val="00FB60A6"/>
    <w:rsid w:val="00FC0337"/>
    <w:rsid w:val="00FC0397"/>
    <w:rsid w:val="00FC0D2F"/>
    <w:rsid w:val="00FC0EBE"/>
    <w:rsid w:val="00FC1752"/>
    <w:rsid w:val="00FC17DD"/>
    <w:rsid w:val="00FC18B3"/>
    <w:rsid w:val="00FC1CFF"/>
    <w:rsid w:val="00FC228E"/>
    <w:rsid w:val="00FC290F"/>
    <w:rsid w:val="00FC3500"/>
    <w:rsid w:val="00FC3530"/>
    <w:rsid w:val="00FC36B2"/>
    <w:rsid w:val="00FC371E"/>
    <w:rsid w:val="00FC3D14"/>
    <w:rsid w:val="00FC3D18"/>
    <w:rsid w:val="00FC44E5"/>
    <w:rsid w:val="00FC44F4"/>
    <w:rsid w:val="00FC4AF3"/>
    <w:rsid w:val="00FC4D9C"/>
    <w:rsid w:val="00FC5229"/>
    <w:rsid w:val="00FC61D8"/>
    <w:rsid w:val="00FC68BF"/>
    <w:rsid w:val="00FC7E13"/>
    <w:rsid w:val="00FD0979"/>
    <w:rsid w:val="00FD0B6D"/>
    <w:rsid w:val="00FD0D3B"/>
    <w:rsid w:val="00FD161E"/>
    <w:rsid w:val="00FD1D18"/>
    <w:rsid w:val="00FD239E"/>
    <w:rsid w:val="00FD2B91"/>
    <w:rsid w:val="00FD2FED"/>
    <w:rsid w:val="00FD4478"/>
    <w:rsid w:val="00FD4894"/>
    <w:rsid w:val="00FD4AA0"/>
    <w:rsid w:val="00FD4F1B"/>
    <w:rsid w:val="00FD541B"/>
    <w:rsid w:val="00FD5652"/>
    <w:rsid w:val="00FD56E6"/>
    <w:rsid w:val="00FD59F2"/>
    <w:rsid w:val="00FD65D9"/>
    <w:rsid w:val="00FD66F7"/>
    <w:rsid w:val="00FD682F"/>
    <w:rsid w:val="00FD6C5C"/>
    <w:rsid w:val="00FD716C"/>
    <w:rsid w:val="00FD75CC"/>
    <w:rsid w:val="00FD7AE9"/>
    <w:rsid w:val="00FE02D8"/>
    <w:rsid w:val="00FE145A"/>
    <w:rsid w:val="00FE1C41"/>
    <w:rsid w:val="00FE1EEA"/>
    <w:rsid w:val="00FE2237"/>
    <w:rsid w:val="00FE2418"/>
    <w:rsid w:val="00FE2429"/>
    <w:rsid w:val="00FE2462"/>
    <w:rsid w:val="00FE304B"/>
    <w:rsid w:val="00FE32D7"/>
    <w:rsid w:val="00FE3721"/>
    <w:rsid w:val="00FE37FA"/>
    <w:rsid w:val="00FE4473"/>
    <w:rsid w:val="00FE46E3"/>
    <w:rsid w:val="00FE4AA1"/>
    <w:rsid w:val="00FE528C"/>
    <w:rsid w:val="00FE5550"/>
    <w:rsid w:val="00FE57F5"/>
    <w:rsid w:val="00FE599E"/>
    <w:rsid w:val="00FE7570"/>
    <w:rsid w:val="00FE777A"/>
    <w:rsid w:val="00FF00BB"/>
    <w:rsid w:val="00FF12F5"/>
    <w:rsid w:val="00FF17BF"/>
    <w:rsid w:val="00FF193A"/>
    <w:rsid w:val="00FF1F1E"/>
    <w:rsid w:val="00FF22FB"/>
    <w:rsid w:val="00FF28BF"/>
    <w:rsid w:val="00FF2A0B"/>
    <w:rsid w:val="00FF2D24"/>
    <w:rsid w:val="00FF2EB2"/>
    <w:rsid w:val="00FF36EC"/>
    <w:rsid w:val="00FF36FC"/>
    <w:rsid w:val="00FF3A63"/>
    <w:rsid w:val="00FF4028"/>
    <w:rsid w:val="00FF547C"/>
    <w:rsid w:val="00FF665C"/>
    <w:rsid w:val="00FF6B73"/>
    <w:rsid w:val="00FF6C37"/>
    <w:rsid w:val="00FF6D40"/>
    <w:rsid w:val="00FF72EC"/>
    <w:rsid w:val="00FF7EF8"/>
    <w:rsid w:val="021E53C6"/>
    <w:rsid w:val="02F050A0"/>
    <w:rsid w:val="02F649A7"/>
    <w:rsid w:val="034E5101"/>
    <w:rsid w:val="041D719F"/>
    <w:rsid w:val="045B02E2"/>
    <w:rsid w:val="045F5492"/>
    <w:rsid w:val="04E969F8"/>
    <w:rsid w:val="05535EB4"/>
    <w:rsid w:val="05F10FF2"/>
    <w:rsid w:val="0677721E"/>
    <w:rsid w:val="06BC58E5"/>
    <w:rsid w:val="070D6429"/>
    <w:rsid w:val="076433DB"/>
    <w:rsid w:val="078B276F"/>
    <w:rsid w:val="07A55D55"/>
    <w:rsid w:val="080B0DEB"/>
    <w:rsid w:val="080E2F0C"/>
    <w:rsid w:val="08CC619C"/>
    <w:rsid w:val="08F43FAA"/>
    <w:rsid w:val="09095E2C"/>
    <w:rsid w:val="09CA163A"/>
    <w:rsid w:val="0AF55BCD"/>
    <w:rsid w:val="0C4B3BFD"/>
    <w:rsid w:val="0C7B7234"/>
    <w:rsid w:val="0C9A091F"/>
    <w:rsid w:val="0CA91ECA"/>
    <w:rsid w:val="0D3B48BC"/>
    <w:rsid w:val="0E110E12"/>
    <w:rsid w:val="0E2E29EB"/>
    <w:rsid w:val="0F023B5B"/>
    <w:rsid w:val="0FB85909"/>
    <w:rsid w:val="104C6C51"/>
    <w:rsid w:val="107A618F"/>
    <w:rsid w:val="10F45D16"/>
    <w:rsid w:val="11AF1B72"/>
    <w:rsid w:val="11EB450C"/>
    <w:rsid w:val="11F517FE"/>
    <w:rsid w:val="121C0D71"/>
    <w:rsid w:val="125B2D22"/>
    <w:rsid w:val="12D443D4"/>
    <w:rsid w:val="134A7D3F"/>
    <w:rsid w:val="137E0161"/>
    <w:rsid w:val="140C5C91"/>
    <w:rsid w:val="145C422A"/>
    <w:rsid w:val="14825F58"/>
    <w:rsid w:val="14EE366E"/>
    <w:rsid w:val="15274088"/>
    <w:rsid w:val="15415631"/>
    <w:rsid w:val="156813EF"/>
    <w:rsid w:val="162309F7"/>
    <w:rsid w:val="16424C12"/>
    <w:rsid w:val="164376C3"/>
    <w:rsid w:val="165276D8"/>
    <w:rsid w:val="16715DB0"/>
    <w:rsid w:val="16C71469"/>
    <w:rsid w:val="175042AD"/>
    <w:rsid w:val="17C829FE"/>
    <w:rsid w:val="18482C69"/>
    <w:rsid w:val="187A4312"/>
    <w:rsid w:val="18A67014"/>
    <w:rsid w:val="18DA2A4D"/>
    <w:rsid w:val="1A0F6C0C"/>
    <w:rsid w:val="1A2B43DE"/>
    <w:rsid w:val="1A9C29B5"/>
    <w:rsid w:val="1B891B18"/>
    <w:rsid w:val="1BB2553B"/>
    <w:rsid w:val="1BFF1EE2"/>
    <w:rsid w:val="1C8D5259"/>
    <w:rsid w:val="1CC64075"/>
    <w:rsid w:val="1CF9545E"/>
    <w:rsid w:val="1D8B5B16"/>
    <w:rsid w:val="1E0F5A91"/>
    <w:rsid w:val="1E2412CE"/>
    <w:rsid w:val="1F082DEE"/>
    <w:rsid w:val="20610B06"/>
    <w:rsid w:val="206528CB"/>
    <w:rsid w:val="20BC429A"/>
    <w:rsid w:val="21076FA7"/>
    <w:rsid w:val="215E123D"/>
    <w:rsid w:val="22570BB6"/>
    <w:rsid w:val="22E62557"/>
    <w:rsid w:val="23EF0915"/>
    <w:rsid w:val="23F058F5"/>
    <w:rsid w:val="248660ED"/>
    <w:rsid w:val="254D052E"/>
    <w:rsid w:val="25F25FDE"/>
    <w:rsid w:val="26023A0C"/>
    <w:rsid w:val="260A6F84"/>
    <w:rsid w:val="26214B56"/>
    <w:rsid w:val="26E55D3F"/>
    <w:rsid w:val="27526C4A"/>
    <w:rsid w:val="285C0764"/>
    <w:rsid w:val="288D2754"/>
    <w:rsid w:val="2893064F"/>
    <w:rsid w:val="289D3D40"/>
    <w:rsid w:val="28BE74B6"/>
    <w:rsid w:val="29075E2A"/>
    <w:rsid w:val="29BC11C6"/>
    <w:rsid w:val="2A0E7349"/>
    <w:rsid w:val="2A1235B3"/>
    <w:rsid w:val="2A20227A"/>
    <w:rsid w:val="2A437E2B"/>
    <w:rsid w:val="2B2C2086"/>
    <w:rsid w:val="2B770F44"/>
    <w:rsid w:val="2D1F0646"/>
    <w:rsid w:val="2D375590"/>
    <w:rsid w:val="2D575242"/>
    <w:rsid w:val="2D7C0EB1"/>
    <w:rsid w:val="2DE269F9"/>
    <w:rsid w:val="301528B8"/>
    <w:rsid w:val="31231754"/>
    <w:rsid w:val="3163445D"/>
    <w:rsid w:val="3249716B"/>
    <w:rsid w:val="32B56802"/>
    <w:rsid w:val="32D642FE"/>
    <w:rsid w:val="333762E9"/>
    <w:rsid w:val="33D2041B"/>
    <w:rsid w:val="33EE6027"/>
    <w:rsid w:val="34AF482C"/>
    <w:rsid w:val="34B6636F"/>
    <w:rsid w:val="35FC48CB"/>
    <w:rsid w:val="36A55DEE"/>
    <w:rsid w:val="36B13C49"/>
    <w:rsid w:val="37C36D4D"/>
    <w:rsid w:val="381E4219"/>
    <w:rsid w:val="38542DAD"/>
    <w:rsid w:val="386F3902"/>
    <w:rsid w:val="394744BB"/>
    <w:rsid w:val="39BF3787"/>
    <w:rsid w:val="3A0D5641"/>
    <w:rsid w:val="3AA672F0"/>
    <w:rsid w:val="3AE970EB"/>
    <w:rsid w:val="3B872D29"/>
    <w:rsid w:val="3BDC5339"/>
    <w:rsid w:val="3C352AFB"/>
    <w:rsid w:val="3CE63FF6"/>
    <w:rsid w:val="3D056A03"/>
    <w:rsid w:val="3D29798B"/>
    <w:rsid w:val="3FDF6AC8"/>
    <w:rsid w:val="40E22151"/>
    <w:rsid w:val="41B77C47"/>
    <w:rsid w:val="41DE13C8"/>
    <w:rsid w:val="43515AD6"/>
    <w:rsid w:val="437904AB"/>
    <w:rsid w:val="43AC0269"/>
    <w:rsid w:val="43B73129"/>
    <w:rsid w:val="43EE20BF"/>
    <w:rsid w:val="453A2285"/>
    <w:rsid w:val="45FE6AA0"/>
    <w:rsid w:val="46905594"/>
    <w:rsid w:val="474571CF"/>
    <w:rsid w:val="477B383C"/>
    <w:rsid w:val="47C57DE9"/>
    <w:rsid w:val="48654E68"/>
    <w:rsid w:val="49471428"/>
    <w:rsid w:val="49BC28D4"/>
    <w:rsid w:val="4A3A490C"/>
    <w:rsid w:val="4AC66FA7"/>
    <w:rsid w:val="4B484E2A"/>
    <w:rsid w:val="4B5E2E45"/>
    <w:rsid w:val="4B634CAC"/>
    <w:rsid w:val="4BBA701C"/>
    <w:rsid w:val="4BC470FA"/>
    <w:rsid w:val="4C383661"/>
    <w:rsid w:val="4C4E70A1"/>
    <w:rsid w:val="4D081C4E"/>
    <w:rsid w:val="4E067A35"/>
    <w:rsid w:val="4EC44E92"/>
    <w:rsid w:val="4F021DC7"/>
    <w:rsid w:val="4F512648"/>
    <w:rsid w:val="4FBD7D5C"/>
    <w:rsid w:val="50FD3857"/>
    <w:rsid w:val="51EE2E21"/>
    <w:rsid w:val="5259640F"/>
    <w:rsid w:val="525E6C60"/>
    <w:rsid w:val="526828D5"/>
    <w:rsid w:val="540C1F42"/>
    <w:rsid w:val="54837AA4"/>
    <w:rsid w:val="558E1079"/>
    <w:rsid w:val="55DD1170"/>
    <w:rsid w:val="56BB1CCB"/>
    <w:rsid w:val="572841C2"/>
    <w:rsid w:val="573043B3"/>
    <w:rsid w:val="57414C5D"/>
    <w:rsid w:val="586D5825"/>
    <w:rsid w:val="591566D5"/>
    <w:rsid w:val="59560005"/>
    <w:rsid w:val="597F015D"/>
    <w:rsid w:val="59842D5C"/>
    <w:rsid w:val="59AC4638"/>
    <w:rsid w:val="5A5C4F28"/>
    <w:rsid w:val="5A934FEE"/>
    <w:rsid w:val="5AAD28DB"/>
    <w:rsid w:val="5AEF2224"/>
    <w:rsid w:val="5B7E57D9"/>
    <w:rsid w:val="5D63431D"/>
    <w:rsid w:val="5DBB6AAB"/>
    <w:rsid w:val="5E1F471F"/>
    <w:rsid w:val="5EF52EEF"/>
    <w:rsid w:val="5F027872"/>
    <w:rsid w:val="5F052048"/>
    <w:rsid w:val="5F1F564E"/>
    <w:rsid w:val="5F51324C"/>
    <w:rsid w:val="5F753B62"/>
    <w:rsid w:val="5FC075BA"/>
    <w:rsid w:val="60C21FE0"/>
    <w:rsid w:val="60E4081F"/>
    <w:rsid w:val="610546AC"/>
    <w:rsid w:val="614855EE"/>
    <w:rsid w:val="61695620"/>
    <w:rsid w:val="61894FF8"/>
    <w:rsid w:val="61957957"/>
    <w:rsid w:val="61DE4E55"/>
    <w:rsid w:val="63027BFF"/>
    <w:rsid w:val="6398297D"/>
    <w:rsid w:val="64F42692"/>
    <w:rsid w:val="666A2145"/>
    <w:rsid w:val="66BE4026"/>
    <w:rsid w:val="671433EA"/>
    <w:rsid w:val="672E1109"/>
    <w:rsid w:val="67394110"/>
    <w:rsid w:val="675F5BEB"/>
    <w:rsid w:val="677B0A07"/>
    <w:rsid w:val="68772465"/>
    <w:rsid w:val="69081908"/>
    <w:rsid w:val="693833C3"/>
    <w:rsid w:val="694C3940"/>
    <w:rsid w:val="695B72D9"/>
    <w:rsid w:val="6A8D4BF3"/>
    <w:rsid w:val="6B8642A5"/>
    <w:rsid w:val="6C1F04FC"/>
    <w:rsid w:val="6CBB1313"/>
    <w:rsid w:val="6CE2495B"/>
    <w:rsid w:val="6DF9039D"/>
    <w:rsid w:val="6E3E4F73"/>
    <w:rsid w:val="6EBF2C78"/>
    <w:rsid w:val="6EEB432C"/>
    <w:rsid w:val="702E45E1"/>
    <w:rsid w:val="719D62C8"/>
    <w:rsid w:val="7289591C"/>
    <w:rsid w:val="73095045"/>
    <w:rsid w:val="73BB38A0"/>
    <w:rsid w:val="73D21E02"/>
    <w:rsid w:val="73E5342E"/>
    <w:rsid w:val="743B5C12"/>
    <w:rsid w:val="75605532"/>
    <w:rsid w:val="760D67F3"/>
    <w:rsid w:val="776311EF"/>
    <w:rsid w:val="778704BE"/>
    <w:rsid w:val="779D7D11"/>
    <w:rsid w:val="77E331DE"/>
    <w:rsid w:val="7845393E"/>
    <w:rsid w:val="789B24E3"/>
    <w:rsid w:val="79B319E6"/>
    <w:rsid w:val="7A4A67F9"/>
    <w:rsid w:val="7A6C6E80"/>
    <w:rsid w:val="7A806DF1"/>
    <w:rsid w:val="7AD70183"/>
    <w:rsid w:val="7AF272FC"/>
    <w:rsid w:val="7AF43BFB"/>
    <w:rsid w:val="7B6F4FCF"/>
    <w:rsid w:val="7B9137BD"/>
    <w:rsid w:val="7C1D4C9E"/>
    <w:rsid w:val="7D0A7E5C"/>
    <w:rsid w:val="7E483E67"/>
    <w:rsid w:val="7E4871DB"/>
    <w:rsid w:val="7E7E2DF8"/>
    <w:rsid w:val="7EB84ADB"/>
    <w:rsid w:val="7FD32D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ocked="1"/>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ocked="1"/>
    <w:lsdException w:qFormat="1" w:unhideWhenUsed="0" w:uiPriority="0" w:semiHidden="0" w:name="caption"/>
    <w:lsdException w:uiPriority="99" w:name="table of figures" w:locked="1"/>
    <w:lsdException w:qFormat="1" w:unhideWhenUsed="0" w:uiPriority="99" w:name="envelope address"/>
    <w:lsdException w:qFormat="1" w:unhideWhenUsed="0" w:uiPriority="99" w:name="envelope return"/>
    <w:lsdException w:qFormat="1" w:unhideWhenUsed="0" w:uiPriority="0" w:name="footnote reference" w:locked="1"/>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28"/>
    <w:qFormat/>
    <w:uiPriority w:val="99"/>
    <w:pPr>
      <w:tabs>
        <w:tab w:val="right" w:leader="dot" w:pos="9061"/>
      </w:tabs>
      <w:jc w:val="center"/>
      <w:outlineLvl w:val="0"/>
    </w:pPr>
    <w:rPr>
      <w:b/>
      <w:sz w:val="36"/>
    </w:rPr>
  </w:style>
  <w:style w:type="paragraph" w:styleId="3">
    <w:name w:val="heading 2"/>
    <w:basedOn w:val="1"/>
    <w:next w:val="1"/>
    <w:link w:val="284"/>
    <w:qFormat/>
    <w:uiPriority w:val="9"/>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72"/>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294"/>
    <w:qFormat/>
    <w:uiPriority w:val="9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275"/>
    <w:qFormat/>
    <w:uiPriority w:val="99"/>
    <w:pPr>
      <w:keepNext/>
      <w:keepLines/>
      <w:spacing w:before="280" w:after="290" w:line="376" w:lineRule="auto"/>
      <w:outlineLvl w:val="4"/>
    </w:pPr>
    <w:rPr>
      <w:b/>
      <w:bCs/>
      <w:kern w:val="0"/>
      <w:sz w:val="28"/>
      <w:szCs w:val="28"/>
    </w:rPr>
  </w:style>
  <w:style w:type="paragraph" w:styleId="7">
    <w:name w:val="heading 6"/>
    <w:basedOn w:val="1"/>
    <w:next w:val="1"/>
    <w:link w:val="290"/>
    <w:qFormat/>
    <w:uiPriority w:val="99"/>
    <w:pPr>
      <w:keepNext/>
      <w:keepLines/>
      <w:spacing w:before="240" w:after="64" w:line="320" w:lineRule="auto"/>
      <w:outlineLvl w:val="5"/>
    </w:pPr>
    <w:rPr>
      <w:rFonts w:ascii="Arial" w:hAnsi="Arial" w:eastAsia="黑体"/>
      <w:b/>
      <w:bCs/>
      <w:kern w:val="0"/>
      <w:sz w:val="20"/>
      <w:szCs w:val="20"/>
    </w:rPr>
  </w:style>
  <w:style w:type="paragraph" w:styleId="8">
    <w:name w:val="heading 7"/>
    <w:basedOn w:val="1"/>
    <w:next w:val="1"/>
    <w:link w:val="276"/>
    <w:qFormat/>
    <w:uiPriority w:val="99"/>
    <w:pPr>
      <w:keepNext/>
      <w:keepLines/>
      <w:spacing w:before="240" w:after="64" w:line="320" w:lineRule="auto"/>
      <w:jc w:val="left"/>
      <w:outlineLvl w:val="6"/>
    </w:pPr>
    <w:rPr>
      <w:b/>
      <w:bCs/>
      <w:kern w:val="0"/>
      <w:sz w:val="24"/>
      <w:szCs w:val="24"/>
    </w:rPr>
  </w:style>
  <w:style w:type="paragraph" w:styleId="9">
    <w:name w:val="heading 8"/>
    <w:basedOn w:val="1"/>
    <w:next w:val="1"/>
    <w:link w:val="326"/>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0">
    <w:name w:val="heading 9"/>
    <w:basedOn w:val="1"/>
    <w:next w:val="1"/>
    <w:link w:val="312"/>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1">
    <w:name w:val="Default Paragraph Font"/>
    <w:semiHidden/>
    <w:unhideWhenUsed/>
    <w:qFormat/>
    <w:uiPriority w:val="1"/>
  </w:style>
  <w:style w:type="table" w:default="1" w:styleId="76">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style>
  <w:style w:type="paragraph" w:styleId="12">
    <w:name w:val="toc 7"/>
    <w:basedOn w:val="1"/>
    <w:next w:val="1"/>
    <w:qFormat/>
    <w:uiPriority w:val="0"/>
    <w:pPr>
      <w:ind w:left="1260"/>
      <w:jc w:val="left"/>
    </w:pPr>
    <w:rPr>
      <w:sz w:val="18"/>
      <w:szCs w:val="18"/>
    </w:rPr>
  </w:style>
  <w:style w:type="paragraph" w:styleId="13">
    <w:name w:val="List Number 2"/>
    <w:basedOn w:val="1"/>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4">
    <w:name w:val="table of authorities"/>
    <w:basedOn w:val="1"/>
    <w:next w:val="1"/>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5">
    <w:name w:val="Note Heading"/>
    <w:basedOn w:val="1"/>
    <w:next w:val="1"/>
    <w:link w:val="330"/>
    <w:semiHidden/>
    <w:qFormat/>
    <w:uiPriority w:val="99"/>
    <w:pPr>
      <w:spacing w:after="200" w:line="276" w:lineRule="auto"/>
      <w:jc w:val="center"/>
    </w:pPr>
    <w:rPr>
      <w:kern w:val="0"/>
    </w:rPr>
  </w:style>
  <w:style w:type="paragraph" w:styleId="16">
    <w:name w:val="List Bullet 4"/>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7">
    <w:name w:val="E-mail Signature"/>
    <w:basedOn w:val="1"/>
    <w:link w:val="303"/>
    <w:semiHidden/>
    <w:qFormat/>
    <w:uiPriority w:val="99"/>
    <w:pPr>
      <w:spacing w:after="200" w:line="276" w:lineRule="auto"/>
      <w:jc w:val="left"/>
    </w:pPr>
    <w:rPr>
      <w:kern w:val="0"/>
    </w:rPr>
  </w:style>
  <w:style w:type="paragraph" w:styleId="18">
    <w:name w:val="List Number"/>
    <w:basedOn w:val="1"/>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19">
    <w:name w:val="Normal Indent"/>
    <w:basedOn w:val="1"/>
    <w:link w:val="270"/>
    <w:qFormat/>
    <w:uiPriority w:val="99"/>
    <w:pPr>
      <w:ind w:firstLine="420" w:firstLineChars="200"/>
    </w:pPr>
    <w:rPr>
      <w:kern w:val="0"/>
    </w:rPr>
  </w:style>
  <w:style w:type="paragraph" w:styleId="20">
    <w:name w:val="caption"/>
    <w:basedOn w:val="1"/>
    <w:next w:val="1"/>
    <w:qFormat/>
    <w:uiPriority w:val="0"/>
    <w:pPr>
      <w:spacing w:before="152" w:after="160"/>
    </w:pPr>
    <w:rPr>
      <w:rFonts w:ascii="Arial" w:hAnsi="Arial" w:eastAsia="黑体" w:cs="Arial"/>
      <w:sz w:val="20"/>
      <w:szCs w:val="20"/>
    </w:rPr>
  </w:style>
  <w:style w:type="paragraph" w:styleId="21">
    <w:name w:val="List Bullet"/>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2">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3">
    <w:name w:val="Document Map"/>
    <w:basedOn w:val="1"/>
    <w:link w:val="315"/>
    <w:qFormat/>
    <w:uiPriority w:val="0"/>
    <w:pPr>
      <w:shd w:val="clear" w:color="auto" w:fill="000080"/>
    </w:pPr>
    <w:rPr>
      <w:kern w:val="0"/>
      <w:sz w:val="2"/>
      <w:szCs w:val="2"/>
    </w:rPr>
  </w:style>
  <w:style w:type="paragraph" w:styleId="24">
    <w:name w:val="toa heading"/>
    <w:basedOn w:val="1"/>
    <w:next w:val="1"/>
    <w:qFormat/>
    <w:uiPriority w:val="0"/>
    <w:pPr>
      <w:spacing w:before="120"/>
    </w:pPr>
    <w:rPr>
      <w:rFonts w:ascii="Arial" w:hAnsi="Arial" w:cs="Arial"/>
      <w:sz w:val="24"/>
      <w:szCs w:val="24"/>
    </w:rPr>
  </w:style>
  <w:style w:type="paragraph" w:styleId="25">
    <w:name w:val="annotation text"/>
    <w:basedOn w:val="1"/>
    <w:link w:val="292"/>
    <w:qFormat/>
    <w:uiPriority w:val="99"/>
    <w:pPr>
      <w:spacing w:after="200" w:line="276" w:lineRule="auto"/>
      <w:jc w:val="left"/>
    </w:pPr>
    <w:rPr>
      <w:kern w:val="0"/>
    </w:rPr>
  </w:style>
  <w:style w:type="paragraph" w:styleId="26">
    <w:name w:val="Salutation"/>
    <w:basedOn w:val="1"/>
    <w:next w:val="1"/>
    <w:link w:val="258"/>
    <w:qFormat/>
    <w:uiPriority w:val="99"/>
    <w:pPr>
      <w:spacing w:after="200" w:line="276" w:lineRule="auto"/>
      <w:jc w:val="left"/>
    </w:pPr>
    <w:rPr>
      <w:kern w:val="0"/>
    </w:rPr>
  </w:style>
  <w:style w:type="paragraph" w:styleId="27">
    <w:name w:val="Body Text 3"/>
    <w:basedOn w:val="1"/>
    <w:link w:val="310"/>
    <w:qFormat/>
    <w:uiPriority w:val="99"/>
    <w:rPr>
      <w:kern w:val="0"/>
      <w:sz w:val="16"/>
      <w:szCs w:val="16"/>
    </w:rPr>
  </w:style>
  <w:style w:type="paragraph" w:styleId="28">
    <w:name w:val="Closing"/>
    <w:basedOn w:val="1"/>
    <w:link w:val="329"/>
    <w:semiHidden/>
    <w:qFormat/>
    <w:uiPriority w:val="99"/>
    <w:pPr>
      <w:spacing w:after="200" w:line="276" w:lineRule="auto"/>
      <w:ind w:left="100" w:leftChars="2100"/>
      <w:jc w:val="left"/>
    </w:pPr>
    <w:rPr>
      <w:kern w:val="0"/>
    </w:rPr>
  </w:style>
  <w:style w:type="paragraph" w:styleId="29">
    <w:name w:val="List Bullet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0">
    <w:name w:val="Body Text"/>
    <w:basedOn w:val="1"/>
    <w:link w:val="277"/>
    <w:qFormat/>
    <w:uiPriority w:val="99"/>
    <w:pPr>
      <w:spacing w:after="120"/>
    </w:pPr>
    <w:rPr>
      <w:kern w:val="0"/>
    </w:rPr>
  </w:style>
  <w:style w:type="paragraph" w:styleId="31">
    <w:name w:val="Body Text Indent"/>
    <w:basedOn w:val="1"/>
    <w:link w:val="313"/>
    <w:qFormat/>
    <w:uiPriority w:val="0"/>
    <w:pPr>
      <w:spacing w:line="500" w:lineRule="exact"/>
      <w:ind w:left="1588" w:leftChars="832" w:firstLine="433" w:firstLineChars="196"/>
    </w:pPr>
    <w:rPr>
      <w:kern w:val="0"/>
    </w:rPr>
  </w:style>
  <w:style w:type="paragraph" w:styleId="32">
    <w:name w:val="List Number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3">
    <w:name w:val="List 2"/>
    <w:basedOn w:val="1"/>
    <w:qFormat/>
    <w:uiPriority w:val="99"/>
    <w:pPr>
      <w:ind w:left="100" w:leftChars="200" w:hanging="200" w:hangingChars="200"/>
    </w:pPr>
  </w:style>
  <w:style w:type="paragraph" w:styleId="34">
    <w:name w:val="List Continue"/>
    <w:basedOn w:val="1"/>
    <w:qFormat/>
    <w:uiPriority w:val="99"/>
    <w:pPr>
      <w:spacing w:after="120"/>
      <w:ind w:left="420" w:leftChars="200"/>
    </w:pPr>
  </w:style>
  <w:style w:type="paragraph" w:styleId="35">
    <w:name w:val="Block Text"/>
    <w:basedOn w:val="1"/>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6">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7">
    <w:name w:val="HTML Address"/>
    <w:basedOn w:val="1"/>
    <w:link w:val="317"/>
    <w:semiHidden/>
    <w:qFormat/>
    <w:uiPriority w:val="99"/>
    <w:pPr>
      <w:spacing w:after="200" w:line="276" w:lineRule="auto"/>
      <w:jc w:val="left"/>
    </w:pPr>
    <w:rPr>
      <w:i/>
      <w:iCs/>
      <w:kern w:val="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39"/>
    <w:pPr>
      <w:spacing w:line="360" w:lineRule="auto"/>
      <w:ind w:left="420"/>
      <w:jc w:val="left"/>
    </w:pPr>
    <w:rPr>
      <w:iCs/>
      <w:sz w:val="24"/>
      <w:szCs w:val="20"/>
    </w:rPr>
  </w:style>
  <w:style w:type="paragraph" w:styleId="40">
    <w:name w:val="Plain Text"/>
    <w:basedOn w:val="1"/>
    <w:link w:val="306"/>
    <w:qFormat/>
    <w:uiPriority w:val="0"/>
    <w:rPr>
      <w:rFonts w:ascii="宋体" w:hAnsi="Courier New"/>
      <w:kern w:val="0"/>
    </w:rPr>
  </w:style>
  <w:style w:type="paragraph" w:styleId="41">
    <w:name w:val="List Bullet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2">
    <w:name w:val="List Number 4"/>
    <w:basedOn w:val="1"/>
    <w:semiHidden/>
    <w:qFormat/>
    <w:uiPriority w:val="99"/>
    <w:pPr>
      <w:numPr>
        <w:ilvl w:val="0"/>
        <w:numId w:val="1"/>
      </w:numPr>
      <w:tabs>
        <w:tab w:val="left" w:pos="420"/>
        <w:tab w:val="clear" w:pos="360"/>
      </w:tabs>
      <w:spacing w:after="200" w:line="276" w:lineRule="auto"/>
      <w:ind w:left="420" w:hanging="420"/>
      <w:jc w:val="left"/>
    </w:pPr>
    <w:rPr>
      <w:rFonts w:ascii="Calibri" w:hAnsi="Calibri" w:cs="Calibri"/>
      <w:kern w:val="0"/>
      <w:sz w:val="22"/>
      <w:szCs w:val="22"/>
      <w:lang w:eastAsia="en-US"/>
    </w:rPr>
  </w:style>
  <w:style w:type="paragraph" w:styleId="43">
    <w:name w:val="toc 8"/>
    <w:basedOn w:val="1"/>
    <w:next w:val="1"/>
    <w:qFormat/>
    <w:uiPriority w:val="0"/>
    <w:pPr>
      <w:ind w:left="1470"/>
      <w:jc w:val="left"/>
    </w:pPr>
    <w:rPr>
      <w:sz w:val="18"/>
      <w:szCs w:val="18"/>
    </w:rPr>
  </w:style>
  <w:style w:type="paragraph" w:styleId="44">
    <w:name w:val="Date"/>
    <w:basedOn w:val="1"/>
    <w:next w:val="1"/>
    <w:link w:val="293"/>
    <w:qFormat/>
    <w:uiPriority w:val="0"/>
    <w:pPr>
      <w:ind w:left="100" w:leftChars="2500"/>
    </w:pPr>
    <w:rPr>
      <w:kern w:val="0"/>
    </w:rPr>
  </w:style>
  <w:style w:type="paragraph" w:styleId="45">
    <w:name w:val="Body Text Indent 2"/>
    <w:basedOn w:val="1"/>
    <w:link w:val="300"/>
    <w:qFormat/>
    <w:uiPriority w:val="0"/>
    <w:pPr>
      <w:spacing w:line="500" w:lineRule="exact"/>
      <w:ind w:firstLine="442" w:firstLineChars="200"/>
    </w:pPr>
    <w:rPr>
      <w:kern w:val="0"/>
    </w:rPr>
  </w:style>
  <w:style w:type="paragraph" w:styleId="46">
    <w:name w:val="List Continue 5"/>
    <w:basedOn w:val="1"/>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7">
    <w:name w:val="Balloon Text"/>
    <w:basedOn w:val="1"/>
    <w:link w:val="295"/>
    <w:qFormat/>
    <w:uiPriority w:val="99"/>
    <w:rPr>
      <w:sz w:val="18"/>
      <w:szCs w:val="18"/>
    </w:rPr>
  </w:style>
  <w:style w:type="paragraph" w:styleId="48">
    <w:name w:val="footer"/>
    <w:basedOn w:val="1"/>
    <w:link w:val="325"/>
    <w:qFormat/>
    <w:uiPriority w:val="99"/>
    <w:pPr>
      <w:tabs>
        <w:tab w:val="center" w:pos="4153"/>
        <w:tab w:val="right" w:pos="8306"/>
      </w:tabs>
      <w:snapToGrid w:val="0"/>
      <w:jc w:val="left"/>
    </w:pPr>
    <w:rPr>
      <w:kern w:val="0"/>
      <w:sz w:val="18"/>
      <w:szCs w:val="18"/>
    </w:rPr>
  </w:style>
  <w:style w:type="paragraph" w:styleId="49">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0">
    <w:name w:val="header"/>
    <w:basedOn w:val="1"/>
    <w:link w:val="309"/>
    <w:qFormat/>
    <w:uiPriority w:val="0"/>
    <w:pPr>
      <w:pBdr>
        <w:bottom w:val="single" w:color="auto" w:sz="6" w:space="1"/>
      </w:pBdr>
      <w:tabs>
        <w:tab w:val="center" w:pos="4153"/>
        <w:tab w:val="right" w:pos="8306"/>
      </w:tabs>
      <w:snapToGrid w:val="0"/>
      <w:jc w:val="center"/>
    </w:pPr>
    <w:rPr>
      <w:kern w:val="0"/>
      <w:sz w:val="18"/>
      <w:szCs w:val="18"/>
    </w:rPr>
  </w:style>
  <w:style w:type="paragraph" w:styleId="51">
    <w:name w:val="Signature"/>
    <w:basedOn w:val="1"/>
    <w:link w:val="324"/>
    <w:qFormat/>
    <w:uiPriority w:val="99"/>
    <w:pPr>
      <w:ind w:left="100" w:leftChars="2100"/>
    </w:pPr>
    <w:rPr>
      <w:kern w:val="0"/>
    </w:rPr>
  </w:style>
  <w:style w:type="paragraph" w:styleId="52">
    <w:name w:val="toc 1"/>
    <w:basedOn w:val="1"/>
    <w:next w:val="1"/>
    <w:qFormat/>
    <w:uiPriority w:val="39"/>
    <w:pPr>
      <w:spacing w:before="120" w:after="120"/>
      <w:jc w:val="left"/>
    </w:pPr>
    <w:rPr>
      <w:b/>
      <w:bCs/>
      <w:caps/>
      <w:sz w:val="24"/>
      <w:szCs w:val="20"/>
    </w:rPr>
  </w:style>
  <w:style w:type="paragraph" w:styleId="53">
    <w:name w:val="List Continue 4"/>
    <w:basedOn w:val="1"/>
    <w:qFormat/>
    <w:uiPriority w:val="99"/>
    <w:pPr>
      <w:spacing w:after="120"/>
      <w:ind w:left="1680" w:leftChars="800"/>
    </w:pPr>
  </w:style>
  <w:style w:type="paragraph" w:styleId="54">
    <w:name w:val="toc 4"/>
    <w:basedOn w:val="1"/>
    <w:next w:val="1"/>
    <w:qFormat/>
    <w:uiPriority w:val="0"/>
    <w:pPr>
      <w:ind w:left="630"/>
      <w:jc w:val="left"/>
    </w:pPr>
    <w:rPr>
      <w:sz w:val="18"/>
      <w:szCs w:val="18"/>
    </w:rPr>
  </w:style>
  <w:style w:type="paragraph" w:styleId="55">
    <w:name w:val="Subtitle"/>
    <w:basedOn w:val="1"/>
    <w:link w:val="298"/>
    <w:qFormat/>
    <w:uiPriority w:val="99"/>
    <w:pPr>
      <w:spacing w:before="240" w:after="60" w:line="312" w:lineRule="auto"/>
      <w:jc w:val="center"/>
      <w:outlineLvl w:val="1"/>
    </w:pPr>
    <w:rPr>
      <w:rFonts w:ascii="Cambria" w:hAnsi="Cambria"/>
      <w:b/>
      <w:bCs/>
      <w:kern w:val="28"/>
      <w:sz w:val="32"/>
      <w:szCs w:val="32"/>
    </w:rPr>
  </w:style>
  <w:style w:type="paragraph" w:styleId="56">
    <w:name w:val="List Number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7">
    <w:name w:val="List"/>
    <w:basedOn w:val="1"/>
    <w:qFormat/>
    <w:uiPriority w:val="0"/>
    <w:pPr>
      <w:ind w:left="200" w:hanging="200" w:hangingChars="200"/>
    </w:pPr>
  </w:style>
  <w:style w:type="paragraph" w:styleId="58">
    <w:name w:val="footnote text"/>
    <w:basedOn w:val="1"/>
    <w:semiHidden/>
    <w:qFormat/>
    <w:locked/>
    <w:uiPriority w:val="0"/>
    <w:pPr>
      <w:snapToGrid w:val="0"/>
      <w:jc w:val="left"/>
    </w:pPr>
    <w:rPr>
      <w:sz w:val="18"/>
      <w:szCs w:val="18"/>
    </w:rPr>
  </w:style>
  <w:style w:type="paragraph" w:styleId="59">
    <w:name w:val="toc 6"/>
    <w:basedOn w:val="1"/>
    <w:next w:val="1"/>
    <w:qFormat/>
    <w:uiPriority w:val="0"/>
    <w:pPr>
      <w:ind w:left="1050"/>
      <w:jc w:val="left"/>
    </w:pPr>
    <w:rPr>
      <w:sz w:val="18"/>
      <w:szCs w:val="18"/>
    </w:rPr>
  </w:style>
  <w:style w:type="paragraph" w:styleId="60">
    <w:name w:val="List 5"/>
    <w:basedOn w:val="1"/>
    <w:qFormat/>
    <w:uiPriority w:val="99"/>
    <w:pPr>
      <w:ind w:left="100" w:leftChars="800" w:hanging="200" w:hangingChars="200"/>
    </w:pPr>
  </w:style>
  <w:style w:type="paragraph" w:styleId="61">
    <w:name w:val="Body Text Indent 3"/>
    <w:basedOn w:val="1"/>
    <w:link w:val="263"/>
    <w:qFormat/>
    <w:uiPriority w:val="0"/>
    <w:pPr>
      <w:tabs>
        <w:tab w:val="left" w:pos="1134"/>
        <w:tab w:val="left" w:pos="5481"/>
        <w:tab w:val="left" w:pos="5859"/>
      </w:tabs>
      <w:spacing w:line="500" w:lineRule="exact"/>
      <w:ind w:firstLine="8275" w:firstLineChars="1200"/>
    </w:pPr>
    <w:rPr>
      <w:kern w:val="0"/>
      <w:sz w:val="16"/>
      <w:szCs w:val="16"/>
    </w:rPr>
  </w:style>
  <w:style w:type="paragraph" w:styleId="62">
    <w:name w:val="toc 2"/>
    <w:basedOn w:val="1"/>
    <w:next w:val="1"/>
    <w:qFormat/>
    <w:uiPriority w:val="39"/>
    <w:pPr>
      <w:spacing w:line="360" w:lineRule="auto"/>
      <w:ind w:left="210"/>
      <w:jc w:val="left"/>
    </w:pPr>
    <w:rPr>
      <w:smallCaps/>
      <w:sz w:val="24"/>
      <w:szCs w:val="20"/>
    </w:rPr>
  </w:style>
  <w:style w:type="paragraph" w:styleId="63">
    <w:name w:val="toc 9"/>
    <w:basedOn w:val="1"/>
    <w:next w:val="1"/>
    <w:qFormat/>
    <w:uiPriority w:val="0"/>
    <w:pPr>
      <w:ind w:left="1680"/>
      <w:jc w:val="left"/>
    </w:pPr>
    <w:rPr>
      <w:sz w:val="18"/>
      <w:szCs w:val="18"/>
    </w:rPr>
  </w:style>
  <w:style w:type="paragraph" w:styleId="64">
    <w:name w:val="Body Text 2"/>
    <w:basedOn w:val="1"/>
    <w:link w:val="302"/>
    <w:qFormat/>
    <w:uiPriority w:val="99"/>
    <w:rPr>
      <w:kern w:val="0"/>
    </w:rPr>
  </w:style>
  <w:style w:type="paragraph" w:styleId="65">
    <w:name w:val="List 4"/>
    <w:basedOn w:val="1"/>
    <w:qFormat/>
    <w:uiPriority w:val="99"/>
    <w:pPr>
      <w:ind w:left="100" w:leftChars="600" w:hanging="200" w:hangingChars="200"/>
    </w:pPr>
  </w:style>
  <w:style w:type="paragraph" w:styleId="66">
    <w:name w:val="List Continue 2"/>
    <w:basedOn w:val="1"/>
    <w:qFormat/>
    <w:uiPriority w:val="99"/>
    <w:pPr>
      <w:spacing w:after="120"/>
      <w:ind w:left="840" w:leftChars="400"/>
    </w:pPr>
  </w:style>
  <w:style w:type="paragraph" w:styleId="67">
    <w:name w:val="Message Header"/>
    <w:basedOn w:val="1"/>
    <w:link w:val="322"/>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4"/>
    </w:rPr>
  </w:style>
  <w:style w:type="paragraph" w:styleId="68">
    <w:name w:val="HTML Preformatted"/>
    <w:basedOn w:val="1"/>
    <w:link w:val="285"/>
    <w:semiHidden/>
    <w:qFormat/>
    <w:uiPriority w:val="99"/>
    <w:pPr>
      <w:spacing w:after="200" w:line="276" w:lineRule="auto"/>
      <w:jc w:val="left"/>
    </w:pPr>
    <w:rPr>
      <w:rFonts w:ascii="Courier New" w:hAnsi="Courier New"/>
      <w:kern w:val="0"/>
      <w:sz w:val="20"/>
      <w:szCs w:val="20"/>
    </w:rPr>
  </w:style>
  <w:style w:type="paragraph" w:styleId="6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0">
    <w:name w:val="List Continue 3"/>
    <w:basedOn w:val="1"/>
    <w:qFormat/>
    <w:uiPriority w:val="99"/>
    <w:pPr>
      <w:spacing w:after="120"/>
      <w:ind w:left="1260" w:leftChars="600"/>
    </w:pPr>
  </w:style>
  <w:style w:type="paragraph" w:styleId="71">
    <w:name w:val="index 1"/>
    <w:basedOn w:val="1"/>
    <w:next w:val="1"/>
    <w:qFormat/>
    <w:locked/>
    <w:uiPriority w:val="0"/>
    <w:rPr>
      <w:sz w:val="24"/>
      <w:szCs w:val="24"/>
    </w:rPr>
  </w:style>
  <w:style w:type="paragraph" w:styleId="72">
    <w:name w:val="Title"/>
    <w:basedOn w:val="1"/>
    <w:link w:val="304"/>
    <w:qFormat/>
    <w:uiPriority w:val="0"/>
    <w:pPr>
      <w:spacing w:before="240" w:after="60" w:line="276" w:lineRule="auto"/>
      <w:jc w:val="center"/>
      <w:outlineLvl w:val="0"/>
    </w:pPr>
    <w:rPr>
      <w:rFonts w:ascii="Cambria" w:hAnsi="Cambria"/>
      <w:b/>
      <w:bCs/>
      <w:kern w:val="0"/>
      <w:sz w:val="32"/>
      <w:szCs w:val="32"/>
    </w:rPr>
  </w:style>
  <w:style w:type="paragraph" w:styleId="73">
    <w:name w:val="annotation subject"/>
    <w:basedOn w:val="25"/>
    <w:next w:val="25"/>
    <w:link w:val="269"/>
    <w:semiHidden/>
    <w:qFormat/>
    <w:uiPriority w:val="99"/>
    <w:pPr>
      <w:spacing w:after="0" w:line="240" w:lineRule="auto"/>
    </w:pPr>
    <w:rPr>
      <w:rFonts w:ascii="Calibri" w:hAnsi="Calibri"/>
      <w:b/>
      <w:bCs/>
      <w:lang w:eastAsia="en-US"/>
    </w:rPr>
  </w:style>
  <w:style w:type="paragraph" w:styleId="74">
    <w:name w:val="Body Text First Indent"/>
    <w:basedOn w:val="30"/>
    <w:link w:val="283"/>
    <w:qFormat/>
    <w:uiPriority w:val="99"/>
    <w:pPr>
      <w:spacing w:line="400" w:lineRule="exact"/>
      <w:ind w:firstLine="200" w:firstLineChars="200"/>
    </w:pPr>
  </w:style>
  <w:style w:type="paragraph" w:styleId="75">
    <w:name w:val="Body Text First Indent 2"/>
    <w:basedOn w:val="31"/>
    <w:link w:val="265"/>
    <w:semiHidden/>
    <w:qFormat/>
    <w:uiPriority w:val="99"/>
    <w:pPr>
      <w:spacing w:after="120" w:line="276" w:lineRule="auto"/>
      <w:ind w:left="420" w:leftChars="200" w:firstLine="420" w:firstLineChars="200"/>
      <w:jc w:val="left"/>
    </w:pPr>
  </w:style>
  <w:style w:type="table" w:styleId="77">
    <w:name w:val="Table Grid"/>
    <w:basedOn w:val="76"/>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8">
    <w:name w:val="Table Theme"/>
    <w:basedOn w:val="76"/>
    <w:semiHidden/>
    <w:qFormat/>
    <w:uiPriority w:val="9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Colorful 1"/>
    <w:basedOn w:val="76"/>
    <w:semiHidden/>
    <w:qFormat/>
    <w:uiPriority w:val="99"/>
    <w:pPr>
      <w:widowControl w:val="0"/>
      <w:spacing w:after="200" w:line="276" w:lineRule="auto"/>
    </w:pPr>
    <w:rPr>
      <w:rFonts w:ascii="Calibri" w:hAnsi="Calibri" w:cs="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微软雅黑"/>
        <w:b/>
        <w:bCs/>
        <w:i/>
        <w:iCs/>
      </w:rPr>
      <w:tblPr/>
      <w:tcPr>
        <w:tcBorders>
          <w:top w:val="nil"/>
          <w:left w:val="nil"/>
          <w:bottom w:val="nil"/>
          <w:right w:val="nil"/>
          <w:insideH w:val="nil"/>
          <w:insideV w:val="nil"/>
          <w:tl2br w:val="nil"/>
          <w:tr2bl w:val="nil"/>
        </w:tcBorders>
        <w:shd w:val="solid" w:color="000000" w:fill="FFFFFF"/>
      </w:tcPr>
    </w:tblStylePr>
    <w:tblStylePr w:type="firstCol">
      <w:rPr>
        <w:rFonts w:cs="微软雅黑"/>
        <w:b/>
        <w:bCs/>
        <w:i/>
        <w:iCs/>
      </w:rPr>
      <w:tblPr/>
      <w:tcPr>
        <w:tcBorders>
          <w:top w:val="nil"/>
          <w:left w:val="nil"/>
          <w:bottom w:val="nil"/>
          <w:right w:val="nil"/>
          <w:insideH w:val="nil"/>
          <w:insideV w:val="nil"/>
          <w:tl2br w:val="nil"/>
          <w:tr2bl w:val="nil"/>
        </w:tcBorders>
        <w:shd w:val="solid" w:color="000080" w:fill="FFFFFF"/>
      </w:tcPr>
    </w:tblStylePr>
    <w:tblStylePr w:type="nwCell">
      <w:rPr>
        <w:rFonts w:cs="微软雅黑"/>
      </w:rPr>
      <w:tblPr/>
      <w:tcPr>
        <w:tcBorders>
          <w:top w:val="nil"/>
          <w:left w:val="nil"/>
          <w:bottom w:val="nil"/>
          <w:right w:val="nil"/>
          <w:insideH w:val="nil"/>
          <w:insideV w:val="nil"/>
          <w:tl2br w:val="nil"/>
          <w:tr2bl w:val="nil"/>
        </w:tcBorders>
        <w:shd w:val="solid" w:color="000000" w:fill="FFFFFF"/>
      </w:tcPr>
    </w:tblStylePr>
    <w:tblStylePr w:type="swCell">
      <w:rPr>
        <w:rFonts w:cs="微软雅黑"/>
        <w:b/>
        <w:bCs/>
        <w:i w:val="0"/>
        <w:iCs w:val="0"/>
      </w:rPr>
      <w:tblPr/>
      <w:tcPr>
        <w:tcBorders>
          <w:top w:val="nil"/>
          <w:left w:val="nil"/>
          <w:bottom w:val="nil"/>
          <w:right w:val="nil"/>
          <w:insideH w:val="nil"/>
          <w:insideV w:val="nil"/>
          <w:tl2br w:val="nil"/>
          <w:tr2bl w:val="nil"/>
        </w:tcBorders>
      </w:tcPr>
    </w:tblStylePr>
  </w:style>
  <w:style w:type="table" w:styleId="80">
    <w:name w:val="Table Colorful 2"/>
    <w:basedOn w:val="76"/>
    <w:semiHidden/>
    <w:qFormat/>
    <w:uiPriority w:val="99"/>
    <w:pPr>
      <w:widowControl w:val="0"/>
      <w:spacing w:after="200" w:line="276" w:lineRule="auto"/>
    </w:pPr>
    <w:rPr>
      <w:rFonts w:ascii="Calibri" w:hAnsi="Calibri" w:cs="Calibri"/>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微软雅黑"/>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rFonts w:cs="微软雅黑"/>
        <w:b/>
        <w:bCs/>
        <w:i/>
        <w:iCs/>
      </w:rPr>
      <w:tblPr/>
      <w:tcPr>
        <w:tcBorders>
          <w:top w:val="nil"/>
          <w:left w:val="nil"/>
          <w:bottom w:val="nil"/>
          <w:right w:val="nil"/>
          <w:insideH w:val="nil"/>
          <w:insideV w:val="nil"/>
          <w:tl2br w:val="nil"/>
          <w:tr2bl w:val="nil"/>
        </w:tcBorders>
      </w:tcPr>
    </w:tblStylePr>
    <w:tblStylePr w:type="lastCol">
      <w:rPr>
        <w:rFonts w:cs="微软雅黑"/>
      </w:rPr>
      <w:tblPr/>
      <w:tcPr>
        <w:tcBorders>
          <w:top w:val="nil"/>
          <w:left w:val="nil"/>
          <w:bottom w:val="nil"/>
          <w:right w:val="nil"/>
          <w:insideH w:val="nil"/>
          <w:insideV w:val="nil"/>
          <w:tl2br w:val="nil"/>
          <w:tr2bl w:val="nil"/>
        </w:tcBorders>
        <w:shd w:val="solid" w:color="C0C0C0" w:fill="FFFFFF"/>
      </w:tcPr>
    </w:tblStylePr>
    <w:tblStylePr w:type="swCell">
      <w:rPr>
        <w:rFonts w:cs="微软雅黑"/>
        <w:b/>
        <w:bCs/>
        <w:i w:val="0"/>
        <w:iCs w:val="0"/>
      </w:rPr>
      <w:tblPr/>
      <w:tcPr>
        <w:tcBorders>
          <w:top w:val="nil"/>
          <w:left w:val="nil"/>
          <w:bottom w:val="nil"/>
          <w:right w:val="nil"/>
          <w:insideH w:val="nil"/>
          <w:insideV w:val="nil"/>
          <w:tl2br w:val="nil"/>
          <w:tr2bl w:val="nil"/>
        </w:tcBorders>
      </w:tcPr>
    </w:tblStylePr>
  </w:style>
  <w:style w:type="table" w:styleId="81">
    <w:name w:val="Table Colorful 3"/>
    <w:basedOn w:val="76"/>
    <w:semiHidden/>
    <w:qFormat/>
    <w:uiPriority w:val="99"/>
    <w:pPr>
      <w:widowControl w:val="0"/>
      <w:spacing w:after="200" w:line="276" w:lineRule="auto"/>
    </w:pPr>
    <w:rPr>
      <w:rFonts w:ascii="Calibri" w:hAnsi="Calibri" w:cs="Calibri"/>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微软雅黑"/>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微软雅黑"/>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微软雅黑"/>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Elegant"/>
    <w:basedOn w:val="76"/>
    <w:semiHidden/>
    <w:qFormat/>
    <w:uiPriority w:val="99"/>
    <w:pPr>
      <w:widowControl w:val="0"/>
      <w:spacing w:after="200" w:line="276" w:lineRule="auto"/>
    </w:pPr>
    <w:rPr>
      <w:rFonts w:ascii="Calibri" w:hAnsi="Calibri" w:cs="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微软雅黑"/>
        <w:caps/>
        <w:color w:val="auto"/>
      </w:rPr>
      <w:tblPr/>
      <w:tcPr>
        <w:tcBorders>
          <w:top w:val="nil"/>
          <w:left w:val="nil"/>
          <w:bottom w:val="nil"/>
          <w:right w:val="nil"/>
          <w:insideH w:val="nil"/>
          <w:insideV w:val="nil"/>
          <w:tl2br w:val="nil"/>
          <w:tr2bl w:val="nil"/>
        </w:tcBorders>
      </w:tcPr>
    </w:tblStylePr>
  </w:style>
  <w:style w:type="table" w:styleId="83">
    <w:name w:val="Table Classic 1"/>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微软雅黑"/>
        <w:i/>
        <w:iCs/>
      </w:rPr>
      <w:tblPr/>
      <w:tcPr>
        <w:tcBorders>
          <w:top w:val="nil"/>
          <w:left w:val="nil"/>
          <w:bottom w:val="single" w:color="000000" w:sz="6" w:space="0"/>
          <w:right w:val="nil"/>
          <w:insideH w:val="nil"/>
          <w:insideV w:val="nil"/>
          <w:tl2br w:val="nil"/>
          <w:tr2bl w:val="nil"/>
        </w:tcBorders>
      </w:tcPr>
    </w:tblStylePr>
    <w:tblStylePr w:type="lastRow">
      <w:rPr>
        <w:rFonts w:cs="微软雅黑"/>
        <w:color w:val="auto"/>
      </w:rPr>
      <w:tblPr/>
      <w:tcPr>
        <w:tcBorders>
          <w:top w:val="single" w:color="000000" w:sz="6" w:space="0"/>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color="000000" w:sz="6" w:space="0"/>
          <w:insideH w:val="nil"/>
          <w:insideV w:val="nil"/>
          <w:tl2br w:val="nil"/>
          <w:tr2bl w:val="nil"/>
        </w:tcBorders>
      </w:tcPr>
    </w:tblStylePr>
    <w:tblStylePr w:type="neCell">
      <w:rPr>
        <w:rFonts w:cs="微软雅黑"/>
        <w:b/>
        <w:bCs/>
        <w:i w:val="0"/>
        <w:iCs w:val="0"/>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84">
    <w:name w:val="Table Classic 2"/>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微软雅黑"/>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rPr>
        <w:rFonts w:cs="微软雅黑"/>
      </w:rPr>
      <w:tblPr/>
      <w:tcPr>
        <w:tcBorders>
          <w:top w:val="single" w:color="00000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shd w:val="solid" w:color="C0C0C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nil"/>
          <w:tr2bl w:val="nil"/>
        </w:tcBorders>
        <w:shd w:val="solid" w:color="800080" w:fill="FFFFFF"/>
      </w:tcPr>
    </w:tblStylePr>
    <w:tblStylePr w:type="swCell">
      <w:rPr>
        <w:rFonts w:cs="微软雅黑"/>
        <w:color w:val="000080"/>
      </w:rPr>
      <w:tblPr/>
      <w:tcPr>
        <w:tcBorders>
          <w:top w:val="nil"/>
          <w:left w:val="nil"/>
          <w:bottom w:val="nil"/>
          <w:right w:val="nil"/>
          <w:insideH w:val="nil"/>
          <w:insideV w:val="nil"/>
          <w:tl2br w:val="nil"/>
          <w:tr2bl w:val="nil"/>
        </w:tcBorders>
      </w:tcPr>
    </w:tblStylePr>
  </w:style>
  <w:style w:type="table" w:styleId="85">
    <w:name w:val="Table Classic 3"/>
    <w:basedOn w:val="76"/>
    <w:semiHidden/>
    <w:qFormat/>
    <w:uiPriority w:val="99"/>
    <w:pPr>
      <w:widowControl w:val="0"/>
      <w:spacing w:after="200" w:line="276" w:lineRule="auto"/>
    </w:pPr>
    <w:rPr>
      <w:rFonts w:ascii="Calibri" w:hAnsi="Calibri" w:cs="Calibri"/>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微软雅黑"/>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rFonts w:cs="微软雅黑"/>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微软雅黑"/>
        <w:b/>
        <w:bCs/>
        <w:color w:val="000000"/>
      </w:rPr>
      <w:tblPr/>
      <w:tcPr>
        <w:tcBorders>
          <w:top w:val="nil"/>
          <w:left w:val="nil"/>
          <w:bottom w:val="nil"/>
          <w:right w:val="nil"/>
          <w:insideH w:val="nil"/>
          <w:insideV w:val="nil"/>
          <w:tl2br w:val="nil"/>
          <w:tr2bl w:val="nil"/>
        </w:tcBorders>
      </w:tcPr>
    </w:tblStylePr>
  </w:style>
  <w:style w:type="table" w:styleId="86">
    <w:name w:val="Table Classic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微软雅黑"/>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rFonts w:cs="微软雅黑"/>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rFonts w:cs="微软雅黑"/>
        <w:b/>
        <w:bCs/>
      </w:rPr>
      <w:tblPr/>
      <w:tcPr>
        <w:tcBorders>
          <w:top w:val="nil"/>
          <w:left w:val="nil"/>
          <w:bottom w:val="nil"/>
          <w:right w:val="nil"/>
          <w:insideH w:val="nil"/>
          <w:insideV w:val="nil"/>
          <w:tl2br w:val="nil"/>
          <w:tr2bl w:val="nil"/>
        </w:tcBorders>
      </w:tcPr>
    </w:tblStylePr>
    <w:tblStylePr w:type="nwCell">
      <w:rPr>
        <w:rFonts w:cs="微软雅黑"/>
        <w:b/>
        <w:bCs/>
      </w:rPr>
      <w:tblPr/>
      <w:tcPr>
        <w:tcBorders>
          <w:top w:val="nil"/>
          <w:left w:val="nil"/>
          <w:bottom w:val="nil"/>
          <w:right w:val="nil"/>
          <w:insideH w:val="nil"/>
          <w:insideV w:val="nil"/>
          <w:tl2br w:val="nil"/>
          <w:tr2bl w:val="nil"/>
        </w:tcBorders>
      </w:tcPr>
    </w:tblStylePr>
    <w:tblStylePr w:type="swCell">
      <w:rPr>
        <w:rFonts w:cs="微软雅黑"/>
        <w:color w:val="000080"/>
      </w:rPr>
      <w:tblPr/>
      <w:tcPr>
        <w:tcBorders>
          <w:top w:val="nil"/>
          <w:left w:val="nil"/>
          <w:bottom w:val="nil"/>
          <w:right w:val="nil"/>
          <w:insideH w:val="nil"/>
          <w:insideV w:val="nil"/>
          <w:tl2br w:val="nil"/>
          <w:tr2bl w:val="nil"/>
        </w:tcBorders>
      </w:tcPr>
    </w:tblStylePr>
  </w:style>
  <w:style w:type="table" w:styleId="87">
    <w:name w:val="Table Simple 1"/>
    <w:basedOn w:val="76"/>
    <w:semiHidden/>
    <w:qFormat/>
    <w:uiPriority w:val="99"/>
    <w:pPr>
      <w:widowControl w:val="0"/>
      <w:spacing w:after="200" w:line="276" w:lineRule="auto"/>
    </w:pPr>
    <w:rPr>
      <w:rFonts w:ascii="Calibri" w:hAnsi="Calibri" w:cs="Calibri"/>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微软雅黑"/>
      </w:rPr>
      <w:tblPr/>
      <w:tcPr>
        <w:tcBorders>
          <w:top w:val="nil"/>
          <w:left w:val="nil"/>
          <w:bottom w:val="single" w:color="008000" w:sz="6" w:space="0"/>
          <w:right w:val="nil"/>
          <w:insideH w:val="nil"/>
          <w:insideV w:val="nil"/>
          <w:tl2br w:val="nil"/>
          <w:tr2bl w:val="nil"/>
        </w:tcBorders>
      </w:tcPr>
    </w:tblStylePr>
    <w:tblStylePr w:type="lastRow">
      <w:rPr>
        <w:rFonts w:cs="微软雅黑"/>
      </w:rPr>
      <w:tblPr/>
      <w:tcPr>
        <w:tcBorders>
          <w:top w:val="single" w:color="008000" w:sz="6" w:space="0"/>
          <w:left w:val="nil"/>
          <w:bottom w:val="nil"/>
          <w:right w:val="nil"/>
          <w:insideH w:val="nil"/>
          <w:insideV w:val="nil"/>
          <w:tl2br w:val="nil"/>
          <w:tr2bl w:val="nil"/>
        </w:tcBorders>
      </w:tcPr>
    </w:tblStylePr>
  </w:style>
  <w:style w:type="table" w:styleId="88">
    <w:name w:val="Table Simple 2"/>
    <w:basedOn w:val="76"/>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微软雅黑"/>
        <w:b/>
        <w:bCs/>
      </w:rPr>
      <w:tblPr/>
      <w:tcPr>
        <w:tcBorders>
          <w:top w:val="nil"/>
          <w:left w:val="nil"/>
          <w:bottom w:val="single" w:color="000000" w:sz="12" w:space="0"/>
          <w:right w:val="nil"/>
          <w:insideH w:val="nil"/>
          <w:insideV w:val="nil"/>
          <w:tl2br w:val="nil"/>
          <w:tr2bl w:val="nil"/>
        </w:tcBorders>
      </w:tcPr>
    </w:tblStylePr>
    <w:tblStylePr w:type="lastRow">
      <w:rPr>
        <w:rFonts w:cs="微软雅黑"/>
        <w:b/>
        <w:bCs/>
        <w:color w:val="auto"/>
      </w:rPr>
      <w:tblPr/>
      <w:tcPr>
        <w:tcBorders>
          <w:top w:val="single" w:color="00000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single" w:color="000000" w:sz="12" w:space="0"/>
          <w:insideH w:val="nil"/>
          <w:insideV w:val="nil"/>
          <w:tl2br w:val="nil"/>
          <w:tr2bl w:val="nil"/>
        </w:tcBorders>
      </w:tcPr>
    </w:tblStylePr>
    <w:tblStylePr w:type="lastCol">
      <w:rPr>
        <w:rFonts w:cs="微软雅黑"/>
        <w:b/>
        <w:bCs/>
      </w:rPr>
      <w:tblPr/>
      <w:tcPr>
        <w:tcBorders>
          <w:top w:val="nil"/>
          <w:left w:val="single" w:color="000000" w:sz="6" w:space="0"/>
          <w:bottom w:val="nil"/>
          <w:right w:val="nil"/>
          <w:insideH w:val="nil"/>
          <w:insideV w:val="nil"/>
          <w:tl2br w:val="nil"/>
          <w:tr2bl w:val="nil"/>
        </w:tcBorders>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89">
    <w:name w:val="Table Simple 3"/>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微软雅黑"/>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0">
    <w:name w:val="Table Subtle 1"/>
    <w:basedOn w:val="76"/>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微软雅黑"/>
      </w:rPr>
      <w:tblPr/>
      <w:tcPr>
        <w:tcBorders>
          <w:top w:val="single" w:color="000000" w:sz="6" w:space="0"/>
          <w:left w:val="nil"/>
          <w:bottom w:val="single" w:color="000000" w:sz="12" w:space="0"/>
          <w:right w:val="nil"/>
          <w:insideH w:val="nil"/>
          <w:insideV w:val="nil"/>
          <w:tl2br w:val="nil"/>
          <w:tr2bl w:val="nil"/>
        </w:tcBorders>
      </w:tcPr>
    </w:tblStylePr>
    <w:tblStylePr w:type="lastRow">
      <w:rPr>
        <w:rFonts w:cs="微软雅黑"/>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微软雅黑"/>
      </w:rPr>
      <w:tblPr/>
      <w:tcPr>
        <w:tcBorders>
          <w:top w:val="nil"/>
          <w:left w:val="nil"/>
          <w:bottom w:val="nil"/>
          <w:right w:val="single" w:color="000000" w:sz="12" w:space="0"/>
          <w:insideH w:val="nil"/>
          <w:insideV w:val="nil"/>
          <w:tl2br w:val="nil"/>
          <w:tr2bl w:val="nil"/>
        </w:tcBorders>
      </w:tcPr>
    </w:tblStylePr>
    <w:tblStylePr w:type="lastCol">
      <w:rPr>
        <w:rFonts w:cs="微软雅黑"/>
      </w:rPr>
      <w:tblPr/>
      <w:tcPr>
        <w:tcBorders>
          <w:top w:val="nil"/>
          <w:left w:val="single" w:color="000000" w:sz="12" w:space="0"/>
          <w:bottom w:val="nil"/>
          <w:right w:val="nil"/>
          <w:insideH w:val="nil"/>
          <w:insideV w:val="nil"/>
          <w:tl2br w:val="nil"/>
          <w:tr2bl w:val="nil"/>
        </w:tcBorders>
      </w:tcPr>
    </w:tblStylePr>
    <w:tblStylePr w:type="band1Horz">
      <w:rPr>
        <w:rFonts w:cs="微软雅黑"/>
      </w:rPr>
      <w:tblPr/>
      <w:tcPr>
        <w:tcBorders>
          <w:top w:val="nil"/>
          <w:left w:val="nil"/>
          <w:bottom w:val="single" w:color="000000" w:sz="6" w:space="0"/>
          <w:right w:val="nil"/>
          <w:insideH w:val="nil"/>
          <w:insideV w:val="nil"/>
          <w:tl2br w:val="nil"/>
          <w:tr2bl w:val="nil"/>
        </w:tcBorders>
        <w:shd w:val="pct25" w:color="8080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1">
    <w:name w:val="Table Subtle 2"/>
    <w:basedOn w:val="76"/>
    <w:semiHidden/>
    <w:qFormat/>
    <w:uiPriority w:val="99"/>
    <w:pPr>
      <w:widowControl w:val="0"/>
      <w:spacing w:after="200" w:line="276" w:lineRule="auto"/>
    </w:pPr>
    <w:rPr>
      <w:rFonts w:ascii="Calibri" w:hAnsi="Calibri" w:cs="Calibri"/>
    </w:rPr>
    <w:tblPr>
      <w:tblBorders>
        <w:left w:val="single" w:color="000000" w:sz="6" w:space="0"/>
        <w:right w:val="single" w:color="000000" w:sz="6" w:space="0"/>
      </w:tblBorders>
      <w:tblCellMar>
        <w:top w:w="0" w:type="dxa"/>
        <w:left w:w="108" w:type="dxa"/>
        <w:bottom w:w="0" w:type="dxa"/>
        <w:right w:w="108" w:type="dxa"/>
      </w:tblCellMar>
    </w:tblPr>
    <w:tblStylePr w:type="firstRow">
      <w:rPr>
        <w:rFonts w:cs="微软雅黑"/>
      </w:rPr>
      <w:tblPr/>
      <w:tcPr>
        <w:tcBorders>
          <w:top w:val="nil"/>
          <w:left w:val="nil"/>
          <w:bottom w:val="single" w:color="000000" w:sz="12" w:space="0"/>
          <w:right w:val="nil"/>
          <w:insideH w:val="nil"/>
          <w:insideV w:val="nil"/>
          <w:tl2br w:val="nil"/>
          <w:tr2bl w:val="nil"/>
        </w:tcBorders>
      </w:tcPr>
    </w:tblStylePr>
    <w:tblStylePr w:type="lastRow">
      <w:rPr>
        <w:rFonts w:cs="微软雅黑"/>
      </w:rPr>
      <w:tblPr/>
      <w:tcPr>
        <w:tcBorders>
          <w:top w:val="single" w:color="000000" w:sz="12" w:space="0"/>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微软雅黑"/>
      </w:rPr>
      <w:tblPr/>
      <w:tcPr>
        <w:tcBorders>
          <w:top w:val="nil"/>
          <w:left w:val="single" w:color="000000" w:sz="12" w:space="0"/>
          <w:bottom w:val="nil"/>
          <w:right w:val="nil"/>
          <w:insideH w:val="nil"/>
          <w:insideV w:val="nil"/>
          <w:tl2br w:val="nil"/>
          <w:tr2bl w:val="nil"/>
        </w:tcBorders>
        <w:shd w:val="pct25" w:color="8080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2">
    <w:name w:val="Table 3D effects 1"/>
    <w:basedOn w:val="76"/>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cPr>
      <w:shd w:val="solid" w:color="C0C0C0" w:fill="FFFFFF"/>
    </w:tcPr>
    <w:tblStylePr w:type="firstRow">
      <w:rPr>
        <w:rFonts w:cs="微软雅黑"/>
        <w:b/>
        <w:bCs/>
        <w:color w:val="800080"/>
      </w:rPr>
      <w:tblPr/>
      <w:tcPr>
        <w:tcBorders>
          <w:top w:val="nil"/>
          <w:left w:val="nil"/>
          <w:bottom w:val="single" w:color="808080" w:sz="6" w:space="0"/>
          <w:right w:val="nil"/>
          <w:insideH w:val="nil"/>
          <w:insideV w:val="nil"/>
          <w:tl2br w:val="nil"/>
          <w:tr2bl w:val="nil"/>
        </w:tcBorders>
      </w:tcPr>
    </w:tblStylePr>
    <w:tblStylePr w:type="lastRow">
      <w:rPr>
        <w:rFonts w:cs="微软雅黑"/>
      </w:rPr>
      <w:tblPr/>
      <w:tcPr>
        <w:tcBorders>
          <w:top w:val="single" w:color="FFFFFF"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single" w:color="808080" w:sz="6" w:space="0"/>
          <w:insideH w:val="nil"/>
          <w:insideV w:val="nil"/>
          <w:tl2br w:val="nil"/>
          <w:tr2bl w:val="nil"/>
        </w:tcBorders>
      </w:tcPr>
    </w:tblStylePr>
    <w:tblStylePr w:type="lastCol">
      <w:rPr>
        <w:rFonts w:cs="微软雅黑"/>
      </w:rPr>
      <w:tblPr/>
      <w:tcPr>
        <w:tcBorders>
          <w:top w:val="nil"/>
          <w:left w:val="single" w:color="FFFFFF" w:sz="6" w:space="0"/>
          <w:bottom w:val="nil"/>
          <w:right w:val="nil"/>
          <w:insideH w:val="nil"/>
          <w:insideV w:val="nil"/>
          <w:tl2br w:val="nil"/>
          <w:tr2bl w:val="nil"/>
        </w:tcBorders>
      </w:tcPr>
    </w:tblStylePr>
    <w:tblStylePr w:type="neCell">
      <w:rPr>
        <w:rFonts w:cs="微软雅黑"/>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nil"/>
          <w:tr2bl w:val="nil"/>
        </w:tcBorders>
      </w:tcPr>
    </w:tblStylePr>
    <w:tblStylePr w:type="seCell">
      <w:rPr>
        <w:rFonts w:cs="微软雅黑"/>
      </w:rPr>
      <w:tblPr/>
      <w:tcPr>
        <w:tcBorders>
          <w:top w:val="nil"/>
          <w:left w:val="nil"/>
          <w:bottom w:val="nil"/>
          <w:right w:val="nil"/>
          <w:insideH w:val="nil"/>
          <w:insideV w:val="nil"/>
          <w:tl2br w:val="nil"/>
          <w:tr2bl w:val="nil"/>
        </w:tcBorders>
      </w:tcPr>
    </w:tblStylePr>
    <w:tblStylePr w:type="swCell">
      <w:rPr>
        <w:rFonts w:cs="微软雅黑"/>
        <w:color w:val="000080"/>
      </w:rPr>
      <w:tblPr/>
      <w:tcPr>
        <w:tcBorders>
          <w:top w:val="nil"/>
          <w:left w:val="nil"/>
          <w:bottom w:val="nil"/>
          <w:right w:val="nil"/>
          <w:insideH w:val="nil"/>
          <w:insideV w:val="nil"/>
          <w:tl2br w:val="nil"/>
          <w:tr2bl w:val="nil"/>
        </w:tcBorders>
      </w:tcPr>
    </w:tblStylePr>
  </w:style>
  <w:style w:type="table" w:styleId="93">
    <w:name w:val="Table 3D effects 2"/>
    <w:basedOn w:val="76"/>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cPr>
      <w:shd w:val="solid" w:color="C0C0C0" w:fill="FFFFFF"/>
    </w:tcPr>
    <w:tblStylePr w:type="firstRow">
      <w:rPr>
        <w:rFonts w:cs="微软雅黑"/>
        <w:b/>
        <w:bCs/>
      </w:rPr>
      <w:tblPr/>
      <w:tcPr>
        <w:tcBorders>
          <w:top w:val="nil"/>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color="808080" w:sz="6" w:space="0"/>
          <w:insideH w:val="nil"/>
          <w:insideV w:val="nil"/>
          <w:tl2br w:val="nil"/>
          <w:tr2bl w:val="nil"/>
        </w:tcBorders>
      </w:tcPr>
    </w:tblStylePr>
    <w:tblStylePr w:type="lastCol">
      <w:rPr>
        <w:rFonts w:cs="微软雅黑"/>
      </w:rPr>
      <w:tblPr/>
      <w:tcPr>
        <w:tcBorders>
          <w:top w:val="nil"/>
          <w:left w:val="nil"/>
          <w:bottom w:val="nil"/>
          <w:right w:val="single" w:color="FFFFFF" w:sz="6" w:space="0"/>
          <w:insideH w:val="nil"/>
          <w:insideV w:val="nil"/>
          <w:tl2br w:val="nil"/>
          <w:tr2bl w:val="nil"/>
        </w:tcBorders>
      </w:tcPr>
    </w:tblStylePr>
    <w:tblStylePr w:type="band1Horz">
      <w:rPr>
        <w:rFonts w:cs="微软雅黑"/>
      </w:rPr>
      <w:tblPr/>
      <w:tcPr>
        <w:tcBorders>
          <w:top w:val="single" w:color="808080" w:sz="6" w:space="0"/>
          <w:left w:val="nil"/>
          <w:bottom w:val="single" w:color="FFFFFF" w:sz="6" w:space="0"/>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4">
    <w:name w:val="Table 3D effects 3"/>
    <w:basedOn w:val="76"/>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微软雅黑"/>
        <w:b/>
        <w:bCs/>
      </w:rPr>
      <w:tblPr/>
      <w:tcPr>
        <w:tcBorders>
          <w:top w:val="nil"/>
          <w:left w:val="nil"/>
          <w:bottom w:val="nil"/>
          <w:right w:val="nil"/>
          <w:insideH w:val="nil"/>
          <w:insideV w:val="nil"/>
          <w:tl2br w:val="nil"/>
          <w:tr2bl w:val="nil"/>
        </w:tcBorders>
      </w:tcPr>
    </w:tblStylePr>
    <w:tblStylePr w:type="firstCol">
      <w:rPr>
        <w:rFonts w:cs="微软雅黑"/>
      </w:rPr>
      <w:tblPr/>
      <w:tcPr>
        <w:tcBorders>
          <w:top w:val="nil"/>
          <w:left w:val="nil"/>
          <w:bottom w:val="nil"/>
          <w:right w:val="single" w:color="808080" w:sz="6" w:space="0"/>
          <w:insideH w:val="nil"/>
          <w:insideV w:val="nil"/>
          <w:tl2br w:val="nil"/>
          <w:tr2bl w:val="nil"/>
        </w:tcBorders>
      </w:tcPr>
    </w:tblStylePr>
    <w:tblStylePr w:type="lastCol">
      <w:rPr>
        <w:rFonts w:cs="微软雅黑"/>
      </w:rPr>
      <w:tblPr/>
      <w:tcPr>
        <w:tcBorders>
          <w:top w:val="nil"/>
          <w:left w:val="nil"/>
          <w:bottom w:val="nil"/>
          <w:right w:val="single" w:color="FFFFFF" w:sz="6" w:space="0"/>
          <w:insideH w:val="nil"/>
          <w:insideV w:val="nil"/>
          <w:tl2br w:val="nil"/>
          <w:tr2bl w:val="nil"/>
        </w:tcBorders>
      </w:tcPr>
    </w:tblStylePr>
    <w:tblStylePr w:type="band1Vert">
      <w:rPr>
        <w:rFonts w:cs="微软雅黑"/>
        <w:color w:val="auto"/>
      </w:rPr>
      <w:tblPr/>
      <w:tcPr>
        <w:shd w:val="solid" w:color="C0C0C0" w:fill="FFFFFF"/>
      </w:tcPr>
    </w:tblStylePr>
    <w:tblStylePr w:type="band2Vert">
      <w:rPr>
        <w:rFonts w:cs="微软雅黑"/>
        <w:color w:val="auto"/>
      </w:rPr>
      <w:tblPr/>
      <w:tcPr>
        <w:shd w:val="pct50" w:color="C0C0C0" w:fill="FFFFFF"/>
      </w:tcPr>
    </w:tblStylePr>
    <w:tblStylePr w:type="band1Horz">
      <w:rPr>
        <w:rFonts w:cs="微软雅黑"/>
      </w:rPr>
      <w:tblPr/>
      <w:tcPr>
        <w:tcBorders>
          <w:top w:val="single" w:color="808080" w:sz="6" w:space="0"/>
          <w:left w:val="nil"/>
          <w:bottom w:val="single" w:color="FFFFFF" w:sz="6" w:space="0"/>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5">
    <w:name w:val="Table List 1"/>
    <w:basedOn w:val="76"/>
    <w:semiHidden/>
    <w:qFormat/>
    <w:uiPriority w:val="99"/>
    <w:pPr>
      <w:widowControl w:val="0"/>
      <w:spacing w:after="200" w:line="276" w:lineRule="auto"/>
    </w:pPr>
    <w:rPr>
      <w:rFonts w:ascii="Calibri" w:hAnsi="Calibri" w:cs="Calibri"/>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微软雅黑"/>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rPr>
        <w:rFonts w:cs="微软雅黑"/>
      </w:rPr>
      <w:tblPr/>
      <w:tcPr>
        <w:tcBorders>
          <w:top w:val="single" w:color="000000" w:sz="6" w:space="0"/>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微软雅黑"/>
        <w:color w:val="auto"/>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6">
    <w:name w:val="Table List 2"/>
    <w:basedOn w:val="76"/>
    <w:semiHidden/>
    <w:qFormat/>
    <w:uiPriority w:val="99"/>
    <w:pPr>
      <w:widowControl w:val="0"/>
      <w:spacing w:after="200" w:line="276" w:lineRule="auto"/>
    </w:pPr>
    <w:rPr>
      <w:rFonts w:ascii="Calibri" w:hAnsi="Calibri" w:cs="Calibri"/>
    </w:rPr>
    <w:tblPr>
      <w:tblBorders>
        <w:bottom w:val="single" w:color="808080" w:sz="12" w:space="0"/>
      </w:tblBorders>
      <w:tblCellMar>
        <w:top w:w="0" w:type="dxa"/>
        <w:left w:w="108" w:type="dxa"/>
        <w:bottom w:w="0" w:type="dxa"/>
        <w:right w:w="108" w:type="dxa"/>
      </w:tblCellMar>
    </w:tblPr>
    <w:tblStylePr w:type="firstRow">
      <w:rPr>
        <w:rFonts w:cs="微软雅黑"/>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rPr>
        <w:rFonts w:cs="微软雅黑"/>
      </w:rPr>
      <w:tblPr/>
      <w:tcPr>
        <w:tcBorders>
          <w:top w:val="single" w:color="000000" w:sz="6" w:space="0"/>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微软雅黑"/>
        <w:color w:val="auto"/>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97">
    <w:name w:val="Table List 3"/>
    <w:basedOn w:val="76"/>
    <w:semiHidden/>
    <w:qFormat/>
    <w:uiPriority w:val="99"/>
    <w:pPr>
      <w:widowControl w:val="0"/>
      <w:spacing w:after="200" w:line="276" w:lineRule="auto"/>
    </w:pPr>
    <w:rPr>
      <w:rFonts w:ascii="Calibri" w:hAnsi="Calibri" w:cs="Calibri"/>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微软雅黑"/>
        <w:b/>
        <w:bCs/>
        <w:color w:val="000080"/>
      </w:rPr>
      <w:tblPr/>
      <w:tcPr>
        <w:tcBorders>
          <w:top w:val="nil"/>
          <w:left w:val="nil"/>
          <w:bottom w:val="single" w:color="000000" w:sz="12" w:space="0"/>
          <w:right w:val="nil"/>
          <w:insideH w:val="nil"/>
          <w:insideV w:val="nil"/>
          <w:tl2br w:val="nil"/>
          <w:tr2bl w:val="nil"/>
        </w:tcBorders>
      </w:tcPr>
    </w:tblStylePr>
    <w:tblStylePr w:type="lastRow">
      <w:rPr>
        <w:rFonts w:cs="微软雅黑"/>
      </w:rPr>
      <w:tblPr/>
      <w:tcPr>
        <w:tcBorders>
          <w:top w:val="single" w:color="000000" w:sz="12" w:space="0"/>
          <w:left w:val="nil"/>
          <w:bottom w:val="nil"/>
          <w:right w:val="nil"/>
          <w:insideH w:val="nil"/>
          <w:insideV w:val="nil"/>
          <w:tl2br w:val="nil"/>
          <w:tr2bl w:val="nil"/>
        </w:tcBorders>
      </w:tcPr>
    </w:tblStylePr>
    <w:tblStylePr w:type="swCell">
      <w:rPr>
        <w:rFonts w:cs="微软雅黑"/>
        <w:i/>
        <w:iCs/>
        <w:color w:val="000080"/>
      </w:rPr>
      <w:tblPr/>
      <w:tcPr>
        <w:tcBorders>
          <w:top w:val="nil"/>
          <w:left w:val="nil"/>
          <w:bottom w:val="nil"/>
          <w:right w:val="nil"/>
          <w:insideH w:val="nil"/>
          <w:insideV w:val="nil"/>
          <w:tl2br w:val="nil"/>
          <w:tr2bl w:val="nil"/>
        </w:tcBorders>
      </w:tcPr>
    </w:tblStylePr>
  </w:style>
  <w:style w:type="table" w:styleId="98">
    <w:name w:val="Table List 4"/>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微软雅黑"/>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99">
    <w:name w:val="Table List 5"/>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微软雅黑"/>
        <w:b/>
        <w:bCs/>
      </w:rPr>
      <w:tblPr/>
      <w:tcPr>
        <w:tcBorders>
          <w:top w:val="nil"/>
          <w:left w:val="nil"/>
          <w:bottom w:val="single" w:color="000000" w:sz="12" w:space="0"/>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style>
  <w:style w:type="table" w:styleId="100">
    <w:name w:val="Table List 6"/>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微软雅黑"/>
        <w:b/>
        <w:bCs/>
      </w:rPr>
      <w:tblPr/>
      <w:tcPr>
        <w:tcBorders>
          <w:top w:val="nil"/>
          <w:left w:val="nil"/>
          <w:bottom w:val="single" w:color="000000" w:sz="12" w:space="0"/>
          <w:right w:val="nil"/>
          <w:insideH w:val="nil"/>
          <w:insideV w:val="nil"/>
          <w:tl2br w:val="nil"/>
          <w:tr2bl w:val="nil"/>
        </w:tcBorders>
      </w:tcPr>
    </w:tblStylePr>
    <w:tblStylePr w:type="firstCol">
      <w:rPr>
        <w:rFonts w:cs="微软雅黑"/>
        <w:b/>
        <w:bCs/>
      </w:rPr>
      <w:tblPr/>
      <w:tcPr>
        <w:tcBorders>
          <w:top w:val="nil"/>
          <w:left w:val="nil"/>
          <w:bottom w:val="nil"/>
          <w:right w:val="single" w:color="000000" w:sz="12" w:space="0"/>
          <w:insideH w:val="nil"/>
          <w:insideV w:val="nil"/>
          <w:tl2br w:val="nil"/>
          <w:tr2bl w:val="nil"/>
        </w:tcBorders>
      </w:tcPr>
    </w:tblStylePr>
    <w:tblStylePr w:type="band1Horz">
      <w:rPr>
        <w:rFonts w:cs="微软雅黑"/>
      </w:rPr>
      <w:tblPr/>
      <w:tcPr>
        <w:tcBorders>
          <w:top w:val="nil"/>
          <w:left w:val="nil"/>
          <w:bottom w:val="nil"/>
          <w:right w:val="nil"/>
          <w:insideH w:val="nil"/>
          <w:insideV w:val="nil"/>
          <w:tl2br w:val="nil"/>
          <w:tr2bl w:val="nil"/>
        </w:tcBorders>
        <w:shd w:val="pct25" w:color="000000" w:fill="FFFFFF"/>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01">
    <w:name w:val="Table List 7"/>
    <w:basedOn w:val="76"/>
    <w:semiHidden/>
    <w:qFormat/>
    <w:uiPriority w:val="99"/>
    <w:pPr>
      <w:widowControl w:val="0"/>
      <w:spacing w:after="200" w:line="276" w:lineRule="auto"/>
    </w:pPr>
    <w:rPr>
      <w:rFonts w:ascii="Calibri" w:hAnsi="Calibri" w:cs="Calibri"/>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微软雅黑"/>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rFonts w:cs="微软雅黑"/>
        <w:b/>
        <w:bCs/>
      </w:rPr>
      <w:tblPr/>
      <w:tcPr>
        <w:tcBorders>
          <w:top w:val="single" w:color="008000" w:sz="12"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微软雅黑"/>
      </w:rPr>
      <w:tblPr/>
      <w:tcPr>
        <w:tcBorders>
          <w:top w:val="nil"/>
          <w:left w:val="nil"/>
          <w:bottom w:val="nil"/>
          <w:right w:val="nil"/>
          <w:insideH w:val="nil"/>
          <w:insideV w:val="nil"/>
          <w:tl2br w:val="nil"/>
          <w:tr2bl w:val="nil"/>
        </w:tcBorders>
        <w:shd w:val="pct25" w:color="FFFF00" w:fill="FFFFFF"/>
      </w:tcPr>
    </w:tblStylePr>
  </w:style>
  <w:style w:type="table" w:styleId="102">
    <w:name w:val="Table List 8"/>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微软雅黑"/>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rFonts w:cs="微软雅黑"/>
        <w:b/>
        <w:bCs/>
      </w:rPr>
      <w:tblPr/>
      <w:tcPr>
        <w:tcBorders>
          <w:top w:val="single" w:color="00000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Horz">
      <w:rPr>
        <w:rFonts w:cs="微软雅黑"/>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微软雅黑"/>
      </w:rPr>
      <w:tblPr/>
      <w:tcPr>
        <w:tcBorders>
          <w:top w:val="nil"/>
          <w:left w:val="nil"/>
          <w:bottom w:val="nil"/>
          <w:right w:val="nil"/>
          <w:insideH w:val="nil"/>
          <w:insideV w:val="nil"/>
          <w:tl2br w:val="nil"/>
          <w:tr2bl w:val="nil"/>
        </w:tcBorders>
        <w:shd w:val="pct50" w:color="FF0000" w:fill="FFFFFF"/>
      </w:tcPr>
    </w:tblStylePr>
    <w:tblStylePr w:type="nwCell">
      <w:rPr>
        <w:rFonts w:cs="微软雅黑"/>
      </w:rPr>
      <w:tblPr/>
      <w:tcPr>
        <w:tcBorders>
          <w:top w:val="nil"/>
          <w:left w:val="nil"/>
          <w:bottom w:val="nil"/>
          <w:right w:val="nil"/>
          <w:insideH w:val="nil"/>
          <w:insideV w:val="nil"/>
          <w:tl2br w:val="single" w:color="auto" w:sz="6" w:space="0"/>
          <w:tr2bl w:val="nil"/>
        </w:tcBorders>
      </w:tcPr>
    </w:tblStylePr>
  </w:style>
  <w:style w:type="table" w:styleId="103">
    <w:name w:val="Table Contemporary"/>
    <w:basedOn w:val="76"/>
    <w:semiHidden/>
    <w:qFormat/>
    <w:uiPriority w:val="99"/>
    <w:pPr>
      <w:widowControl w:val="0"/>
      <w:spacing w:after="200" w:line="276" w:lineRule="auto"/>
    </w:pPr>
    <w:rPr>
      <w:rFonts w:ascii="Calibri" w:hAnsi="Calibri" w:cs="Calibri"/>
    </w:r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微软雅黑"/>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微软雅黑"/>
        <w:color w:val="auto"/>
      </w:rPr>
      <w:tblPr/>
      <w:tcPr>
        <w:tcBorders>
          <w:top w:val="nil"/>
          <w:left w:val="nil"/>
          <w:bottom w:val="nil"/>
          <w:right w:val="nil"/>
          <w:insideH w:val="nil"/>
          <w:insideV w:val="nil"/>
          <w:tl2br w:val="nil"/>
          <w:tr2bl w:val="nil"/>
        </w:tcBorders>
        <w:shd w:val="pct5" w:color="000000" w:fill="FFFFFF"/>
      </w:tcPr>
    </w:tblStylePr>
    <w:tblStylePr w:type="band2Horz">
      <w:rPr>
        <w:rFonts w:cs="微软雅黑"/>
        <w:color w:val="auto"/>
      </w:rPr>
      <w:tblPr/>
      <w:tcPr>
        <w:tcBorders>
          <w:top w:val="nil"/>
          <w:left w:val="nil"/>
          <w:bottom w:val="nil"/>
          <w:right w:val="nil"/>
          <w:insideH w:val="nil"/>
          <w:insideV w:val="nil"/>
          <w:tl2br w:val="nil"/>
          <w:tr2bl w:val="nil"/>
        </w:tcBorders>
        <w:shd w:val="pct20" w:color="000000" w:fill="FFFFFF"/>
      </w:tcPr>
    </w:tblStylePr>
  </w:style>
  <w:style w:type="table" w:styleId="104">
    <w:name w:val="Table Columns 1"/>
    <w:basedOn w:val="76"/>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微软雅黑"/>
        <w:b w:val="0"/>
        <w:bCs w:val="0"/>
      </w:rPr>
      <w:tblPr/>
      <w:tcPr>
        <w:tcBorders>
          <w:top w:val="nil"/>
          <w:left w:val="nil"/>
          <w:bottom w:val="double" w:color="000000" w:sz="6" w:space="0"/>
          <w:right w:val="nil"/>
          <w:insideH w:val="nil"/>
          <w:insideV w:val="nil"/>
          <w:tl2br w:val="nil"/>
          <w:tr2bl w:val="nil"/>
        </w:tcBorders>
      </w:tcPr>
    </w:tblStylePr>
    <w:tblStylePr w:type="lastRow">
      <w:rPr>
        <w:rFonts w:cs="微软雅黑"/>
        <w:b w:val="0"/>
        <w:bCs w:val="0"/>
      </w:rPr>
      <w:tblPr/>
      <w:tcPr>
        <w:tcBorders>
          <w:top w:val="nil"/>
          <w:left w:val="nil"/>
          <w:bottom w:val="nil"/>
          <w:right w:val="nil"/>
          <w:insideH w:val="nil"/>
          <w:insideV w:val="nil"/>
          <w:tl2br w:val="nil"/>
          <w:tr2bl w:val="nil"/>
        </w:tcBorders>
      </w:tcPr>
    </w:tblStylePr>
    <w:tblStylePr w:type="firstCol">
      <w:rPr>
        <w:rFonts w:cs="微软雅黑"/>
        <w:b w:val="0"/>
        <w:bCs w:val="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pct25" w:color="000000" w:fill="FFFFFF"/>
      </w:tcPr>
    </w:tblStylePr>
    <w:tblStylePr w:type="band2Vert">
      <w:rPr>
        <w:rFonts w:cs="微软雅黑"/>
        <w:color w:val="auto"/>
      </w:rPr>
      <w:tblPr/>
      <w:tcPr>
        <w:shd w:val="pct25" w:color="FFFF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105">
    <w:name w:val="Table Columns 2"/>
    <w:basedOn w:val="76"/>
    <w:semiHidden/>
    <w:qFormat/>
    <w:uiPriority w:val="99"/>
    <w:pPr>
      <w:widowControl w:val="0"/>
      <w:spacing w:after="200" w:line="276" w:lineRule="auto"/>
    </w:pPr>
    <w:rPr>
      <w:rFonts w:ascii="Calibri" w:hAnsi="Calibri" w:cs="Calibri"/>
      <w:b/>
      <w:bCs/>
    </w:rPr>
    <w:tblPr>
      <w:tblCellMar>
        <w:top w:w="0" w:type="dxa"/>
        <w:left w:w="108" w:type="dxa"/>
        <w:bottom w:w="0" w:type="dxa"/>
        <w:right w:w="108" w:type="dxa"/>
      </w:tblCellMar>
    </w:tblPr>
    <w:tblStylePr w:type="firstRow">
      <w:rPr>
        <w:rFonts w:cs="微软雅黑"/>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微软雅黑"/>
        <w:b w:val="0"/>
        <w:bCs w:val="0"/>
      </w:rPr>
      <w:tblPr/>
      <w:tcPr>
        <w:tcBorders>
          <w:top w:val="nil"/>
          <w:left w:val="nil"/>
          <w:bottom w:val="nil"/>
          <w:right w:val="nil"/>
          <w:insideH w:val="nil"/>
          <w:insideV w:val="nil"/>
          <w:tl2br w:val="nil"/>
          <w:tr2bl w:val="nil"/>
        </w:tcBorders>
      </w:tcPr>
    </w:tblStylePr>
    <w:tblStylePr w:type="firstCol">
      <w:rPr>
        <w:rFonts w:cs="微软雅黑"/>
        <w:b w:val="0"/>
        <w:bCs w:val="0"/>
        <w:color w:val="00000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pct30" w:color="000000" w:fill="FFFFFF"/>
      </w:tcPr>
    </w:tblStylePr>
    <w:tblStylePr w:type="band2Vert">
      <w:rPr>
        <w:rFonts w:cs="微软雅黑"/>
        <w:color w:val="auto"/>
      </w:rPr>
      <w:tblPr/>
      <w:tcPr>
        <w:shd w:val="pct25" w:color="00FF00" w:fill="FFFFFF"/>
      </w:tcPr>
    </w:tblStylePr>
    <w:tblStylePr w:type="neCell">
      <w:rPr>
        <w:rFonts w:cs="微软雅黑"/>
        <w:b/>
        <w:bCs/>
      </w:rPr>
      <w:tblPr/>
      <w:tcPr>
        <w:tcBorders>
          <w:top w:val="nil"/>
          <w:left w:val="nil"/>
          <w:bottom w:val="nil"/>
          <w:right w:val="nil"/>
          <w:insideH w:val="nil"/>
          <w:insideV w:val="nil"/>
          <w:tl2br w:val="nil"/>
          <w:tr2bl w:val="nil"/>
        </w:tcBorders>
      </w:tcPr>
    </w:tblStylePr>
    <w:tblStylePr w:type="swCell">
      <w:rPr>
        <w:rFonts w:cs="微软雅黑"/>
        <w:b/>
        <w:bCs/>
      </w:rPr>
      <w:tblPr/>
      <w:tcPr>
        <w:tcBorders>
          <w:top w:val="nil"/>
          <w:left w:val="nil"/>
          <w:bottom w:val="nil"/>
          <w:right w:val="nil"/>
          <w:insideH w:val="nil"/>
          <w:insideV w:val="nil"/>
          <w:tl2br w:val="nil"/>
          <w:tr2bl w:val="nil"/>
        </w:tcBorders>
      </w:tcPr>
    </w:tblStylePr>
  </w:style>
  <w:style w:type="table" w:styleId="106">
    <w:name w:val="Table Columns 3"/>
    <w:basedOn w:val="76"/>
    <w:semiHidden/>
    <w:qFormat/>
    <w:uiPriority w:val="99"/>
    <w:pPr>
      <w:widowControl w:val="0"/>
      <w:spacing w:after="200" w:line="276" w:lineRule="auto"/>
    </w:pPr>
    <w:rPr>
      <w:rFonts w:ascii="Calibri" w:hAnsi="Calibri" w:cs="Calibri"/>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微软雅黑"/>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微软雅黑"/>
        <w:b w:val="0"/>
        <w:bCs w:val="0"/>
      </w:rPr>
      <w:tblPr/>
      <w:tcPr>
        <w:tcBorders>
          <w:top w:val="single" w:color="000080" w:sz="6" w:space="0"/>
          <w:left w:val="nil"/>
          <w:bottom w:val="nil"/>
          <w:right w:val="nil"/>
          <w:insideH w:val="nil"/>
          <w:insideV w:val="nil"/>
          <w:tl2br w:val="nil"/>
          <w:tr2bl w:val="nil"/>
        </w:tcBorders>
      </w:tcPr>
    </w:tblStylePr>
    <w:tblStylePr w:type="firstCol">
      <w:rPr>
        <w:rFonts w:cs="微软雅黑"/>
        <w:b w:val="0"/>
        <w:bCs w:val="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solid" w:color="C0C0C0" w:fill="FFFFFF"/>
      </w:tcPr>
    </w:tblStylePr>
    <w:tblStylePr w:type="band2Vert">
      <w:rPr>
        <w:rFonts w:cs="微软雅黑"/>
        <w:color w:val="auto"/>
      </w:rPr>
      <w:tblPr/>
      <w:tcPr>
        <w:shd w:val="pct10" w:color="000000" w:fill="FFFFFF"/>
      </w:tcPr>
    </w:tblStylePr>
    <w:tblStylePr w:type="neCell">
      <w:rPr>
        <w:rFonts w:cs="微软雅黑"/>
        <w:b/>
        <w:bCs/>
      </w:rPr>
      <w:tblPr/>
      <w:tcPr>
        <w:tcBorders>
          <w:top w:val="nil"/>
          <w:left w:val="nil"/>
          <w:bottom w:val="nil"/>
          <w:right w:val="nil"/>
          <w:insideH w:val="nil"/>
          <w:insideV w:val="nil"/>
          <w:tl2br w:val="nil"/>
          <w:tr2bl w:val="nil"/>
        </w:tcBorders>
      </w:tcPr>
    </w:tblStylePr>
  </w:style>
  <w:style w:type="table" w:styleId="107">
    <w:name w:val="Table Columns 4"/>
    <w:basedOn w:val="76"/>
    <w:semiHidden/>
    <w:qFormat/>
    <w:uiPriority w:val="99"/>
    <w:pPr>
      <w:widowControl w:val="0"/>
      <w:spacing w:after="200" w:line="276" w:lineRule="auto"/>
    </w:pPr>
    <w:rPr>
      <w:rFonts w:ascii="Calibri" w:hAnsi="Calibri" w:cs="Calibri"/>
    </w:rPr>
    <w:tblPr>
      <w:tblCellMar>
        <w:top w:w="0" w:type="dxa"/>
        <w:left w:w="108" w:type="dxa"/>
        <w:bottom w:w="0" w:type="dxa"/>
        <w:right w:w="108" w:type="dxa"/>
      </w:tblCellMar>
    </w:tblPr>
    <w:tblStylePr w:type="firstRow">
      <w:rPr>
        <w:rFonts w:cs="微软雅黑"/>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pct50" w:color="008080" w:fill="FFFFFF"/>
      </w:tcPr>
    </w:tblStylePr>
    <w:tblStylePr w:type="band2Vert">
      <w:rPr>
        <w:rFonts w:cs="微软雅黑"/>
        <w:color w:val="auto"/>
      </w:rPr>
      <w:tblPr/>
      <w:tcPr>
        <w:shd w:val="pct10" w:color="000000" w:fill="FFFFFF"/>
      </w:tcPr>
    </w:tblStylePr>
  </w:style>
  <w:style w:type="table" w:styleId="108">
    <w:name w:val="Table Columns 5"/>
    <w:basedOn w:val="76"/>
    <w:semiHidden/>
    <w:qFormat/>
    <w:uiPriority w:val="99"/>
    <w:pPr>
      <w:widowControl w:val="0"/>
      <w:spacing w:after="200" w:line="276" w:lineRule="auto"/>
    </w:pPr>
    <w:rPr>
      <w:rFonts w:ascii="Calibri" w:hAnsi="Calibri" w:cs="Calibri"/>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微软雅黑"/>
        <w:b/>
        <w:bCs/>
        <w:i/>
        <w:iCs/>
      </w:rPr>
      <w:tblPr/>
      <w:tcPr>
        <w:tcBorders>
          <w:top w:val="nil"/>
          <w:left w:val="nil"/>
          <w:bottom w:val="single" w:color="808080" w:sz="6" w:space="0"/>
          <w:right w:val="nil"/>
          <w:insideH w:val="nil"/>
          <w:insideV w:val="nil"/>
          <w:tl2br w:val="nil"/>
          <w:tr2bl w:val="nil"/>
        </w:tcBorders>
      </w:tcPr>
    </w:tblStylePr>
    <w:tblStylePr w:type="lastRow">
      <w:rPr>
        <w:rFonts w:cs="微软雅黑"/>
        <w:b/>
        <w:bCs/>
      </w:rPr>
      <w:tblPr/>
      <w:tcPr>
        <w:tcBorders>
          <w:top w:val="single" w:color="80808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band1Vert">
      <w:rPr>
        <w:rFonts w:cs="微软雅黑"/>
        <w:color w:val="auto"/>
      </w:rPr>
      <w:tblPr/>
      <w:tcPr>
        <w:shd w:val="solid" w:color="C0C0C0" w:fill="FFFFFF"/>
      </w:tcPr>
    </w:tblStylePr>
    <w:tblStylePr w:type="band2Vert">
      <w:rPr>
        <w:rFonts w:cs="微软雅黑"/>
        <w:color w:val="auto"/>
      </w:rPr>
    </w:tblStylePr>
  </w:style>
  <w:style w:type="table" w:styleId="109">
    <w:name w:val="Table Grid 1"/>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微软雅黑"/>
        <w:i/>
        <w:iCs/>
      </w:rPr>
      <w:tblPr/>
      <w:tcPr>
        <w:tcBorders>
          <w:top w:val="nil"/>
          <w:left w:val="nil"/>
          <w:bottom w:val="nil"/>
          <w:right w:val="nil"/>
          <w:insideH w:val="nil"/>
          <w:insideV w:val="nil"/>
          <w:tl2br w:val="nil"/>
          <w:tr2bl w:val="nil"/>
        </w:tcBorders>
      </w:tcPr>
    </w:tblStylePr>
    <w:tblStylePr w:type="lastCol">
      <w:rPr>
        <w:rFonts w:cs="微软雅黑"/>
        <w:i/>
        <w:i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10">
    <w:name w:val="Table Grid 2"/>
    <w:basedOn w:val="76"/>
    <w:semiHidden/>
    <w:qFormat/>
    <w:uiPriority w:val="99"/>
    <w:pPr>
      <w:widowControl w:val="0"/>
      <w:spacing w:after="200" w:line="276" w:lineRule="auto"/>
    </w:pPr>
    <w:rPr>
      <w:rFonts w:ascii="Calibri" w:hAnsi="Calibri" w:cs="Calibri"/>
    </w:r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微软雅黑"/>
        <w:b/>
        <w:bCs/>
      </w:rPr>
      <w:tblPr/>
      <w:tcPr>
        <w:tcBorders>
          <w:top w:val="nil"/>
          <w:left w:val="nil"/>
          <w:bottom w:val="nil"/>
          <w:right w:val="nil"/>
          <w:insideH w:val="nil"/>
          <w:insideV w:val="nil"/>
          <w:tl2br w:val="nil"/>
          <w:tr2bl w:val="nil"/>
        </w:tcBorders>
      </w:tcPr>
    </w:tblStylePr>
    <w:tblStylePr w:type="lastRow">
      <w:rPr>
        <w:rFonts w:cs="微软雅黑"/>
        <w:b/>
        <w:bCs/>
      </w:rPr>
      <w:tblPr/>
      <w:tcPr>
        <w:tcBorders>
          <w:top w:val="single" w:color="00000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style>
  <w:style w:type="table" w:styleId="111">
    <w:name w:val="Table Grid 3"/>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微软雅黑"/>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12">
    <w:name w:val="Table Grid 4"/>
    <w:basedOn w:val="76"/>
    <w:semiHidden/>
    <w:qFormat/>
    <w:uiPriority w:val="99"/>
    <w:pPr>
      <w:widowControl w:val="0"/>
      <w:spacing w:after="200" w:line="276" w:lineRule="auto"/>
    </w:pPr>
    <w:rPr>
      <w:rFonts w:ascii="Calibri" w:hAnsi="Calibri" w:cs="Calibri"/>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微软雅黑"/>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rFonts w:cs="微软雅黑"/>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微软雅黑"/>
        <w:b/>
        <w:bCs/>
        <w:color w:val="auto"/>
      </w:rPr>
      <w:tblPr/>
      <w:tcPr>
        <w:tcBorders>
          <w:top w:val="nil"/>
          <w:left w:val="nil"/>
          <w:bottom w:val="nil"/>
          <w:right w:val="nil"/>
          <w:insideH w:val="nil"/>
          <w:insideV w:val="nil"/>
          <w:tl2br w:val="nil"/>
          <w:tr2bl w:val="nil"/>
        </w:tcBorders>
      </w:tcPr>
    </w:tblStylePr>
  </w:style>
  <w:style w:type="table" w:styleId="113">
    <w:name w:val="Table Grid 5"/>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微软雅黑"/>
      </w:rPr>
      <w:tblPr/>
      <w:tcPr>
        <w:tcBorders>
          <w:top w:val="nil"/>
          <w:left w:val="nil"/>
          <w:bottom w:val="single" w:color="000000" w:sz="12" w:space="0"/>
          <w:right w:val="nil"/>
          <w:insideH w:val="nil"/>
          <w:insideV w:val="nil"/>
          <w:tl2br w:val="nil"/>
          <w:tr2bl w:val="nil"/>
        </w:tcBorders>
      </w:tcPr>
    </w:tblStylePr>
    <w:tblStylePr w:type="lastRow">
      <w:rPr>
        <w:rFonts w:cs="微软雅黑"/>
        <w:b/>
        <w:bCs/>
      </w:rPr>
      <w:tblPr/>
      <w:tcPr>
        <w:tcBorders>
          <w:top w:val="nil"/>
          <w:left w:val="nil"/>
          <w:bottom w:val="nil"/>
          <w:right w:val="nil"/>
          <w:insideH w:val="nil"/>
          <w:insideV w:val="nil"/>
          <w:tl2br w:val="nil"/>
          <w:tr2bl w:val="nil"/>
        </w:tcBorders>
      </w:tcPr>
    </w:tblStylePr>
    <w:tblStylePr w:type="lastCo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14">
    <w:name w:val="Table Grid 6"/>
    <w:basedOn w:val="76"/>
    <w:semiHidden/>
    <w:qFormat/>
    <w:uiPriority w:val="99"/>
    <w:pPr>
      <w:widowControl w:val="0"/>
      <w:spacing w:after="200" w:line="276" w:lineRule="auto"/>
    </w:pPr>
    <w:rPr>
      <w:rFonts w:ascii="Calibri" w:hAnsi="Calibri" w:cs="Calibri"/>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微软雅黑"/>
        <w:b/>
        <w:bCs/>
      </w:rPr>
      <w:tblPr/>
      <w:tcPr>
        <w:tcBorders>
          <w:top w:val="nil"/>
          <w:left w:val="nil"/>
          <w:bottom w:val="single" w:color="000000" w:sz="6" w:space="0"/>
          <w:right w:val="nil"/>
          <w:insideH w:val="nil"/>
          <w:insideV w:val="nil"/>
          <w:tl2br w:val="nil"/>
          <w:tr2bl w:val="nil"/>
        </w:tcBorders>
      </w:tcPr>
    </w:tblStylePr>
    <w:tblStylePr w:type="lastRow">
      <w:rPr>
        <w:rFonts w:cs="微软雅黑"/>
        <w:color w:val="auto"/>
      </w:rPr>
      <w:tblPr/>
      <w:tcPr>
        <w:tcBorders>
          <w:top w:val="single" w:color="000000" w:sz="6" w:space="0"/>
          <w:left w:val="nil"/>
          <w:bottom w:val="nil"/>
          <w:right w:val="nil"/>
          <w:insideH w:val="nil"/>
          <w:insideV w:val="nil"/>
          <w:tl2br w:val="nil"/>
          <w:tr2bl w:val="nil"/>
        </w:tcBorders>
      </w:tcPr>
    </w:tblStylePr>
    <w:tblStylePr w:type="firstCol">
      <w:rPr>
        <w:rFonts w:cs="微软雅黑"/>
        <w:b/>
        <w:bCs/>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15">
    <w:name w:val="Table Grid 7"/>
    <w:basedOn w:val="76"/>
    <w:semiHidden/>
    <w:qFormat/>
    <w:uiPriority w:val="99"/>
    <w:pPr>
      <w:widowControl w:val="0"/>
      <w:spacing w:after="200" w:line="276" w:lineRule="auto"/>
    </w:pPr>
    <w:rPr>
      <w:rFonts w:ascii="Calibri" w:hAnsi="Calibri" w:cs="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微软雅黑"/>
        <w:b w:val="0"/>
        <w:bCs w:val="0"/>
      </w:rPr>
      <w:tblPr/>
      <w:tcPr>
        <w:tcBorders>
          <w:top w:val="nil"/>
          <w:left w:val="nil"/>
          <w:bottom w:val="single" w:color="000000" w:sz="12" w:space="0"/>
          <w:right w:val="nil"/>
          <w:insideH w:val="nil"/>
          <w:insideV w:val="nil"/>
          <w:tl2br w:val="nil"/>
          <w:tr2bl w:val="nil"/>
        </w:tcBorders>
      </w:tcPr>
    </w:tblStylePr>
    <w:tblStylePr w:type="lastRow">
      <w:rPr>
        <w:rFonts w:cs="微软雅黑"/>
        <w:b w:val="0"/>
        <w:bCs w:val="0"/>
      </w:rPr>
      <w:tblPr/>
      <w:tcPr>
        <w:tcBorders>
          <w:top w:val="single" w:color="000000" w:sz="6" w:space="0"/>
          <w:left w:val="nil"/>
          <w:bottom w:val="nil"/>
          <w:right w:val="nil"/>
          <w:insideH w:val="nil"/>
          <w:insideV w:val="nil"/>
          <w:tl2br w:val="nil"/>
          <w:tr2bl w:val="nil"/>
        </w:tcBorders>
      </w:tcPr>
    </w:tblStylePr>
    <w:tblStylePr w:type="firstCol">
      <w:rPr>
        <w:rFonts w:cs="微软雅黑"/>
        <w:b w:val="0"/>
        <w:bCs w:val="0"/>
      </w:rPr>
      <w:tblPr/>
      <w:tcPr>
        <w:tcBorders>
          <w:top w:val="nil"/>
          <w:left w:val="nil"/>
          <w:bottom w:val="nil"/>
          <w:right w:val="nil"/>
          <w:insideH w:val="nil"/>
          <w:insideV w:val="nil"/>
          <w:tl2br w:val="nil"/>
          <w:tr2bl w:val="nil"/>
        </w:tcBorders>
      </w:tcPr>
    </w:tblStylePr>
    <w:tblStylePr w:type="lastCol">
      <w:rPr>
        <w:rFonts w:cs="微软雅黑"/>
        <w:b w:val="0"/>
        <w:bCs w:val="0"/>
      </w:rPr>
      <w:tblPr/>
      <w:tcPr>
        <w:tcBorders>
          <w:top w:val="nil"/>
          <w:left w:val="nil"/>
          <w:bottom w:val="nil"/>
          <w:right w:val="nil"/>
          <w:insideH w:val="nil"/>
          <w:insideV w:val="nil"/>
          <w:tl2br w:val="nil"/>
          <w:tr2bl w:val="nil"/>
        </w:tcBorders>
      </w:tcPr>
    </w:tblStylePr>
    <w:tblStylePr w:type="nwCell">
      <w:rPr>
        <w:rFonts w:cs="微软雅黑"/>
      </w:rPr>
      <w:tblPr/>
      <w:tcPr>
        <w:tcBorders>
          <w:top w:val="nil"/>
          <w:left w:val="nil"/>
          <w:bottom w:val="nil"/>
          <w:right w:val="nil"/>
          <w:insideH w:val="nil"/>
          <w:insideV w:val="nil"/>
          <w:tl2br w:val="single" w:color="000000" w:sz="6" w:space="0"/>
          <w:tr2bl w:val="nil"/>
        </w:tcBorders>
      </w:tcPr>
    </w:tblStylePr>
  </w:style>
  <w:style w:type="table" w:styleId="116">
    <w:name w:val="Table Grid 8"/>
    <w:basedOn w:val="76"/>
    <w:semiHidden/>
    <w:qFormat/>
    <w:uiPriority w:val="99"/>
    <w:pPr>
      <w:widowControl w:val="0"/>
      <w:spacing w:after="200" w:line="276" w:lineRule="auto"/>
    </w:pPr>
    <w:rPr>
      <w:rFonts w:ascii="Calibri" w:hAnsi="Calibri" w:cs="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微软雅黑"/>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微软雅黑"/>
        <w:b/>
        <w:bCs/>
        <w:color w:val="auto"/>
      </w:rPr>
      <w:tblPr/>
      <w:tcPr>
        <w:tcBorders>
          <w:top w:val="nil"/>
          <w:left w:val="nil"/>
          <w:bottom w:val="nil"/>
          <w:right w:val="nil"/>
          <w:insideH w:val="nil"/>
          <w:insideV w:val="nil"/>
          <w:tl2br w:val="nil"/>
          <w:tr2bl w:val="nil"/>
        </w:tcBorders>
      </w:tcPr>
    </w:tblStylePr>
    <w:tblStylePr w:type="lastCol">
      <w:rPr>
        <w:rFonts w:cs="微软雅黑"/>
        <w:b/>
        <w:bCs/>
        <w:color w:val="auto"/>
      </w:rPr>
      <w:tblPr/>
      <w:tcPr>
        <w:tcBorders>
          <w:top w:val="nil"/>
          <w:left w:val="nil"/>
          <w:bottom w:val="nil"/>
          <w:right w:val="nil"/>
          <w:insideH w:val="nil"/>
          <w:insideV w:val="nil"/>
          <w:tl2br w:val="nil"/>
          <w:tr2bl w:val="nil"/>
        </w:tcBorders>
      </w:tcPr>
    </w:tblStylePr>
  </w:style>
  <w:style w:type="table" w:styleId="117">
    <w:name w:val="Table Web 1"/>
    <w:basedOn w:val="76"/>
    <w:semiHidden/>
    <w:qFormat/>
    <w:uiPriority w:val="99"/>
    <w:pPr>
      <w:widowControl w:val="0"/>
      <w:spacing w:after="200" w:line="276" w:lineRule="auto"/>
    </w:pPr>
    <w:rPr>
      <w:rFonts w:ascii="Calibri" w:hAnsi="Calibri" w:cs="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微软雅黑"/>
        <w:color w:val="auto"/>
      </w:rPr>
      <w:tblPr/>
      <w:tcPr>
        <w:tcBorders>
          <w:top w:val="nil"/>
          <w:left w:val="nil"/>
          <w:bottom w:val="nil"/>
          <w:right w:val="nil"/>
          <w:insideH w:val="nil"/>
          <w:insideV w:val="nil"/>
          <w:tl2br w:val="nil"/>
          <w:tr2bl w:val="nil"/>
        </w:tcBorders>
      </w:tcPr>
    </w:tblStylePr>
  </w:style>
  <w:style w:type="table" w:styleId="118">
    <w:name w:val="Table Web 2"/>
    <w:basedOn w:val="76"/>
    <w:semiHidden/>
    <w:qFormat/>
    <w:uiPriority w:val="99"/>
    <w:pPr>
      <w:widowControl w:val="0"/>
      <w:spacing w:after="200" w:line="276" w:lineRule="auto"/>
    </w:pPr>
    <w:rPr>
      <w:rFonts w:ascii="Calibri" w:hAnsi="Calibri" w:cs="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微软雅黑"/>
        <w:color w:val="auto"/>
      </w:rPr>
      <w:tblPr/>
      <w:tcPr>
        <w:tcBorders>
          <w:top w:val="nil"/>
          <w:left w:val="nil"/>
          <w:bottom w:val="nil"/>
          <w:right w:val="nil"/>
          <w:insideH w:val="nil"/>
          <w:insideV w:val="nil"/>
          <w:tl2br w:val="nil"/>
          <w:tr2bl w:val="nil"/>
        </w:tcBorders>
      </w:tcPr>
    </w:tblStylePr>
  </w:style>
  <w:style w:type="table" w:styleId="119">
    <w:name w:val="Table Web 3"/>
    <w:basedOn w:val="76"/>
    <w:semiHidden/>
    <w:qFormat/>
    <w:uiPriority w:val="99"/>
    <w:pPr>
      <w:widowControl w:val="0"/>
      <w:spacing w:after="200" w:line="276" w:lineRule="auto"/>
    </w:pPr>
    <w:rPr>
      <w:rFonts w:ascii="Calibri" w:hAnsi="Calibri" w:cs="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微软雅黑"/>
        <w:color w:val="auto"/>
      </w:rPr>
      <w:tblPr/>
      <w:tcPr>
        <w:tcBorders>
          <w:top w:val="nil"/>
          <w:left w:val="nil"/>
          <w:bottom w:val="nil"/>
          <w:right w:val="nil"/>
          <w:insideH w:val="nil"/>
          <w:insideV w:val="nil"/>
          <w:tl2br w:val="nil"/>
          <w:tr2bl w:val="nil"/>
        </w:tcBorders>
      </w:tcPr>
    </w:tblStylePr>
  </w:style>
  <w:style w:type="table" w:styleId="120">
    <w:name w:val="Table Professional"/>
    <w:basedOn w:val="76"/>
    <w:semiHidden/>
    <w:qFormat/>
    <w:uiPriority w:val="99"/>
    <w:pPr>
      <w:widowControl w:val="0"/>
      <w:spacing w:after="200" w:line="276" w:lineRule="auto"/>
    </w:pPr>
    <w:rPr>
      <w:rFonts w:ascii="Calibri" w:hAnsi="Calibri" w:cs="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微软雅黑"/>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2">
    <w:name w:val="Strong"/>
    <w:qFormat/>
    <w:uiPriority w:val="0"/>
    <w:rPr>
      <w:rFonts w:cs="Times New Roman"/>
      <w:b/>
      <w:bCs/>
    </w:rPr>
  </w:style>
  <w:style w:type="character" w:styleId="123">
    <w:name w:val="page number"/>
    <w:basedOn w:val="121"/>
    <w:qFormat/>
    <w:uiPriority w:val="0"/>
    <w:rPr>
      <w:rFonts w:cs="Times New Roman"/>
    </w:rPr>
  </w:style>
  <w:style w:type="character" w:styleId="124">
    <w:name w:val="FollowedHyperlink"/>
    <w:qFormat/>
    <w:uiPriority w:val="0"/>
    <w:rPr>
      <w:rFonts w:cs="Times New Roman"/>
      <w:color w:val="1F4F88"/>
      <w:u w:val="none"/>
    </w:rPr>
  </w:style>
  <w:style w:type="character" w:styleId="125">
    <w:name w:val="Emphasis"/>
    <w:qFormat/>
    <w:uiPriority w:val="20"/>
    <w:rPr>
      <w:rFonts w:cs="Times New Roman"/>
      <w:color w:val="auto"/>
    </w:rPr>
  </w:style>
  <w:style w:type="character" w:styleId="126">
    <w:name w:val="line number"/>
    <w:qFormat/>
    <w:uiPriority w:val="99"/>
    <w:rPr>
      <w:rFonts w:cs="Times New Roman"/>
    </w:rPr>
  </w:style>
  <w:style w:type="character" w:styleId="127">
    <w:name w:val="HTML Definition"/>
    <w:semiHidden/>
    <w:qFormat/>
    <w:uiPriority w:val="99"/>
    <w:rPr>
      <w:rFonts w:cs="Times New Roman"/>
      <w:i/>
      <w:iCs/>
    </w:rPr>
  </w:style>
  <w:style w:type="character" w:styleId="128">
    <w:name w:val="HTML Typewriter"/>
    <w:semiHidden/>
    <w:qFormat/>
    <w:uiPriority w:val="99"/>
    <w:rPr>
      <w:rFonts w:ascii="Courier New" w:hAnsi="Courier New" w:cs="Courier New"/>
      <w:sz w:val="20"/>
      <w:szCs w:val="20"/>
    </w:rPr>
  </w:style>
  <w:style w:type="character" w:styleId="129">
    <w:name w:val="HTML Acronym"/>
    <w:semiHidden/>
    <w:qFormat/>
    <w:uiPriority w:val="99"/>
    <w:rPr>
      <w:rFonts w:cs="Times New Roman"/>
    </w:rPr>
  </w:style>
  <w:style w:type="character" w:styleId="130">
    <w:name w:val="HTML Variable"/>
    <w:semiHidden/>
    <w:qFormat/>
    <w:uiPriority w:val="99"/>
    <w:rPr>
      <w:rFonts w:cs="Times New Roman"/>
      <w:i/>
      <w:iCs/>
    </w:rPr>
  </w:style>
  <w:style w:type="character" w:styleId="131">
    <w:name w:val="Hyperlink"/>
    <w:qFormat/>
    <w:uiPriority w:val="99"/>
    <w:rPr>
      <w:rFonts w:cs="Times New Roman"/>
      <w:color w:val="1F4F88"/>
      <w:u w:val="none"/>
    </w:rPr>
  </w:style>
  <w:style w:type="character" w:styleId="132">
    <w:name w:val="HTML Code"/>
    <w:semiHidden/>
    <w:qFormat/>
    <w:uiPriority w:val="99"/>
    <w:rPr>
      <w:rFonts w:ascii="Courier New" w:hAnsi="Courier New" w:cs="Courier New"/>
      <w:sz w:val="20"/>
      <w:szCs w:val="20"/>
    </w:rPr>
  </w:style>
  <w:style w:type="character" w:styleId="133">
    <w:name w:val="annotation reference"/>
    <w:qFormat/>
    <w:uiPriority w:val="99"/>
    <w:rPr>
      <w:rFonts w:cs="Times New Roman"/>
      <w:sz w:val="21"/>
      <w:szCs w:val="21"/>
    </w:rPr>
  </w:style>
  <w:style w:type="character" w:styleId="134">
    <w:name w:val="HTML Cite"/>
    <w:semiHidden/>
    <w:qFormat/>
    <w:uiPriority w:val="99"/>
    <w:rPr>
      <w:rFonts w:cs="Times New Roman"/>
      <w:i/>
      <w:iCs/>
    </w:rPr>
  </w:style>
  <w:style w:type="character" w:styleId="135">
    <w:name w:val="footnote reference"/>
    <w:semiHidden/>
    <w:qFormat/>
    <w:locked/>
    <w:uiPriority w:val="0"/>
    <w:rPr>
      <w:vertAlign w:val="superscript"/>
    </w:rPr>
  </w:style>
  <w:style w:type="character" w:styleId="136">
    <w:name w:val="HTML Keyboard"/>
    <w:semiHidden/>
    <w:qFormat/>
    <w:uiPriority w:val="99"/>
    <w:rPr>
      <w:rFonts w:ascii="Courier New" w:hAnsi="Courier New" w:cs="Courier New"/>
      <w:sz w:val="20"/>
      <w:szCs w:val="20"/>
    </w:rPr>
  </w:style>
  <w:style w:type="character" w:styleId="137">
    <w:name w:val="HTML Sample"/>
    <w:semiHidden/>
    <w:qFormat/>
    <w:uiPriority w:val="99"/>
    <w:rPr>
      <w:rFonts w:ascii="Courier New" w:hAnsi="Courier New" w:cs="Courier New"/>
    </w:rPr>
  </w:style>
  <w:style w:type="paragraph" w:customStyle="1" w:styleId="138">
    <w:name w:val="_Style 137"/>
    <w:unhideWhenUsed/>
    <w:qFormat/>
    <w:uiPriority w:val="99"/>
    <w:rPr>
      <w:rFonts w:ascii="Times New Roman" w:hAnsi="Times New Roman" w:eastAsia="宋体" w:cs="Times New Roman"/>
      <w:kern w:val="2"/>
      <w:sz w:val="21"/>
      <w:szCs w:val="21"/>
      <w:lang w:val="en-US" w:eastAsia="zh-CN" w:bidi="ar-SA"/>
    </w:rPr>
  </w:style>
  <w:style w:type="paragraph" w:customStyle="1" w:styleId="139">
    <w:name w:val="表内文字"/>
    <w:basedOn w:val="1"/>
    <w:qFormat/>
    <w:uiPriority w:val="0"/>
    <w:pPr>
      <w:spacing w:line="360" w:lineRule="auto"/>
      <w:jc w:val="center"/>
    </w:pPr>
    <w:rPr>
      <w:rFonts w:ascii="宋体" w:hAnsi="宋体"/>
      <w:b/>
      <w:bCs/>
      <w:sz w:val="28"/>
      <w:szCs w:val="24"/>
    </w:rPr>
  </w:style>
  <w:style w:type="paragraph" w:customStyle="1" w:styleId="140">
    <w:name w:val="1正文段落"/>
    <w:basedOn w:val="1"/>
    <w:qFormat/>
    <w:uiPriority w:val="0"/>
    <w:pPr>
      <w:spacing w:line="360" w:lineRule="auto"/>
      <w:ind w:firstLine="480" w:firstLineChars="200"/>
      <w:jc w:val="left"/>
    </w:pPr>
    <w:rPr>
      <w:snapToGrid w:val="0"/>
      <w:kern w:val="0"/>
      <w:sz w:val="24"/>
      <w:szCs w:val="24"/>
    </w:rPr>
  </w:style>
  <w:style w:type="paragraph" w:customStyle="1" w:styleId="141">
    <w:name w:val="HR标题7"/>
    <w:basedOn w:val="1"/>
    <w:next w:val="142"/>
    <w:qFormat/>
    <w:uiPriority w:val="0"/>
    <w:pPr>
      <w:numPr>
        <w:ilvl w:val="6"/>
        <w:numId w:val="1"/>
      </w:numPr>
      <w:tabs>
        <w:tab w:val="left" w:pos="1332"/>
      </w:tabs>
      <w:spacing w:line="360" w:lineRule="auto"/>
      <w:outlineLvl w:val="6"/>
    </w:pPr>
    <w:rPr>
      <w:sz w:val="24"/>
      <w:szCs w:val="24"/>
    </w:rPr>
  </w:style>
  <w:style w:type="paragraph" w:customStyle="1" w:styleId="142">
    <w:name w:val="HR正文"/>
    <w:basedOn w:val="1"/>
    <w:link w:val="282"/>
    <w:qFormat/>
    <w:uiPriority w:val="0"/>
    <w:pPr>
      <w:spacing w:line="300" w:lineRule="auto"/>
      <w:ind w:firstLine="200" w:firstLineChars="200"/>
    </w:pPr>
    <w:rPr>
      <w:rFonts w:ascii="Calibri" w:hAnsi="Calibri"/>
      <w:sz w:val="24"/>
      <w:szCs w:val="24"/>
    </w:rPr>
  </w:style>
  <w:style w:type="paragraph" w:customStyle="1" w:styleId="143">
    <w:name w:val="_Style 142"/>
    <w:basedOn w:val="2"/>
    <w:next w:val="1"/>
    <w:qFormat/>
    <w:uiPriority w:val="39"/>
    <w:pPr>
      <w:keepNext/>
      <w:keepLines/>
      <w:tabs>
        <w:tab w:val="clear" w:pos="9061"/>
      </w:tabs>
      <w:spacing w:before="340" w:after="330" w:line="578" w:lineRule="auto"/>
      <w:ind w:left="0"/>
      <w:jc w:val="both"/>
      <w:outlineLvl w:val="9"/>
    </w:pPr>
    <w:rPr>
      <w:bCs/>
      <w:kern w:val="44"/>
      <w:sz w:val="44"/>
      <w:szCs w:val="44"/>
    </w:rPr>
  </w:style>
  <w:style w:type="paragraph" w:customStyle="1" w:styleId="144">
    <w:name w:val="Char Char 字元 字元 字元 Char Char Char Char"/>
    <w:basedOn w:val="1"/>
    <w:qFormat/>
    <w:uiPriority w:val="99"/>
    <w:pPr>
      <w:adjustRightInd w:val="0"/>
      <w:spacing w:line="360" w:lineRule="auto"/>
    </w:pPr>
    <w:rPr>
      <w:kern w:val="0"/>
      <w:sz w:val="24"/>
      <w:szCs w:val="24"/>
    </w:rPr>
  </w:style>
  <w:style w:type="paragraph" w:styleId="145">
    <w:name w:val="List Paragraph"/>
    <w:basedOn w:val="1"/>
    <w:qFormat/>
    <w:uiPriority w:val="34"/>
    <w:pPr>
      <w:ind w:firstLine="420" w:firstLineChars="200"/>
    </w:pPr>
    <w:rPr>
      <w:szCs w:val="24"/>
    </w:rPr>
  </w:style>
  <w:style w:type="paragraph" w:customStyle="1" w:styleId="146">
    <w:name w:val="111111"/>
    <w:basedOn w:val="72"/>
    <w:qFormat/>
    <w:uiPriority w:val="99"/>
    <w:pPr>
      <w:jc w:val="both"/>
    </w:pPr>
  </w:style>
  <w:style w:type="paragraph" w:customStyle="1" w:styleId="147">
    <w:name w:val="插图标注（绿盟科技）"/>
    <w:next w:val="1"/>
    <w:semiHidden/>
    <w:qFormat/>
    <w:uiPriority w:val="99"/>
    <w:pPr>
      <w:tabs>
        <w:tab w:val="left" w:pos="1680"/>
      </w:tabs>
      <w:spacing w:after="156"/>
      <w:ind w:left="426"/>
      <w:jc w:val="center"/>
    </w:pPr>
    <w:rPr>
      <w:rFonts w:ascii="Arial" w:hAnsi="Arial" w:eastAsia="宋体" w:cs="Arial"/>
      <w:sz w:val="21"/>
      <w:szCs w:val="21"/>
      <w:lang w:val="en-US" w:eastAsia="zh-CN" w:bidi="ar-SA"/>
    </w:rPr>
  </w:style>
  <w:style w:type="paragraph" w:customStyle="1" w:styleId="148">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49">
    <w:name w:val="p0"/>
    <w:basedOn w:val="1"/>
    <w:semiHidden/>
    <w:qFormat/>
    <w:uiPriority w:val="99"/>
    <w:pPr>
      <w:widowControl/>
      <w:spacing w:after="200" w:line="273" w:lineRule="auto"/>
      <w:jc w:val="left"/>
    </w:pPr>
    <w:rPr>
      <w:rFonts w:ascii="Calibri" w:hAnsi="Calibri" w:cs="Calibri"/>
      <w:kern w:val="0"/>
      <w:sz w:val="22"/>
      <w:szCs w:val="22"/>
    </w:rPr>
  </w:style>
  <w:style w:type="paragraph" w:customStyle="1" w:styleId="150">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151">
    <w:name w:val="样式 正文文本 + 段前: 0.5 行 段后: 0.5 行3"/>
    <w:basedOn w:val="30"/>
    <w:qFormat/>
    <w:uiPriority w:val="0"/>
    <w:pPr>
      <w:numPr>
        <w:ilvl w:val="1"/>
        <w:numId w:val="2"/>
      </w:numPr>
      <w:spacing w:after="0" w:line="360" w:lineRule="auto"/>
    </w:pPr>
    <w:rPr>
      <w:rFonts w:cs="宋体"/>
      <w:kern w:val="2"/>
      <w:sz w:val="24"/>
      <w:szCs w:val="20"/>
      <w:lang w:val="zh-CN"/>
    </w:rPr>
  </w:style>
  <w:style w:type="paragraph" w:customStyle="1" w:styleId="152">
    <w:name w:val="样式4"/>
    <w:basedOn w:val="153"/>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153">
    <w:name w:val="样式2"/>
    <w:basedOn w:val="6"/>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154">
    <w:name w:val="文字正文"/>
    <w:basedOn w:val="1"/>
    <w:qFormat/>
    <w:uiPriority w:val="0"/>
    <w:rPr>
      <w:szCs w:val="24"/>
    </w:rPr>
  </w:style>
  <w:style w:type="paragraph" w:customStyle="1" w:styleId="155">
    <w:name w:val="style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56">
    <w:name w:val="列出段落3"/>
    <w:basedOn w:val="1"/>
    <w:qFormat/>
    <w:uiPriority w:val="0"/>
    <w:pPr>
      <w:ind w:firstLine="420" w:firstLineChars="200"/>
    </w:pPr>
    <w:rPr>
      <w:rFonts w:ascii="Calibri" w:hAnsi="Calibri"/>
      <w:sz w:val="22"/>
      <w:szCs w:val="22"/>
    </w:rPr>
  </w:style>
  <w:style w:type="paragraph" w:customStyle="1" w:styleId="157">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158">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159">
    <w:name w:val="1列"/>
    <w:basedOn w:val="1"/>
    <w:qFormat/>
    <w:uiPriority w:val="0"/>
    <w:pPr>
      <w:numPr>
        <w:ilvl w:val="0"/>
        <w:numId w:val="3"/>
      </w:numPr>
      <w:spacing w:line="360" w:lineRule="auto"/>
    </w:pPr>
    <w:rPr>
      <w:szCs w:val="24"/>
    </w:rPr>
  </w:style>
  <w:style w:type="paragraph" w:customStyle="1" w:styleId="160">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61">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62">
    <w:name w:val="HR标题4"/>
    <w:basedOn w:val="1"/>
    <w:next w:val="142"/>
    <w:qFormat/>
    <w:uiPriority w:val="0"/>
    <w:pPr>
      <w:numPr>
        <w:ilvl w:val="3"/>
        <w:numId w:val="1"/>
      </w:numPr>
      <w:tabs>
        <w:tab w:val="left" w:pos="974"/>
      </w:tabs>
      <w:spacing w:line="360" w:lineRule="auto"/>
      <w:outlineLvl w:val="3"/>
    </w:pPr>
    <w:rPr>
      <w:sz w:val="24"/>
      <w:szCs w:val="24"/>
    </w:rPr>
  </w:style>
  <w:style w:type="paragraph" w:customStyle="1" w:styleId="163">
    <w:name w:val="HR标题6"/>
    <w:basedOn w:val="1"/>
    <w:next w:val="142"/>
    <w:qFormat/>
    <w:uiPriority w:val="0"/>
    <w:pPr>
      <w:tabs>
        <w:tab w:val="left" w:pos="1134"/>
        <w:tab w:val="left" w:pos="2520"/>
      </w:tabs>
      <w:spacing w:line="360" w:lineRule="auto"/>
      <w:ind w:left="2520" w:hanging="420"/>
      <w:outlineLvl w:val="5"/>
    </w:pPr>
    <w:rPr>
      <w:sz w:val="24"/>
      <w:szCs w:val="24"/>
    </w:rPr>
  </w:style>
  <w:style w:type="paragraph" w:customStyle="1" w:styleId="164">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65">
    <w:name w:val="A Lieferumfang Aufzählung"/>
    <w:basedOn w:val="1"/>
    <w:qFormat/>
    <w:uiPriority w:val="99"/>
    <w:pPr>
      <w:keepNext/>
      <w:widowControl/>
      <w:numPr>
        <w:ilvl w:val="0"/>
        <w:numId w:val="4"/>
      </w:numPr>
      <w:tabs>
        <w:tab w:val="left" w:pos="1701"/>
      </w:tabs>
      <w:spacing w:line="360" w:lineRule="auto"/>
      <w:jc w:val="left"/>
    </w:pPr>
    <w:rPr>
      <w:rFonts w:ascii="Arial" w:hAnsi="Arial"/>
      <w:kern w:val="0"/>
      <w:sz w:val="20"/>
      <w:szCs w:val="20"/>
      <w:lang w:val="de-DE" w:eastAsia="de-DE"/>
    </w:rPr>
  </w:style>
  <w:style w:type="paragraph" w:customStyle="1" w:styleId="166">
    <w:name w:val="样式目录三"/>
    <w:basedOn w:val="39"/>
    <w:semiHidden/>
    <w:qFormat/>
    <w:uiPriority w:val="99"/>
    <w:pPr>
      <w:numPr>
        <w:ilvl w:val="5"/>
        <w:numId w:val="1"/>
      </w:numPr>
      <w:tabs>
        <w:tab w:val="left" w:pos="1320"/>
        <w:tab w:val="right" w:leader="dot" w:pos="8597"/>
      </w:tabs>
      <w:ind w:left="0" w:firstLine="0"/>
      <w:outlineLvl w:val="2"/>
    </w:pPr>
    <w:rPr>
      <w:iCs w:val="0"/>
      <w:szCs w:val="24"/>
    </w:rPr>
  </w:style>
  <w:style w:type="paragraph" w:customStyle="1" w:styleId="167">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68">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69">
    <w:name w:val="列出段落4"/>
    <w:basedOn w:val="1"/>
    <w:qFormat/>
    <w:uiPriority w:val="0"/>
    <w:pPr>
      <w:ind w:firstLine="420" w:firstLineChars="200"/>
    </w:pPr>
    <w:rPr>
      <w:rFonts w:ascii="Calibri" w:hAnsi="Calibri" w:eastAsia="Times New Roman"/>
      <w:sz w:val="22"/>
      <w:szCs w:val="22"/>
    </w:rPr>
  </w:style>
  <w:style w:type="paragraph" w:customStyle="1" w:styleId="170">
    <w:name w:val="scfErstekopfzeile"/>
    <w:basedOn w:val="1"/>
    <w:qFormat/>
    <w:uiPriority w:val="99"/>
    <w:pPr>
      <w:widowControl/>
      <w:tabs>
        <w:tab w:val="left" w:pos="1701"/>
      </w:tabs>
      <w:jc w:val="left"/>
    </w:pPr>
    <w:rPr>
      <w:rFonts w:ascii="Arial" w:hAnsi="Arial"/>
      <w:vanish/>
      <w:kern w:val="0"/>
      <w:sz w:val="16"/>
      <w:szCs w:val="20"/>
      <w:lang w:val="de-DE" w:eastAsia="en-US"/>
    </w:rPr>
  </w:style>
  <w:style w:type="paragraph" w:customStyle="1" w:styleId="171">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72">
    <w:name w:val="需求书2"/>
    <w:basedOn w:val="1"/>
    <w:qFormat/>
    <w:uiPriority w:val="0"/>
    <w:pPr>
      <w:spacing w:line="400" w:lineRule="exact"/>
    </w:pPr>
    <w:rPr>
      <w:rFonts w:ascii="黑体" w:hAnsi="Calibri" w:eastAsia="黑体"/>
      <w:b/>
      <w:bCs/>
      <w:sz w:val="32"/>
      <w:szCs w:val="20"/>
    </w:rPr>
  </w:style>
  <w:style w:type="paragraph" w:customStyle="1" w:styleId="17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4">
    <w:name w:val="样式 段前: 0.5 行 段后: 0.5 行"/>
    <w:basedOn w:val="1"/>
    <w:qFormat/>
    <w:uiPriority w:val="0"/>
    <w:pPr>
      <w:spacing w:beforeLines="50" w:afterLines="50" w:line="360" w:lineRule="auto"/>
      <w:ind w:left="420" w:leftChars="200" w:firstLine="240" w:firstLineChars="100"/>
    </w:pPr>
    <w:rPr>
      <w:rFonts w:ascii="仿宋_GB2312" w:eastAsia="仿宋_GB2312" w:cs="宋体"/>
      <w:sz w:val="24"/>
      <w:szCs w:val="20"/>
    </w:rPr>
  </w:style>
  <w:style w:type="paragraph" w:customStyle="1" w:styleId="175">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76">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177">
    <w:name w:val="xl33"/>
    <w:basedOn w:val="155"/>
    <w:qFormat/>
    <w:uiPriority w:val="99"/>
    <w:pPr>
      <w:pBdr>
        <w:bottom w:val="single" w:color="auto" w:sz="4" w:space="0"/>
        <w:right w:val="single" w:color="auto" w:sz="4" w:space="0"/>
      </w:pBdr>
      <w:jc w:val="center"/>
    </w:pPr>
    <w:rPr>
      <w:sz w:val="20"/>
      <w:szCs w:val="20"/>
    </w:rPr>
  </w:style>
  <w:style w:type="paragraph" w:customStyle="1" w:styleId="178">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179">
    <w:name w:val="List Paragraph1"/>
    <w:basedOn w:val="1"/>
    <w:link w:val="268"/>
    <w:qFormat/>
    <w:uiPriority w:val="34"/>
    <w:pPr>
      <w:spacing w:line="360" w:lineRule="auto"/>
      <w:ind w:firstLine="480" w:firstLineChars="200"/>
    </w:pPr>
    <w:rPr>
      <w:color w:val="262626"/>
      <w:kern w:val="0"/>
      <w:sz w:val="20"/>
      <w:szCs w:val="20"/>
    </w:rPr>
  </w:style>
  <w:style w:type="paragraph" w:customStyle="1" w:styleId="180">
    <w:name w:val="样式5"/>
    <w:basedOn w:val="1"/>
    <w:next w:val="39"/>
    <w:qFormat/>
    <w:uiPriority w:val="99"/>
    <w:pPr>
      <w:tabs>
        <w:tab w:val="left" w:pos="980"/>
      </w:tabs>
      <w:spacing w:line="360" w:lineRule="auto"/>
      <w:ind w:left="140" w:right="-20"/>
      <w:outlineLvl w:val="0"/>
    </w:pPr>
    <w:rPr>
      <w:b/>
      <w:bCs/>
      <w:kern w:val="0"/>
      <w:sz w:val="28"/>
      <w:szCs w:val="28"/>
    </w:rPr>
  </w:style>
  <w:style w:type="paragraph" w:customStyle="1" w:styleId="181">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82">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3">
    <w:name w:val="标题 2（绿盟科技）"/>
    <w:basedOn w:val="3"/>
    <w:next w:val="1"/>
    <w:semiHidden/>
    <w:qFormat/>
    <w:uiPriority w:val="99"/>
    <w:pPr>
      <w:tabs>
        <w:tab w:val="left" w:pos="840"/>
        <w:tab w:val="left" w:pos="1440"/>
      </w:tabs>
      <w:spacing w:line="415" w:lineRule="auto"/>
      <w:ind w:left="840" w:hanging="420"/>
      <w:jc w:val="left"/>
    </w:pPr>
  </w:style>
  <w:style w:type="paragraph" w:customStyle="1" w:styleId="184">
    <w:name w:val="样式1"/>
    <w:basedOn w:val="5"/>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185">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186">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18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188">
    <w:name w:val="默认段落字体 Para Char Char Char Char Char Char Char Char Char Char Char Char Char Char Char1 Char Char Char Char"/>
    <w:basedOn w:val="23"/>
    <w:qFormat/>
    <w:uiPriority w:val="99"/>
    <w:pPr>
      <w:adjustRightInd w:val="0"/>
      <w:spacing w:line="436" w:lineRule="exact"/>
      <w:ind w:left="357"/>
      <w:jc w:val="left"/>
      <w:outlineLvl w:val="3"/>
    </w:pPr>
    <w:rPr>
      <w:rFonts w:ascii="仿宋_GB2312" w:eastAsia="仿宋_GB2312" w:cs="仿宋_GB2312"/>
      <w:sz w:val="24"/>
      <w:szCs w:val="24"/>
    </w:rPr>
  </w:style>
  <w:style w:type="paragraph" w:customStyle="1" w:styleId="189">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190">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191">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92">
    <w:name w:val="HR标题3"/>
    <w:basedOn w:val="1"/>
    <w:next w:val="142"/>
    <w:link w:val="305"/>
    <w:qFormat/>
    <w:uiPriority w:val="0"/>
    <w:pPr>
      <w:tabs>
        <w:tab w:val="left" w:pos="624"/>
        <w:tab w:val="left" w:pos="1260"/>
      </w:tabs>
      <w:spacing w:line="360" w:lineRule="auto"/>
      <w:ind w:left="1260" w:hanging="420"/>
      <w:outlineLvl w:val="2"/>
    </w:pPr>
    <w:rPr>
      <w:rFonts w:ascii="Calibri" w:hAnsi="Calibri"/>
      <w:sz w:val="24"/>
      <w:szCs w:val="24"/>
    </w:rPr>
  </w:style>
  <w:style w:type="paragraph" w:customStyle="1" w:styleId="193">
    <w:name w:val="正文2"/>
    <w:basedOn w:val="1"/>
    <w:semiHidden/>
    <w:qFormat/>
    <w:uiPriority w:val="99"/>
    <w:pPr>
      <w:spacing w:before="156" w:line="360" w:lineRule="auto"/>
      <w:ind w:firstLine="510" w:firstLineChars="200"/>
    </w:pPr>
    <w:rPr>
      <w:sz w:val="24"/>
      <w:szCs w:val="24"/>
    </w:rPr>
  </w:style>
  <w:style w:type="paragraph" w:customStyle="1" w:styleId="194">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195">
    <w:name w:val="表题"/>
    <w:basedOn w:val="40"/>
    <w:qFormat/>
    <w:uiPriority w:val="99"/>
    <w:pPr>
      <w:adjustRightInd w:val="0"/>
      <w:spacing w:line="480" w:lineRule="auto"/>
      <w:jc w:val="center"/>
    </w:pPr>
    <w:rPr>
      <w:rFonts w:ascii="Times New Roman" w:hAnsi="Times New Roman" w:eastAsia="黑体"/>
      <w:sz w:val="18"/>
      <w:szCs w:val="18"/>
    </w:rPr>
  </w:style>
  <w:style w:type="paragraph" w:customStyle="1" w:styleId="196">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197">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198">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199">
    <w:name w:val="正文居中"/>
    <w:basedOn w:val="1"/>
    <w:next w:val="74"/>
    <w:qFormat/>
    <w:uiPriority w:val="99"/>
    <w:pPr>
      <w:jc w:val="center"/>
    </w:pPr>
    <w:rPr>
      <w:sz w:val="24"/>
      <w:szCs w:val="24"/>
    </w:rPr>
  </w:style>
  <w:style w:type="paragraph" w:customStyle="1" w:styleId="200">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1">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02">
    <w:name w:val="标题 1（绿盟科技）"/>
    <w:basedOn w:val="2"/>
    <w:next w:val="1"/>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203">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4">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05">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06">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07">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0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09">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0">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11">
    <w:name w:val="列出段落1"/>
    <w:basedOn w:val="1"/>
    <w:qFormat/>
    <w:uiPriority w:val="34"/>
    <w:pPr>
      <w:ind w:firstLine="420" w:firstLineChars="200"/>
    </w:pPr>
  </w:style>
  <w:style w:type="paragraph" w:customStyle="1" w:styleId="212">
    <w:name w:val="PP 行"/>
    <w:basedOn w:val="51"/>
    <w:qFormat/>
    <w:uiPriority w:val="99"/>
  </w:style>
  <w:style w:type="paragraph" w:customStyle="1" w:styleId="213">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14">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5">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16">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17">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18">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19">
    <w:name w:val="五级无标题条"/>
    <w:basedOn w:val="1"/>
    <w:qFormat/>
    <w:uiPriority w:val="99"/>
    <w:pPr>
      <w:tabs>
        <w:tab w:val="left" w:pos="840"/>
      </w:tabs>
      <w:ind w:left="840" w:hanging="630"/>
    </w:pPr>
  </w:style>
  <w:style w:type="paragraph" w:customStyle="1" w:styleId="220">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1">
    <w:name w:val="HR标题5"/>
    <w:basedOn w:val="1"/>
    <w:next w:val="142"/>
    <w:qFormat/>
    <w:uiPriority w:val="0"/>
    <w:pPr>
      <w:tabs>
        <w:tab w:val="left" w:pos="1504"/>
        <w:tab w:val="left" w:pos="2100"/>
      </w:tabs>
      <w:spacing w:line="360" w:lineRule="auto"/>
      <w:ind w:left="2100" w:hanging="420"/>
      <w:outlineLvl w:val="4"/>
    </w:pPr>
    <w:rPr>
      <w:sz w:val="24"/>
      <w:szCs w:val="24"/>
    </w:rPr>
  </w:style>
  <w:style w:type="paragraph" w:customStyle="1" w:styleId="222">
    <w:name w:val="正文文本 (2)1"/>
    <w:basedOn w:val="1"/>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23">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24">
    <w:name w:val="正文（缩进）"/>
    <w:basedOn w:val="1"/>
    <w:link w:val="262"/>
    <w:semiHidden/>
    <w:qFormat/>
    <w:uiPriority w:val="99"/>
    <w:pPr>
      <w:spacing w:beforeLines="50" w:afterLines="50" w:line="360" w:lineRule="auto"/>
      <w:ind w:firstLine="480" w:firstLineChars="200"/>
    </w:pPr>
    <w:rPr>
      <w:kern w:val="0"/>
      <w:sz w:val="24"/>
      <w:szCs w:val="20"/>
    </w:rPr>
  </w:style>
  <w:style w:type="paragraph" w:customStyle="1" w:styleId="225">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26">
    <w:name w:val="Char Char Char Char"/>
    <w:basedOn w:val="1"/>
    <w:qFormat/>
    <w:uiPriority w:val="99"/>
    <w:rPr>
      <w:rFonts w:ascii="Tahoma" w:hAnsi="Tahoma" w:cs="Tahoma"/>
      <w:sz w:val="24"/>
      <w:szCs w:val="24"/>
    </w:rPr>
  </w:style>
  <w:style w:type="paragraph" w:customStyle="1" w:styleId="227">
    <w:name w:val="标题 3（绿盟科技）"/>
    <w:basedOn w:val="4"/>
    <w:next w:val="1"/>
    <w:semiHidden/>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228">
    <w:name w:val="样式 正文文本 2 + 段前: 0.5 行 段后: 0.5 行3"/>
    <w:basedOn w:val="64"/>
    <w:qFormat/>
    <w:uiPriority w:val="0"/>
    <w:pPr>
      <w:tabs>
        <w:tab w:val="left" w:pos="1260"/>
        <w:tab w:val="left" w:pos="1571"/>
      </w:tabs>
      <w:spacing w:line="360" w:lineRule="auto"/>
      <w:ind w:left="567" w:hanging="420"/>
    </w:pPr>
    <w:rPr>
      <w:rFonts w:cs="宋体"/>
      <w:kern w:val="2"/>
      <w:sz w:val="24"/>
      <w:szCs w:val="20"/>
      <w:lang w:val="zh-CN"/>
    </w:rPr>
  </w:style>
  <w:style w:type="paragraph" w:customStyle="1" w:styleId="229">
    <w:name w:val="表格"/>
    <w:basedOn w:val="1"/>
    <w:next w:val="1"/>
    <w:qFormat/>
    <w:uiPriority w:val="0"/>
    <w:pPr>
      <w:spacing w:beforeLines="50" w:afterLines="50"/>
      <w:jc w:val="left"/>
    </w:pPr>
    <w:rPr>
      <w:rFonts w:ascii="宋体" w:hAnsi="宋体"/>
    </w:rPr>
  </w:style>
  <w:style w:type="paragraph" w:customStyle="1" w:styleId="230">
    <w:name w:val="标题 4（绿盟科技）"/>
    <w:basedOn w:val="5"/>
    <w:next w:val="1"/>
    <w:semiHidden/>
    <w:qFormat/>
    <w:uiPriority w:val="99"/>
    <w:pPr>
      <w:widowControl/>
      <w:tabs>
        <w:tab w:val="left" w:pos="360"/>
      </w:tabs>
      <w:ind w:left="1447" w:hanging="1021"/>
      <w:jc w:val="left"/>
    </w:pPr>
  </w:style>
  <w:style w:type="paragraph" w:customStyle="1" w:styleId="231">
    <w:name w:val="t4_2"/>
    <w:basedOn w:val="1"/>
    <w:qFormat/>
    <w:uiPriority w:val="99"/>
    <w:pPr>
      <w:widowControl/>
      <w:tabs>
        <w:tab w:val="left" w:pos="360"/>
      </w:tabs>
      <w:spacing w:line="360" w:lineRule="auto"/>
      <w:ind w:left="420"/>
      <w:jc w:val="left"/>
    </w:pPr>
    <w:rPr>
      <w:b/>
      <w:bCs/>
    </w:rPr>
  </w:style>
  <w:style w:type="paragraph" w:customStyle="1" w:styleId="232">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33">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34">
    <w:name w:val="HR标题2"/>
    <w:basedOn w:val="1"/>
    <w:next w:val="142"/>
    <w:qFormat/>
    <w:uiPriority w:val="0"/>
    <w:pPr>
      <w:numPr>
        <w:ilvl w:val="1"/>
        <w:numId w:val="1"/>
      </w:numPr>
      <w:tabs>
        <w:tab w:val="left" w:pos="454"/>
      </w:tabs>
      <w:spacing w:line="360" w:lineRule="auto"/>
      <w:outlineLvl w:val="1"/>
    </w:pPr>
    <w:rPr>
      <w:rFonts w:eastAsia="黑体"/>
      <w:sz w:val="24"/>
      <w:szCs w:val="24"/>
    </w:rPr>
  </w:style>
  <w:style w:type="paragraph" w:customStyle="1" w:styleId="235">
    <w:name w:val="列出段落2"/>
    <w:basedOn w:val="1"/>
    <w:link w:val="287"/>
    <w:qFormat/>
    <w:uiPriority w:val="0"/>
    <w:pPr>
      <w:ind w:firstLine="420" w:firstLineChars="200"/>
    </w:pPr>
    <w:rPr>
      <w:color w:val="262626"/>
      <w:kern w:val="0"/>
      <w:sz w:val="20"/>
      <w:szCs w:val="20"/>
    </w:rPr>
  </w:style>
  <w:style w:type="paragraph" w:customStyle="1" w:styleId="236">
    <w:name w:val="Char Char Char"/>
    <w:basedOn w:val="1"/>
    <w:qFormat/>
    <w:uiPriority w:val="99"/>
    <w:rPr>
      <w:rFonts w:ascii="宋体" w:hAnsi="宋体" w:cs="宋体"/>
      <w:b/>
      <w:bCs/>
      <w:sz w:val="28"/>
      <w:szCs w:val="28"/>
    </w:rPr>
  </w:style>
  <w:style w:type="paragraph" w:customStyle="1" w:styleId="237">
    <w:name w:val="标题 6（有编号）（绿盟科技）"/>
    <w:basedOn w:val="1"/>
    <w:next w:val="1"/>
    <w:semiHidden/>
    <w:qFormat/>
    <w:uiPriority w:val="99"/>
    <w:pPr>
      <w:keepNext/>
      <w:keepLines/>
      <w:numPr>
        <w:ilvl w:val="2"/>
        <w:numId w:val="1"/>
      </w:numPr>
      <w:spacing w:line="319" w:lineRule="auto"/>
      <w:ind w:left="1673" w:hanging="1247"/>
      <w:jc w:val="left"/>
      <w:outlineLvl w:val="5"/>
    </w:pPr>
    <w:rPr>
      <w:rFonts w:ascii="Arial" w:hAnsi="Arial" w:eastAsia="黑体" w:cs="Arial"/>
      <w:b/>
      <w:bCs/>
      <w:kern w:val="0"/>
    </w:rPr>
  </w:style>
  <w:style w:type="paragraph" w:customStyle="1" w:styleId="238">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39">
    <w:name w:val="HR标题8"/>
    <w:basedOn w:val="1"/>
    <w:next w:val="142"/>
    <w:qFormat/>
    <w:uiPriority w:val="0"/>
    <w:pPr>
      <w:numPr>
        <w:ilvl w:val="7"/>
        <w:numId w:val="1"/>
      </w:numPr>
      <w:tabs>
        <w:tab w:val="left" w:pos="1531"/>
      </w:tabs>
      <w:spacing w:line="360" w:lineRule="auto"/>
      <w:outlineLvl w:val="7"/>
    </w:pPr>
    <w:rPr>
      <w:sz w:val="24"/>
      <w:szCs w:val="24"/>
    </w:rPr>
  </w:style>
  <w:style w:type="paragraph" w:customStyle="1" w:styleId="240">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24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42">
    <w:name w:val="示例"/>
    <w:qFormat/>
    <w:uiPriority w:val="99"/>
    <w:pPr>
      <w:jc w:val="both"/>
    </w:pPr>
    <w:rPr>
      <w:rFonts w:ascii="宋体" w:hAnsi="Times New Roman" w:eastAsia="宋体" w:cs="宋体"/>
      <w:sz w:val="18"/>
      <w:szCs w:val="18"/>
      <w:lang w:val="en-US" w:eastAsia="zh-CN" w:bidi="ar-SA"/>
    </w:rPr>
  </w:style>
  <w:style w:type="paragraph" w:customStyle="1" w:styleId="243">
    <w:name w:val="段"/>
    <w:link w:val="279"/>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4">
    <w:name w:val="简单回函地址"/>
    <w:basedOn w:val="1"/>
    <w:qFormat/>
    <w:uiPriority w:val="99"/>
  </w:style>
  <w:style w:type="paragraph" w:customStyle="1" w:styleId="245">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6">
    <w:name w:val="_Style 3"/>
    <w:basedOn w:val="2"/>
    <w:next w:val="1"/>
    <w:qFormat/>
    <w:uiPriority w:val="39"/>
    <w:pPr>
      <w:keepNext/>
      <w:keepLines/>
      <w:tabs>
        <w:tab w:val="clear" w:pos="9061"/>
      </w:tabs>
      <w:spacing w:before="340" w:after="330" w:line="578" w:lineRule="auto"/>
      <w:ind w:left="0"/>
      <w:jc w:val="both"/>
      <w:outlineLvl w:val="9"/>
    </w:pPr>
    <w:rPr>
      <w:bCs/>
      <w:kern w:val="44"/>
      <w:sz w:val="44"/>
      <w:szCs w:val="44"/>
    </w:rPr>
  </w:style>
  <w:style w:type="paragraph" w:customStyle="1" w:styleId="247">
    <w:name w:val="xl43"/>
    <w:basedOn w:val="155"/>
    <w:qFormat/>
    <w:uiPriority w:val="99"/>
    <w:pPr>
      <w:pBdr>
        <w:bottom w:val="single" w:color="auto" w:sz="4" w:space="0"/>
        <w:right w:val="single" w:color="auto" w:sz="4" w:space="0"/>
      </w:pBdr>
      <w:jc w:val="center"/>
    </w:pPr>
    <w:rPr>
      <w:sz w:val="21"/>
      <w:szCs w:val="21"/>
    </w:rPr>
  </w:style>
  <w:style w:type="paragraph" w:customStyle="1" w:styleId="248">
    <w:name w:val="Default"/>
    <w:link w:val="266"/>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49">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250">
    <w:name w:val="表格标注（绿盟科技）"/>
    <w:basedOn w:val="147"/>
    <w:next w:val="1"/>
    <w:semiHidden/>
    <w:qFormat/>
    <w:uiPriority w:val="99"/>
    <w:pPr>
      <w:tabs>
        <w:tab w:val="left" w:pos="1620"/>
        <w:tab w:val="left" w:pos="2100"/>
        <w:tab w:val="clear" w:pos="1680"/>
      </w:tabs>
      <w:ind w:left="1620" w:hanging="360"/>
    </w:pPr>
  </w:style>
  <w:style w:type="paragraph" w:customStyle="1" w:styleId="251">
    <w:name w:val="Char"/>
    <w:basedOn w:val="1"/>
    <w:qFormat/>
    <w:uiPriority w:val="99"/>
    <w:pPr>
      <w:tabs>
        <w:tab w:val="left" w:pos="708"/>
      </w:tabs>
      <w:ind w:firstLine="420"/>
    </w:pPr>
    <w:rPr>
      <w:rFonts w:ascii="仿宋_GB2312" w:eastAsia="仿宋_GB2312" w:cs="仿宋_GB2312"/>
      <w:sz w:val="24"/>
      <w:szCs w:val="24"/>
    </w:rPr>
  </w:style>
  <w:style w:type="paragraph" w:customStyle="1" w:styleId="252">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53">
    <w:name w:val="HR标题1"/>
    <w:basedOn w:val="1"/>
    <w:next w:val="142"/>
    <w:qFormat/>
    <w:uiPriority w:val="0"/>
    <w:pPr>
      <w:tabs>
        <w:tab w:val="left" w:pos="284"/>
        <w:tab w:val="left" w:pos="360"/>
      </w:tabs>
      <w:spacing w:line="360" w:lineRule="auto"/>
      <w:ind w:left="360" w:hanging="360"/>
      <w:outlineLvl w:val="0"/>
    </w:pPr>
    <w:rPr>
      <w:rFonts w:eastAsia="黑体"/>
      <w:sz w:val="24"/>
      <w:szCs w:val="24"/>
    </w:rPr>
  </w:style>
  <w:style w:type="paragraph" w:customStyle="1" w:styleId="254">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55">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宋体"/>
      <w:sz w:val="18"/>
      <w:szCs w:val="18"/>
      <w:lang w:val="en-US" w:eastAsia="zh-CN" w:bidi="ar-SA"/>
    </w:rPr>
  </w:style>
  <w:style w:type="character" w:customStyle="1" w:styleId="256">
    <w:name w:val="列出段落 字符"/>
    <w:qFormat/>
    <w:locked/>
    <w:uiPriority w:val="34"/>
    <w:rPr>
      <w:kern w:val="2"/>
      <w:sz w:val="21"/>
      <w:szCs w:val="24"/>
    </w:rPr>
  </w:style>
  <w:style w:type="character" w:customStyle="1" w:styleId="257">
    <w:name w:val="hover38"/>
    <w:qFormat/>
    <w:uiPriority w:val="99"/>
    <w:rPr>
      <w:rFonts w:cs="Times New Roman"/>
      <w:color w:val="auto"/>
      <w:u w:val="single"/>
    </w:rPr>
  </w:style>
  <w:style w:type="character" w:customStyle="1" w:styleId="258">
    <w:name w:val="称呼 Char"/>
    <w:link w:val="26"/>
    <w:semiHidden/>
    <w:qFormat/>
    <w:locked/>
    <w:uiPriority w:val="99"/>
    <w:rPr>
      <w:rFonts w:cs="Times New Roman"/>
      <w:sz w:val="21"/>
      <w:szCs w:val="21"/>
    </w:rPr>
  </w:style>
  <w:style w:type="character" w:customStyle="1" w:styleId="259">
    <w:name w:val="Footer Char"/>
    <w:semiHidden/>
    <w:qFormat/>
    <w:locked/>
    <w:uiPriority w:val="99"/>
    <w:rPr>
      <w:rFonts w:eastAsia="宋体"/>
      <w:sz w:val="18"/>
    </w:rPr>
  </w:style>
  <w:style w:type="character" w:customStyle="1" w:styleId="260">
    <w:name w:val="param-name1"/>
    <w:qFormat/>
    <w:uiPriority w:val="99"/>
    <w:rPr>
      <w:rFonts w:cs="Times New Roman"/>
      <w:b/>
      <w:bCs/>
    </w:rPr>
  </w:style>
  <w:style w:type="character" w:customStyle="1" w:styleId="261">
    <w:name w:val="bds_more"/>
    <w:qFormat/>
    <w:uiPriority w:val="99"/>
    <w:rPr>
      <w:rFonts w:ascii="Arial" w:hAnsi="Arial" w:cs="Arial"/>
    </w:rPr>
  </w:style>
  <w:style w:type="character" w:customStyle="1" w:styleId="262">
    <w:name w:val="正文（缩进） Char"/>
    <w:link w:val="224"/>
    <w:qFormat/>
    <w:locked/>
    <w:uiPriority w:val="99"/>
    <w:rPr>
      <w:rFonts w:eastAsia="宋体"/>
      <w:sz w:val="24"/>
    </w:rPr>
  </w:style>
  <w:style w:type="character" w:customStyle="1" w:styleId="263">
    <w:name w:val="正文文本缩进 3 Char"/>
    <w:link w:val="61"/>
    <w:qFormat/>
    <w:locked/>
    <w:uiPriority w:val="0"/>
    <w:rPr>
      <w:rFonts w:cs="Times New Roman"/>
      <w:sz w:val="16"/>
      <w:szCs w:val="16"/>
    </w:rPr>
  </w:style>
  <w:style w:type="character" w:customStyle="1" w:styleId="264">
    <w:name w:val="标题 1 Char"/>
    <w:qFormat/>
    <w:uiPriority w:val="9"/>
    <w:rPr>
      <w:rFonts w:eastAsia="宋体" w:cs="Times New Roman"/>
      <w:b/>
      <w:bCs/>
      <w:kern w:val="44"/>
      <w:sz w:val="44"/>
      <w:szCs w:val="44"/>
      <w:lang w:val="en-US" w:eastAsia="zh-CN"/>
    </w:rPr>
  </w:style>
  <w:style w:type="character" w:customStyle="1" w:styleId="265">
    <w:name w:val="正文首行缩进 2 Char"/>
    <w:link w:val="75"/>
    <w:semiHidden/>
    <w:qFormat/>
    <w:locked/>
    <w:uiPriority w:val="99"/>
    <w:rPr>
      <w:rFonts w:cs="Times New Roman"/>
      <w:sz w:val="21"/>
      <w:szCs w:val="21"/>
    </w:rPr>
  </w:style>
  <w:style w:type="character" w:customStyle="1" w:styleId="266">
    <w:name w:val="Default Char"/>
    <w:link w:val="248"/>
    <w:qFormat/>
    <w:uiPriority w:val="0"/>
    <w:rPr>
      <w:rFonts w:ascii="宋体"/>
      <w:color w:val="000000"/>
      <w:sz w:val="24"/>
      <w:szCs w:val="24"/>
      <w:lang w:val="en-US" w:eastAsia="zh-CN" w:bidi="ar-SA"/>
    </w:rPr>
  </w:style>
  <w:style w:type="character" w:customStyle="1" w:styleId="267">
    <w:name w:val="style61"/>
    <w:qFormat/>
    <w:uiPriority w:val="0"/>
    <w:rPr>
      <w:color w:val="CCCCCC"/>
    </w:rPr>
  </w:style>
  <w:style w:type="character" w:customStyle="1" w:styleId="268">
    <w:name w:val="列出段落 Char"/>
    <w:link w:val="179"/>
    <w:qFormat/>
    <w:locked/>
    <w:uiPriority w:val="34"/>
    <w:rPr>
      <w:rFonts w:eastAsia="宋体" w:cs="Times New Roman"/>
      <w:color w:val="262626"/>
    </w:rPr>
  </w:style>
  <w:style w:type="character" w:customStyle="1" w:styleId="269">
    <w:name w:val="批注主题 Char"/>
    <w:link w:val="73"/>
    <w:semiHidden/>
    <w:qFormat/>
    <w:locked/>
    <w:uiPriority w:val="99"/>
    <w:rPr>
      <w:rFonts w:ascii="Calibri" w:hAnsi="Calibri" w:eastAsia="宋体" w:cs="Calibri"/>
      <w:b/>
      <w:bCs/>
      <w:sz w:val="21"/>
      <w:szCs w:val="21"/>
      <w:lang w:val="en-US" w:eastAsia="en-US"/>
    </w:rPr>
  </w:style>
  <w:style w:type="character" w:customStyle="1" w:styleId="270">
    <w:name w:val="正文缩进 Char"/>
    <w:link w:val="19"/>
    <w:qFormat/>
    <w:locked/>
    <w:uiPriority w:val="99"/>
    <w:rPr>
      <w:rFonts w:eastAsia="宋体" w:cs="Times New Roman"/>
      <w:sz w:val="21"/>
      <w:szCs w:val="21"/>
    </w:rPr>
  </w:style>
  <w:style w:type="character" w:customStyle="1" w:styleId="271">
    <w:name w:val="纯文本 Char1"/>
    <w:semiHidden/>
    <w:qFormat/>
    <w:locked/>
    <w:uiPriority w:val="99"/>
    <w:rPr>
      <w:rFonts w:ascii="宋体" w:hAnsi="Courier New"/>
      <w:kern w:val="2"/>
      <w:sz w:val="21"/>
    </w:rPr>
  </w:style>
  <w:style w:type="character" w:customStyle="1" w:styleId="272">
    <w:name w:val="标题 3 Char"/>
    <w:link w:val="4"/>
    <w:qFormat/>
    <w:locked/>
    <w:uiPriority w:val="99"/>
    <w:rPr>
      <w:rFonts w:eastAsia="宋体" w:cs="Times New Roman"/>
      <w:b/>
      <w:bCs/>
      <w:sz w:val="32"/>
      <w:szCs w:val="32"/>
    </w:rPr>
  </w:style>
  <w:style w:type="character" w:customStyle="1" w:styleId="273">
    <w:name w:val="hei14"/>
    <w:semiHidden/>
    <w:qFormat/>
    <w:uiPriority w:val="99"/>
    <w:rPr>
      <w:rFonts w:cs="Times New Roman"/>
    </w:rPr>
  </w:style>
  <w:style w:type="character" w:customStyle="1" w:styleId="274">
    <w:name w:val="hover42"/>
    <w:qFormat/>
    <w:uiPriority w:val="99"/>
    <w:rPr>
      <w:rFonts w:cs="Times New Roman"/>
      <w:color w:val="FFFFFF"/>
      <w:shd w:val="clear" w:color="auto" w:fill="auto"/>
    </w:rPr>
  </w:style>
  <w:style w:type="character" w:customStyle="1" w:styleId="275">
    <w:name w:val="标题 5 Char"/>
    <w:link w:val="6"/>
    <w:qFormat/>
    <w:locked/>
    <w:uiPriority w:val="99"/>
    <w:rPr>
      <w:rFonts w:eastAsia="宋体" w:cs="Times New Roman"/>
      <w:b/>
      <w:bCs/>
      <w:sz w:val="28"/>
      <w:szCs w:val="28"/>
    </w:rPr>
  </w:style>
  <w:style w:type="character" w:customStyle="1" w:styleId="276">
    <w:name w:val="标题 7 Char"/>
    <w:link w:val="8"/>
    <w:semiHidden/>
    <w:qFormat/>
    <w:locked/>
    <w:uiPriority w:val="99"/>
    <w:rPr>
      <w:rFonts w:cs="Times New Roman"/>
      <w:b/>
      <w:bCs/>
      <w:sz w:val="24"/>
      <w:szCs w:val="24"/>
    </w:rPr>
  </w:style>
  <w:style w:type="character" w:customStyle="1" w:styleId="277">
    <w:name w:val="正文文本 Char"/>
    <w:link w:val="30"/>
    <w:semiHidden/>
    <w:qFormat/>
    <w:locked/>
    <w:uiPriority w:val="99"/>
    <w:rPr>
      <w:rFonts w:cs="Times New Roman"/>
      <w:sz w:val="21"/>
      <w:szCs w:val="21"/>
    </w:rPr>
  </w:style>
  <w:style w:type="character" w:customStyle="1" w:styleId="278">
    <w:name w:val="hover43"/>
    <w:qFormat/>
    <w:uiPriority w:val="99"/>
    <w:rPr>
      <w:rFonts w:cs="Times New Roman"/>
      <w:color w:val="auto"/>
      <w:u w:val="single"/>
    </w:rPr>
  </w:style>
  <w:style w:type="character" w:customStyle="1" w:styleId="279">
    <w:name w:val="段 Char"/>
    <w:link w:val="243"/>
    <w:qFormat/>
    <w:locked/>
    <w:uiPriority w:val="99"/>
    <w:rPr>
      <w:rFonts w:ascii="宋体" w:cs="宋体"/>
      <w:sz w:val="21"/>
      <w:szCs w:val="21"/>
      <w:lang w:val="en-US" w:eastAsia="zh-CN" w:bidi="ar-SA"/>
    </w:rPr>
  </w:style>
  <w:style w:type="character" w:customStyle="1" w:styleId="280">
    <w:name w:val="r-search1"/>
    <w:basedOn w:val="121"/>
    <w:qFormat/>
    <w:uiPriority w:val="0"/>
  </w:style>
  <w:style w:type="character" w:customStyle="1" w:styleId="281">
    <w:name w:val="ewm"/>
    <w:basedOn w:val="121"/>
    <w:qFormat/>
    <w:uiPriority w:val="0"/>
  </w:style>
  <w:style w:type="character" w:customStyle="1" w:styleId="282">
    <w:name w:val="HR正文 Char"/>
    <w:link w:val="142"/>
    <w:qFormat/>
    <w:uiPriority w:val="0"/>
    <w:rPr>
      <w:rFonts w:ascii="Calibri" w:hAnsi="Calibri"/>
      <w:kern w:val="2"/>
      <w:sz w:val="24"/>
      <w:szCs w:val="24"/>
    </w:rPr>
  </w:style>
  <w:style w:type="character" w:customStyle="1" w:styleId="283">
    <w:name w:val="正文首行缩进 Char"/>
    <w:link w:val="74"/>
    <w:semiHidden/>
    <w:qFormat/>
    <w:locked/>
    <w:uiPriority w:val="99"/>
    <w:rPr>
      <w:rFonts w:eastAsia="宋体" w:cs="Times New Roman"/>
      <w:sz w:val="21"/>
      <w:szCs w:val="21"/>
    </w:rPr>
  </w:style>
  <w:style w:type="character" w:customStyle="1" w:styleId="284">
    <w:name w:val="标题 2 Char"/>
    <w:link w:val="3"/>
    <w:qFormat/>
    <w:locked/>
    <w:uiPriority w:val="9"/>
    <w:rPr>
      <w:rFonts w:ascii="Arial" w:hAnsi="Arial" w:eastAsia="黑体" w:cs="Arial"/>
      <w:b/>
      <w:bCs/>
      <w:sz w:val="32"/>
      <w:szCs w:val="32"/>
    </w:rPr>
  </w:style>
  <w:style w:type="character" w:customStyle="1" w:styleId="285">
    <w:name w:val="HTML 预设格式 Char"/>
    <w:link w:val="68"/>
    <w:semiHidden/>
    <w:qFormat/>
    <w:locked/>
    <w:uiPriority w:val="99"/>
    <w:rPr>
      <w:rFonts w:ascii="Courier New" w:hAnsi="Courier New" w:cs="Courier New"/>
      <w:sz w:val="20"/>
      <w:szCs w:val="20"/>
    </w:rPr>
  </w:style>
  <w:style w:type="character" w:customStyle="1" w:styleId="286">
    <w:name w:val="Body Text Char"/>
    <w:qFormat/>
    <w:locked/>
    <w:uiPriority w:val="99"/>
    <w:rPr>
      <w:rFonts w:eastAsia="宋体"/>
      <w:sz w:val="21"/>
    </w:rPr>
  </w:style>
  <w:style w:type="character" w:customStyle="1" w:styleId="287">
    <w:name w:val="List Paragraph Char"/>
    <w:link w:val="235"/>
    <w:qFormat/>
    <w:locked/>
    <w:uiPriority w:val="0"/>
    <w:rPr>
      <w:color w:val="262626"/>
    </w:rPr>
  </w:style>
  <w:style w:type="character" w:customStyle="1" w:styleId="288">
    <w:name w:val="z-crt4"/>
    <w:qFormat/>
    <w:uiPriority w:val="0"/>
    <w:rPr>
      <w:color w:val="FFFFFF"/>
      <w:bdr w:val="single" w:color="5294E5" w:sz="4" w:space="0"/>
      <w:shd w:val="clear" w:color="auto" w:fill="5294E5"/>
    </w:rPr>
  </w:style>
  <w:style w:type="character" w:customStyle="1" w:styleId="289">
    <w:name w:val="Comment Text Char"/>
    <w:qFormat/>
    <w:locked/>
    <w:uiPriority w:val="99"/>
    <w:rPr>
      <w:rFonts w:ascii="Calibri" w:hAnsi="Calibri" w:eastAsia="宋体"/>
      <w:sz w:val="22"/>
      <w:lang w:val="en-US" w:eastAsia="en-US"/>
    </w:rPr>
  </w:style>
  <w:style w:type="character" w:customStyle="1" w:styleId="290">
    <w:name w:val="标题 6 Char"/>
    <w:link w:val="7"/>
    <w:qFormat/>
    <w:locked/>
    <w:uiPriority w:val="99"/>
    <w:rPr>
      <w:rFonts w:ascii="Arial" w:hAnsi="Arial" w:eastAsia="黑体" w:cs="Arial"/>
      <w:b/>
      <w:bCs/>
    </w:rPr>
  </w:style>
  <w:style w:type="character" w:customStyle="1" w:styleId="291">
    <w:name w:val="r-search"/>
    <w:basedOn w:val="121"/>
    <w:qFormat/>
    <w:uiPriority w:val="0"/>
  </w:style>
  <w:style w:type="character" w:customStyle="1" w:styleId="292">
    <w:name w:val="批注文字 Char"/>
    <w:link w:val="25"/>
    <w:qFormat/>
    <w:locked/>
    <w:uiPriority w:val="99"/>
    <w:rPr>
      <w:rFonts w:cs="Times New Roman"/>
      <w:sz w:val="21"/>
      <w:szCs w:val="21"/>
    </w:rPr>
  </w:style>
  <w:style w:type="character" w:customStyle="1" w:styleId="293">
    <w:name w:val="日期 Char"/>
    <w:link w:val="44"/>
    <w:qFormat/>
    <w:locked/>
    <w:uiPriority w:val="0"/>
    <w:rPr>
      <w:rFonts w:cs="Times New Roman"/>
      <w:sz w:val="21"/>
      <w:szCs w:val="21"/>
    </w:rPr>
  </w:style>
  <w:style w:type="character" w:customStyle="1" w:styleId="294">
    <w:name w:val="标题 4 Char"/>
    <w:link w:val="5"/>
    <w:qFormat/>
    <w:locked/>
    <w:uiPriority w:val="99"/>
    <w:rPr>
      <w:rFonts w:ascii="Arial" w:hAnsi="Arial" w:eastAsia="黑体" w:cs="Arial"/>
      <w:b/>
      <w:bCs/>
      <w:sz w:val="28"/>
      <w:szCs w:val="28"/>
    </w:rPr>
  </w:style>
  <w:style w:type="character" w:customStyle="1" w:styleId="295">
    <w:name w:val="批注框文本 Char"/>
    <w:link w:val="47"/>
    <w:qFormat/>
    <w:uiPriority w:val="99"/>
    <w:rPr>
      <w:kern w:val="2"/>
      <w:sz w:val="18"/>
      <w:szCs w:val="18"/>
    </w:rPr>
  </w:style>
  <w:style w:type="character" w:customStyle="1" w:styleId="296">
    <w:name w:val="Document Map Char"/>
    <w:semiHidden/>
    <w:qFormat/>
    <w:locked/>
    <w:uiPriority w:val="99"/>
    <w:rPr>
      <w:rFonts w:eastAsia="宋体"/>
      <w:sz w:val="21"/>
    </w:rPr>
  </w:style>
  <w:style w:type="character" w:customStyle="1" w:styleId="297">
    <w:name w:val="HR正文 Char1"/>
    <w:qFormat/>
    <w:uiPriority w:val="0"/>
    <w:rPr>
      <w:kern w:val="2"/>
      <w:sz w:val="24"/>
      <w:szCs w:val="24"/>
    </w:rPr>
  </w:style>
  <w:style w:type="character" w:customStyle="1" w:styleId="298">
    <w:name w:val="副标题 Char"/>
    <w:link w:val="55"/>
    <w:qFormat/>
    <w:locked/>
    <w:uiPriority w:val="99"/>
    <w:rPr>
      <w:rFonts w:ascii="Cambria" w:hAnsi="Cambria" w:cs="Cambria"/>
      <w:b/>
      <w:bCs/>
      <w:kern w:val="28"/>
      <w:sz w:val="32"/>
      <w:szCs w:val="32"/>
    </w:rPr>
  </w:style>
  <w:style w:type="character" w:customStyle="1" w:styleId="299">
    <w:name w:val="hover44"/>
    <w:qFormat/>
    <w:uiPriority w:val="99"/>
    <w:rPr>
      <w:rFonts w:ascii="微软雅黑" w:hAnsi="微软雅黑" w:eastAsia="微软雅黑" w:cs="微软雅黑"/>
      <w:b/>
      <w:bCs/>
      <w:color w:val="auto"/>
      <w:sz w:val="22"/>
      <w:szCs w:val="22"/>
      <w:u w:val="single"/>
    </w:rPr>
  </w:style>
  <w:style w:type="character" w:customStyle="1" w:styleId="300">
    <w:name w:val="正文文本缩进 2 Char"/>
    <w:link w:val="45"/>
    <w:qFormat/>
    <w:locked/>
    <w:uiPriority w:val="0"/>
    <w:rPr>
      <w:rFonts w:cs="Times New Roman"/>
      <w:sz w:val="21"/>
      <w:szCs w:val="21"/>
    </w:rPr>
  </w:style>
  <w:style w:type="character" w:customStyle="1" w:styleId="301">
    <w:name w:val="Header Char"/>
    <w:semiHidden/>
    <w:qFormat/>
    <w:locked/>
    <w:uiPriority w:val="99"/>
    <w:rPr>
      <w:rFonts w:eastAsia="宋体"/>
      <w:sz w:val="18"/>
    </w:rPr>
  </w:style>
  <w:style w:type="character" w:customStyle="1" w:styleId="302">
    <w:name w:val="正文文本 2 Char"/>
    <w:link w:val="64"/>
    <w:semiHidden/>
    <w:qFormat/>
    <w:locked/>
    <w:uiPriority w:val="99"/>
    <w:rPr>
      <w:rFonts w:cs="Times New Roman"/>
      <w:sz w:val="21"/>
      <w:szCs w:val="21"/>
    </w:rPr>
  </w:style>
  <w:style w:type="character" w:customStyle="1" w:styleId="303">
    <w:name w:val="电子邮件签名 Char"/>
    <w:link w:val="17"/>
    <w:semiHidden/>
    <w:qFormat/>
    <w:locked/>
    <w:uiPriority w:val="99"/>
    <w:rPr>
      <w:rFonts w:cs="Times New Roman"/>
      <w:sz w:val="21"/>
      <w:szCs w:val="21"/>
    </w:rPr>
  </w:style>
  <w:style w:type="character" w:customStyle="1" w:styleId="304">
    <w:name w:val="标题 Char"/>
    <w:link w:val="72"/>
    <w:qFormat/>
    <w:locked/>
    <w:uiPriority w:val="0"/>
    <w:rPr>
      <w:rFonts w:ascii="Cambria" w:hAnsi="Cambria" w:cs="Cambria"/>
      <w:b/>
      <w:bCs/>
      <w:sz w:val="32"/>
      <w:szCs w:val="32"/>
    </w:rPr>
  </w:style>
  <w:style w:type="character" w:customStyle="1" w:styleId="305">
    <w:name w:val="HR标题3 Char"/>
    <w:link w:val="192"/>
    <w:qFormat/>
    <w:uiPriority w:val="0"/>
    <w:rPr>
      <w:rFonts w:ascii="Calibri" w:hAnsi="Calibri"/>
      <w:kern w:val="2"/>
      <w:sz w:val="24"/>
      <w:szCs w:val="24"/>
    </w:rPr>
  </w:style>
  <w:style w:type="character" w:customStyle="1" w:styleId="306">
    <w:name w:val="纯文本 Char"/>
    <w:link w:val="40"/>
    <w:qFormat/>
    <w:locked/>
    <w:uiPriority w:val="0"/>
    <w:rPr>
      <w:rFonts w:ascii="宋体" w:hAnsi="Courier New" w:cs="宋体"/>
      <w:sz w:val="21"/>
      <w:szCs w:val="21"/>
    </w:rPr>
  </w:style>
  <w:style w:type="character" w:customStyle="1" w:styleId="307">
    <w:name w:val="hover39"/>
    <w:qFormat/>
    <w:uiPriority w:val="99"/>
    <w:rPr>
      <w:rFonts w:cs="Times New Roman"/>
      <w:color w:val="FFFFFF"/>
      <w:shd w:val="clear" w:color="auto" w:fill="auto"/>
    </w:rPr>
  </w:style>
  <w:style w:type="character" w:customStyle="1" w:styleId="308">
    <w:name w:val="hover40"/>
    <w:qFormat/>
    <w:uiPriority w:val="99"/>
    <w:rPr>
      <w:rFonts w:cs="Times New Roman"/>
      <w:color w:val="auto"/>
      <w:u w:val="single"/>
    </w:rPr>
  </w:style>
  <w:style w:type="character" w:customStyle="1" w:styleId="309">
    <w:name w:val="页眉 Char"/>
    <w:link w:val="50"/>
    <w:qFormat/>
    <w:locked/>
    <w:uiPriority w:val="0"/>
    <w:rPr>
      <w:rFonts w:cs="Times New Roman"/>
      <w:sz w:val="18"/>
      <w:szCs w:val="18"/>
    </w:rPr>
  </w:style>
  <w:style w:type="character" w:customStyle="1" w:styleId="310">
    <w:name w:val="正文文本 3 Char"/>
    <w:link w:val="27"/>
    <w:semiHidden/>
    <w:qFormat/>
    <w:locked/>
    <w:uiPriority w:val="99"/>
    <w:rPr>
      <w:rFonts w:cs="Times New Roman"/>
      <w:sz w:val="16"/>
      <w:szCs w:val="16"/>
    </w:rPr>
  </w:style>
  <w:style w:type="character" w:customStyle="1" w:styleId="311">
    <w:name w:val="z-crt3"/>
    <w:qFormat/>
    <w:uiPriority w:val="0"/>
    <w:rPr>
      <w:color w:val="FFFFFF"/>
      <w:bdr w:val="single" w:color="5295E6" w:sz="4" w:space="0"/>
      <w:shd w:val="clear" w:color="auto" w:fill="5295E6"/>
    </w:rPr>
  </w:style>
  <w:style w:type="character" w:customStyle="1" w:styleId="312">
    <w:name w:val="标题 9 Char"/>
    <w:link w:val="10"/>
    <w:semiHidden/>
    <w:qFormat/>
    <w:locked/>
    <w:uiPriority w:val="99"/>
    <w:rPr>
      <w:rFonts w:ascii="Cambria" w:hAnsi="Cambria" w:eastAsia="宋体" w:cs="Cambria"/>
      <w:sz w:val="21"/>
      <w:szCs w:val="21"/>
    </w:rPr>
  </w:style>
  <w:style w:type="character" w:customStyle="1" w:styleId="313">
    <w:name w:val="正文文本缩进 Char"/>
    <w:link w:val="31"/>
    <w:qFormat/>
    <w:locked/>
    <w:uiPriority w:val="0"/>
    <w:rPr>
      <w:rFonts w:cs="Times New Roman"/>
      <w:sz w:val="21"/>
      <w:szCs w:val="21"/>
    </w:rPr>
  </w:style>
  <w:style w:type="character" w:customStyle="1" w:styleId="314">
    <w:name w:val="HTML Markup"/>
    <w:qFormat/>
    <w:uiPriority w:val="0"/>
    <w:rPr>
      <w:vanish/>
      <w:color w:val="FF0000"/>
    </w:rPr>
  </w:style>
  <w:style w:type="character" w:customStyle="1" w:styleId="315">
    <w:name w:val="文档结构图 Char"/>
    <w:link w:val="23"/>
    <w:qFormat/>
    <w:locked/>
    <w:uiPriority w:val="0"/>
    <w:rPr>
      <w:rFonts w:cs="Times New Roman"/>
      <w:sz w:val="2"/>
      <w:szCs w:val="2"/>
    </w:rPr>
  </w:style>
  <w:style w:type="character" w:customStyle="1" w:styleId="316">
    <w:name w:val="纯文本 字符"/>
    <w:qFormat/>
    <w:uiPriority w:val="0"/>
    <w:rPr>
      <w:rFonts w:ascii="宋体" w:hAnsi="Courier New"/>
      <w:kern w:val="2"/>
      <w:sz w:val="21"/>
      <w:szCs w:val="21"/>
    </w:rPr>
  </w:style>
  <w:style w:type="character" w:customStyle="1" w:styleId="317">
    <w:name w:val="HTML 地址 Char"/>
    <w:link w:val="37"/>
    <w:semiHidden/>
    <w:qFormat/>
    <w:locked/>
    <w:uiPriority w:val="99"/>
    <w:rPr>
      <w:rFonts w:cs="Times New Roman"/>
      <w:i/>
      <w:iCs/>
      <w:sz w:val="21"/>
      <w:szCs w:val="21"/>
    </w:rPr>
  </w:style>
  <w:style w:type="character" w:customStyle="1" w:styleId="318">
    <w:name w:val="apple-converted-space"/>
    <w:qFormat/>
    <w:uiPriority w:val="99"/>
  </w:style>
  <w:style w:type="character" w:customStyle="1" w:styleId="319">
    <w:name w:val="Body Text First Indent Char"/>
    <w:qFormat/>
    <w:locked/>
    <w:uiPriority w:val="99"/>
    <w:rPr>
      <w:rFonts w:ascii="宋体" w:hAnsi="宋体" w:eastAsia="宋体"/>
      <w:spacing w:val="20"/>
      <w:sz w:val="24"/>
    </w:rPr>
  </w:style>
  <w:style w:type="character" w:customStyle="1" w:styleId="320">
    <w:name w:val="Char Char3"/>
    <w:qFormat/>
    <w:uiPriority w:val="99"/>
    <w:rPr>
      <w:rFonts w:ascii="Calibri" w:hAnsi="Calibri" w:eastAsia="宋体" w:cs="Calibri"/>
      <w:sz w:val="22"/>
      <w:szCs w:val="22"/>
      <w:lang w:eastAsia="en-US"/>
    </w:rPr>
  </w:style>
  <w:style w:type="character" w:customStyle="1" w:styleId="321">
    <w:name w:val="页眉 Char1"/>
    <w:semiHidden/>
    <w:qFormat/>
    <w:locked/>
    <w:uiPriority w:val="0"/>
    <w:rPr>
      <w:rFonts w:ascii="Calibri" w:hAnsi="Calibri"/>
      <w:sz w:val="18"/>
      <w:szCs w:val="18"/>
    </w:rPr>
  </w:style>
  <w:style w:type="character" w:customStyle="1" w:styleId="322">
    <w:name w:val="信息标题 Char"/>
    <w:link w:val="67"/>
    <w:semiHidden/>
    <w:qFormat/>
    <w:locked/>
    <w:uiPriority w:val="99"/>
    <w:rPr>
      <w:rFonts w:ascii="Cambria" w:hAnsi="Cambria" w:eastAsia="宋体" w:cs="Cambria"/>
      <w:sz w:val="24"/>
      <w:szCs w:val="24"/>
      <w:shd w:val="pct20" w:color="auto" w:fill="auto"/>
    </w:rPr>
  </w:style>
  <w:style w:type="character" w:customStyle="1" w:styleId="323">
    <w:name w:val="first-child"/>
    <w:basedOn w:val="121"/>
    <w:qFormat/>
    <w:uiPriority w:val="0"/>
  </w:style>
  <w:style w:type="character" w:customStyle="1" w:styleId="324">
    <w:name w:val="签名 Char"/>
    <w:link w:val="51"/>
    <w:semiHidden/>
    <w:qFormat/>
    <w:locked/>
    <w:uiPriority w:val="99"/>
    <w:rPr>
      <w:rFonts w:cs="Times New Roman"/>
      <w:sz w:val="21"/>
      <w:szCs w:val="21"/>
    </w:rPr>
  </w:style>
  <w:style w:type="character" w:customStyle="1" w:styleId="325">
    <w:name w:val="页脚 Char"/>
    <w:link w:val="48"/>
    <w:qFormat/>
    <w:locked/>
    <w:uiPriority w:val="99"/>
    <w:rPr>
      <w:rFonts w:cs="Times New Roman"/>
      <w:sz w:val="18"/>
      <w:szCs w:val="18"/>
    </w:rPr>
  </w:style>
  <w:style w:type="character" w:customStyle="1" w:styleId="326">
    <w:name w:val="标题 8 Char"/>
    <w:link w:val="9"/>
    <w:semiHidden/>
    <w:qFormat/>
    <w:locked/>
    <w:uiPriority w:val="99"/>
    <w:rPr>
      <w:rFonts w:ascii="Cambria" w:hAnsi="Cambria" w:eastAsia="宋体" w:cs="Cambria"/>
      <w:sz w:val="24"/>
      <w:szCs w:val="24"/>
    </w:rPr>
  </w:style>
  <w:style w:type="character" w:customStyle="1" w:styleId="327">
    <w:name w:val="正文文本缩进 2 Char1"/>
    <w:semiHidden/>
    <w:qFormat/>
    <w:locked/>
    <w:uiPriority w:val="99"/>
    <w:rPr>
      <w:sz w:val="21"/>
      <w:szCs w:val="21"/>
    </w:rPr>
  </w:style>
  <w:style w:type="character" w:customStyle="1" w:styleId="328">
    <w:name w:val="标题 1 Char1"/>
    <w:link w:val="2"/>
    <w:qFormat/>
    <w:locked/>
    <w:uiPriority w:val="99"/>
    <w:rPr>
      <w:b/>
      <w:iCs/>
      <w:kern w:val="2"/>
      <w:sz w:val="36"/>
    </w:rPr>
  </w:style>
  <w:style w:type="character" w:customStyle="1" w:styleId="329">
    <w:name w:val="结束语 Char"/>
    <w:link w:val="28"/>
    <w:semiHidden/>
    <w:qFormat/>
    <w:locked/>
    <w:uiPriority w:val="99"/>
    <w:rPr>
      <w:rFonts w:cs="Times New Roman"/>
      <w:sz w:val="21"/>
      <w:szCs w:val="21"/>
    </w:rPr>
  </w:style>
  <w:style w:type="character" w:customStyle="1" w:styleId="330">
    <w:name w:val="注释标题 Char"/>
    <w:link w:val="15"/>
    <w:semiHidden/>
    <w:qFormat/>
    <w:locked/>
    <w:uiPriority w:val="99"/>
    <w:rPr>
      <w:rFonts w:cs="Times New Roman"/>
      <w:sz w:val="21"/>
      <w:szCs w:val="21"/>
    </w:rPr>
  </w:style>
  <w:style w:type="character" w:customStyle="1" w:styleId="331">
    <w:name w:val="hover34"/>
    <w:qFormat/>
    <w:uiPriority w:val="0"/>
    <w:rPr>
      <w:color w:val="FFFFFF"/>
      <w:bdr w:val="single" w:color="5294E5" w:sz="4" w:space="0"/>
      <w:shd w:val="clear" w:color="auto" w:fill="5294E5"/>
    </w:rPr>
  </w:style>
  <w:style w:type="table" w:customStyle="1" w:styleId="332">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333">
    <w:name w:val="浅色网格1"/>
    <w:basedOn w:val="76"/>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eastAsia="Courier New" w:cs="Times New Roman"/>
        <w:b/>
        <w:bCs/>
      </w:rPr>
      <w:tcPr>
        <w:tcBorders>
          <w:top w:val="single" w:color="000000" w:sz="8" w:space="0"/>
          <w:left w:val="single" w:color="000000" w:sz="18" w:space="0"/>
          <w:bottom w:val="single" w:color="000000" w:sz="8" w:space="0"/>
          <w:right w:val="single" w:color="000000" w:sz="8" w:space="0"/>
          <w:insideH w:val="nil"/>
          <w:insideV w:val="single" w:sz="8" w:space="0"/>
          <w:tl2br w:val="nil"/>
          <w:tr2bl w:val="nil"/>
        </w:tcBorders>
      </w:tcPr>
    </w:tblStylePr>
    <w:tblStylePr w:type="lastRow">
      <w:pPr>
        <w:spacing w:before="0" w:after="0" w:line="240" w:lineRule="auto"/>
      </w:pPr>
      <w:rPr>
        <w:rFonts w:eastAsia="Courier New"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Courier New" w:cs="Times New Roman"/>
        <w:b/>
        <w:bCs/>
      </w:rPr>
    </w:tblStylePr>
    <w:tblStylePr w:type="lastCol">
      <w:rPr>
        <w:rFonts w:eastAsia="Courier New"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character" w:customStyle="1" w:styleId="334">
    <w:name w:val="font11"/>
    <w:basedOn w:val="121"/>
    <w:qFormat/>
    <w:uiPriority w:val="0"/>
    <w:rPr>
      <w:rFonts w:hint="default" w:ascii="Arial" w:hAnsi="Arial" w:cs="Arial"/>
      <w:color w:val="000000"/>
      <w:sz w:val="24"/>
      <w:szCs w:val="24"/>
      <w:u w:val="none"/>
    </w:rPr>
  </w:style>
  <w:style w:type="character" w:customStyle="1" w:styleId="335">
    <w:name w:val="font21"/>
    <w:basedOn w:val="121"/>
    <w:qFormat/>
    <w:uiPriority w:val="0"/>
    <w:rPr>
      <w:rFonts w:hint="eastAsia" w:ascii="仿宋" w:hAnsi="仿宋" w:eastAsia="仿宋" w:cs="仿宋"/>
      <w:color w:val="000000"/>
      <w:sz w:val="24"/>
      <w:szCs w:val="24"/>
      <w:u w:val="none"/>
    </w:rPr>
  </w:style>
  <w:style w:type="paragraph" w:styleId="33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Form1"/>
    <w:basedOn w:val="1"/>
    <w:qFormat/>
    <w:uiPriority w:val="0"/>
    <w:pPr>
      <w:widowControl/>
      <w:spacing w:before="40" w:after="40"/>
      <w:jc w:val="left"/>
    </w:pPr>
    <w:rPr>
      <w:rFonts w:ascii="Arial" w:hAnsi="Arial"/>
      <w:kern w:val="0"/>
      <w:sz w:val="14"/>
      <w:szCs w:val="20"/>
      <w:lang w:val="sv-SE"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35"/>
    <customShpInfo spid="_x0000_s1039"/>
    <customShpInfo spid="_x0000_s1038"/>
    <customShpInfo spid="_x0000_s1037"/>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26491</Words>
  <Characters>27812</Characters>
  <Lines>273</Lines>
  <Paragraphs>77</Paragraphs>
  <TotalTime>1</TotalTime>
  <ScaleCrop>false</ScaleCrop>
  <LinksUpToDate>false</LinksUpToDate>
  <CharactersWithSpaces>29020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2019-12-10T02:36:00Z</dcterms:created>
  <dc:creator>USER</dc:creator>
  <cp:lastModifiedBy>lenovo</cp:lastModifiedBy>
  <cp:lastPrinted>2020-10-17T02:27:00Z</cp:lastPrinted>
  <dcterms:modified xsi:type="dcterms:W3CDTF">2022-09-30T07:24:55Z</dcterms:modified>
  <dc:title>招标文件目录</dc:title>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2701B71EC77149DAA1C5DD5294960938</vt:lpwstr>
  </property>
</Properties>
</file>