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80" w:lineRule="exact"/>
        <w:jc w:val="center"/>
        <w:rPr>
          <w:rFonts w:hint="eastAsia" w:hAnsi="宋体"/>
          <w:b/>
          <w:bCs/>
          <w:spacing w:val="-8"/>
          <w:sz w:val="48"/>
          <w:szCs w:val="44"/>
          <w:highlight w:val="none"/>
        </w:rPr>
      </w:pPr>
    </w:p>
    <w:p>
      <w:pPr>
        <w:spacing w:line="680" w:lineRule="exact"/>
        <w:jc w:val="center"/>
        <w:rPr>
          <w:rFonts w:hAnsi="宋体"/>
          <w:b/>
          <w:bCs/>
          <w:spacing w:val="-8"/>
          <w:sz w:val="48"/>
          <w:szCs w:val="44"/>
          <w:highlight w:val="none"/>
        </w:rPr>
      </w:pPr>
      <w:r>
        <w:rPr>
          <w:rFonts w:hint="eastAsia" w:hAnsi="宋体"/>
          <w:b/>
          <w:bCs/>
          <w:spacing w:val="-8"/>
          <w:sz w:val="48"/>
          <w:szCs w:val="44"/>
          <w:highlight w:val="none"/>
        </w:rPr>
        <w:t>中国重汽集团济南动力有限公司</w:t>
      </w:r>
    </w:p>
    <w:p>
      <w:pPr>
        <w:spacing w:line="680" w:lineRule="exact"/>
        <w:jc w:val="center"/>
        <w:rPr>
          <w:rFonts w:hAnsi="宋体"/>
          <w:b/>
          <w:bCs/>
          <w:spacing w:val="-8"/>
          <w:sz w:val="48"/>
          <w:szCs w:val="44"/>
          <w:highlight w:val="none"/>
        </w:rPr>
      </w:pPr>
      <w:r>
        <w:rPr>
          <w:rFonts w:hint="eastAsia" w:hAnsi="宋体"/>
          <w:b/>
          <w:bCs/>
          <w:spacing w:val="-8"/>
          <w:sz w:val="48"/>
          <w:szCs w:val="44"/>
          <w:highlight w:val="none"/>
        </w:rPr>
        <w:t>整车性能及可靠性试验场地</w:t>
      </w:r>
    </w:p>
    <w:p>
      <w:pPr>
        <w:spacing w:line="680" w:lineRule="exact"/>
        <w:jc w:val="center"/>
        <w:rPr>
          <w:rFonts w:hAnsi="宋体"/>
          <w:b/>
          <w:bCs/>
          <w:spacing w:val="-8"/>
          <w:sz w:val="48"/>
          <w:szCs w:val="44"/>
          <w:highlight w:val="none"/>
        </w:rPr>
      </w:pPr>
      <w:r>
        <w:rPr>
          <w:rFonts w:hint="eastAsia" w:hAnsi="宋体"/>
          <w:b/>
          <w:bCs/>
          <w:spacing w:val="-8"/>
          <w:sz w:val="48"/>
          <w:szCs w:val="44"/>
          <w:highlight w:val="none"/>
          <w:lang w:val="en-US" w:eastAsia="zh-CN"/>
        </w:rPr>
        <w:t>技术服务</w:t>
      </w:r>
      <w:r>
        <w:rPr>
          <w:rFonts w:hint="eastAsia" w:hAnsi="宋体"/>
          <w:b/>
          <w:bCs/>
          <w:spacing w:val="-8"/>
          <w:sz w:val="48"/>
          <w:szCs w:val="44"/>
          <w:highlight w:val="none"/>
        </w:rPr>
        <w:t>项目</w:t>
      </w:r>
    </w:p>
    <w:p>
      <w:pPr>
        <w:adjustRightInd w:val="0"/>
        <w:snapToGrid w:val="0"/>
        <w:spacing w:line="360" w:lineRule="auto"/>
        <w:jc w:val="right"/>
        <w:rPr>
          <w:rFonts w:ascii="等线" w:hAnsi="等线" w:eastAsia="等线"/>
          <w:sz w:val="24"/>
          <w:szCs w:val="24"/>
          <w:highlight w:val="none"/>
        </w:rPr>
      </w:pPr>
      <w:r>
        <w:rPr>
          <w:rFonts w:hint="eastAsia" w:ascii="等线" w:hAnsi="等线" w:eastAsia="等线"/>
          <w:bCs/>
          <w:sz w:val="24"/>
          <w:szCs w:val="24"/>
          <w:highlight w:val="none"/>
        </w:rPr>
        <w:t>附：技术服务</w:t>
      </w:r>
      <w:r>
        <w:rPr>
          <w:rFonts w:ascii="等线" w:hAnsi="等线" w:eastAsia="等线"/>
          <w:bCs/>
          <w:sz w:val="24"/>
          <w:szCs w:val="24"/>
          <w:highlight w:val="none"/>
        </w:rPr>
        <w:t>合同</w:t>
      </w:r>
    </w:p>
    <w:p>
      <w:pPr>
        <w:jc w:val="right"/>
        <w:rPr>
          <w:b/>
          <w:bCs/>
          <w:color w:val="000000"/>
          <w:spacing w:val="-8"/>
          <w:sz w:val="48"/>
          <w:szCs w:val="44"/>
          <w:highlight w:val="none"/>
        </w:rPr>
      </w:pPr>
    </w:p>
    <w:p>
      <w:pPr>
        <w:pStyle w:val="54"/>
        <w:ind w:firstLine="0" w:firstLineChars="0"/>
        <w:jc w:val="center"/>
        <w:rPr>
          <w:highlight w:val="none"/>
        </w:rPr>
      </w:pPr>
    </w:p>
    <w:p>
      <w:pPr>
        <w:jc w:val="right"/>
        <w:rPr>
          <w:color w:val="000000"/>
          <w:sz w:val="28"/>
          <w:szCs w:val="28"/>
          <w:highlight w:val="none"/>
        </w:rPr>
      </w:pPr>
    </w:p>
    <w:p>
      <w:pPr>
        <w:jc w:val="right"/>
        <w:rPr>
          <w:color w:val="000000"/>
          <w:sz w:val="28"/>
          <w:szCs w:val="28"/>
          <w:highlight w:val="none"/>
        </w:rPr>
      </w:pPr>
    </w:p>
    <w:p>
      <w:pPr>
        <w:jc w:val="center"/>
        <w:rPr>
          <w:rFonts w:ascii="黑体" w:hAnsi="宋体" w:eastAsia="黑体"/>
          <w:sz w:val="84"/>
          <w:szCs w:val="84"/>
          <w:highlight w:val="none"/>
        </w:rPr>
      </w:pPr>
      <w:r>
        <w:rPr>
          <w:rFonts w:hint="eastAsia" w:ascii="黑体" w:hAnsi="宋体" w:eastAsia="黑体"/>
          <w:sz w:val="84"/>
          <w:szCs w:val="84"/>
          <w:highlight w:val="none"/>
        </w:rPr>
        <w:t>招</w:t>
      </w:r>
    </w:p>
    <w:p>
      <w:pPr>
        <w:jc w:val="center"/>
        <w:rPr>
          <w:rFonts w:ascii="黑体" w:hAnsi="宋体" w:eastAsia="黑体"/>
          <w:sz w:val="84"/>
          <w:szCs w:val="84"/>
          <w:highlight w:val="none"/>
        </w:rPr>
      </w:pPr>
    </w:p>
    <w:p>
      <w:pPr>
        <w:jc w:val="center"/>
        <w:rPr>
          <w:rFonts w:ascii="黑体" w:hAnsi="宋体" w:eastAsia="黑体"/>
          <w:sz w:val="84"/>
          <w:szCs w:val="84"/>
          <w:highlight w:val="none"/>
        </w:rPr>
      </w:pPr>
      <w:r>
        <w:rPr>
          <w:rFonts w:hint="eastAsia" w:ascii="黑体" w:hAnsi="宋体" w:eastAsia="黑体"/>
          <w:sz w:val="84"/>
          <w:szCs w:val="84"/>
          <w:highlight w:val="none"/>
        </w:rPr>
        <w:t>标</w:t>
      </w:r>
    </w:p>
    <w:p>
      <w:pPr>
        <w:jc w:val="center"/>
        <w:rPr>
          <w:rFonts w:ascii="黑体" w:hAnsi="宋体" w:eastAsia="黑体"/>
          <w:sz w:val="84"/>
          <w:szCs w:val="84"/>
          <w:highlight w:val="none"/>
        </w:rPr>
      </w:pPr>
    </w:p>
    <w:p>
      <w:pPr>
        <w:jc w:val="center"/>
        <w:rPr>
          <w:rFonts w:ascii="宋体" w:hAnsi="宋体"/>
          <w:sz w:val="72"/>
          <w:szCs w:val="72"/>
          <w:highlight w:val="none"/>
        </w:rPr>
      </w:pPr>
      <w:r>
        <w:rPr>
          <w:rFonts w:hint="eastAsia" w:ascii="黑体" w:hAnsi="宋体" w:eastAsia="黑体"/>
          <w:sz w:val="84"/>
          <w:szCs w:val="84"/>
          <w:highlight w:val="none"/>
        </w:rPr>
        <w:t>书</w:t>
      </w:r>
    </w:p>
    <w:p>
      <w:pPr>
        <w:jc w:val="center"/>
        <w:rPr>
          <w:rFonts w:ascii="宋体" w:hAnsi="宋体"/>
          <w:sz w:val="28"/>
          <w:szCs w:val="28"/>
          <w:highlight w:val="none"/>
        </w:rPr>
      </w:pPr>
    </w:p>
    <w:p>
      <w:pPr>
        <w:pStyle w:val="2"/>
        <w:rPr>
          <w:highlight w:val="none"/>
        </w:rPr>
      </w:pPr>
    </w:p>
    <w:p>
      <w:pPr>
        <w:jc w:val="center"/>
        <w:rPr>
          <w:rFonts w:ascii="仿宋" w:hAnsi="仿宋" w:eastAsia="仿宋"/>
          <w:sz w:val="28"/>
          <w:szCs w:val="28"/>
          <w:highlight w:val="none"/>
        </w:rPr>
      </w:pPr>
      <w:r>
        <w:rPr>
          <w:rFonts w:hint="eastAsia" w:ascii="仿宋" w:hAnsi="仿宋" w:eastAsia="仿宋"/>
          <w:sz w:val="28"/>
          <w:szCs w:val="28"/>
          <w:highlight w:val="none"/>
        </w:rPr>
        <w:t>招 标 人：中国重汽集团济南动力有限公司</w:t>
      </w:r>
    </w:p>
    <w:p>
      <w:pPr>
        <w:jc w:val="center"/>
        <w:rPr>
          <w:rFonts w:ascii="仿宋" w:hAnsi="仿宋" w:eastAsia="仿宋"/>
          <w:sz w:val="28"/>
          <w:szCs w:val="28"/>
          <w:highlight w:val="none"/>
        </w:rPr>
      </w:pPr>
      <w:r>
        <w:rPr>
          <w:rFonts w:ascii="仿宋" w:hAnsi="仿宋" w:eastAsia="仿宋"/>
          <w:sz w:val="28"/>
          <w:szCs w:val="28"/>
          <w:highlight w:val="none"/>
        </w:rPr>
        <w:t>202</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10</w:t>
      </w:r>
      <w:r>
        <w:rPr>
          <w:rFonts w:ascii="仿宋" w:hAnsi="仿宋" w:eastAsia="仿宋"/>
          <w:sz w:val="28"/>
          <w:szCs w:val="28"/>
          <w:highlight w:val="none"/>
        </w:rPr>
        <w:t>月</w:t>
      </w:r>
    </w:p>
    <w:p>
      <w:pPr>
        <w:pStyle w:val="2"/>
        <w:rPr>
          <w:rFonts w:ascii="仿宋" w:hAnsi="仿宋" w:eastAsia="仿宋"/>
          <w:sz w:val="28"/>
          <w:szCs w:val="28"/>
          <w:highlight w:val="none"/>
        </w:rPr>
      </w:pPr>
    </w:p>
    <w:p>
      <w:pPr>
        <w:pStyle w:val="2"/>
        <w:rPr>
          <w:rFonts w:ascii="仿宋" w:hAnsi="仿宋" w:eastAsia="仿宋"/>
          <w:sz w:val="28"/>
          <w:szCs w:val="28"/>
          <w:highlight w:val="none"/>
        </w:rPr>
      </w:pPr>
    </w:p>
    <w:p>
      <w:pPr>
        <w:pStyle w:val="71"/>
        <w:rPr>
          <w:rFonts w:ascii="黑体"/>
          <w:color w:val="auto"/>
          <w:highlight w:val="none"/>
        </w:rPr>
      </w:pPr>
      <w:bookmarkStart w:id="0" w:name="_Toc24526"/>
      <w:r>
        <w:rPr>
          <w:rFonts w:hint="eastAsia"/>
          <w:color w:val="auto"/>
          <w:highlight w:val="none"/>
          <w:lang w:val="en-US" w:eastAsia="zh-CN"/>
        </w:rPr>
        <w:t xml:space="preserve">第一章  </w:t>
      </w:r>
      <w:r>
        <w:rPr>
          <w:rFonts w:hint="eastAsia"/>
          <w:color w:val="auto"/>
          <w:highlight w:val="none"/>
        </w:rPr>
        <w:t>招标公告</w:t>
      </w:r>
      <w:bookmarkEnd w:id="0"/>
    </w:p>
    <w:p>
      <w:pPr>
        <w:pStyle w:val="80"/>
        <w:rPr>
          <w:highlight w:val="none"/>
        </w:rPr>
      </w:pPr>
      <w:bookmarkStart w:id="1" w:name="_Toc14107"/>
      <w:r>
        <w:rPr>
          <w:rFonts w:hint="eastAsia"/>
          <w:highlight w:val="none"/>
        </w:rPr>
        <w:t>一、项目名称</w:t>
      </w:r>
      <w:bookmarkEnd w:id="1"/>
    </w:p>
    <w:p>
      <w:pPr>
        <w:pStyle w:val="12"/>
        <w:bidi w:val="0"/>
        <w:rPr>
          <w:rFonts w:hint="eastAsia" w:ascii="仿宋" w:hAnsi="仿宋" w:eastAsia="仿宋" w:cs="仿宋"/>
          <w:highlight w:val="none"/>
          <w:lang w:eastAsia="zh-CN"/>
        </w:rPr>
      </w:pPr>
      <w:bookmarkStart w:id="2" w:name="OLE_LINK1"/>
      <w:r>
        <w:rPr>
          <w:rFonts w:hint="eastAsia" w:ascii="仿宋" w:hAnsi="仿宋" w:eastAsia="仿宋" w:cs="仿宋"/>
          <w:highlight w:val="none"/>
        </w:rPr>
        <w:t>项目名称：中国重汽集团济南动力有限公司</w:t>
      </w:r>
      <w:r>
        <w:rPr>
          <w:rFonts w:hint="eastAsia" w:ascii="仿宋" w:hAnsi="仿宋" w:eastAsia="仿宋" w:cs="仿宋"/>
          <w:b/>
          <w:bCs/>
          <w:highlight w:val="none"/>
        </w:rPr>
        <w:t>整车性能及可靠性试验场地</w:t>
      </w:r>
      <w:r>
        <w:rPr>
          <w:rFonts w:hint="eastAsia" w:ascii="仿宋" w:hAnsi="仿宋" w:eastAsia="仿宋" w:cs="仿宋"/>
          <w:b/>
          <w:bCs/>
          <w:highlight w:val="none"/>
          <w:lang w:val="en-US" w:eastAsia="zh-CN"/>
        </w:rPr>
        <w:t>技术服务</w:t>
      </w:r>
      <w:r>
        <w:rPr>
          <w:rFonts w:hint="eastAsia" w:ascii="仿宋" w:hAnsi="仿宋" w:eastAsia="仿宋" w:cs="仿宋"/>
          <w:b/>
          <w:bCs/>
          <w:highlight w:val="none"/>
        </w:rPr>
        <w:t>项目</w:t>
      </w:r>
      <w:r>
        <w:rPr>
          <w:rFonts w:hint="eastAsia" w:ascii="仿宋" w:hAnsi="仿宋" w:eastAsia="仿宋" w:cs="仿宋"/>
          <w:highlight w:val="none"/>
          <w:lang w:eastAsia="zh-CN"/>
        </w:rPr>
        <w:t>。</w:t>
      </w:r>
    </w:p>
    <w:p>
      <w:pPr>
        <w:pStyle w:val="12"/>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本项目包含3个子项目：</w:t>
      </w:r>
    </w:p>
    <w:p>
      <w:pPr>
        <w:pStyle w:val="12"/>
        <w:numPr>
          <w:ilvl w:val="0"/>
          <w:numId w:val="1"/>
        </w:numPr>
        <w:bidi w:val="0"/>
        <w:ind w:left="17" w:leftChars="0" w:firstLine="1463"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t>子项目1：</w:t>
      </w:r>
      <w:r>
        <w:rPr>
          <w:rFonts w:hint="eastAsia" w:ascii="仿宋" w:hAnsi="仿宋" w:eastAsia="仿宋" w:cs="仿宋"/>
          <w:b/>
          <w:bCs/>
          <w:highlight w:val="none"/>
          <w:lang w:val="en-US" w:eastAsia="zh-CN"/>
        </w:rPr>
        <w:t>整车性能试验场地</w:t>
      </w:r>
      <w:r>
        <w:rPr>
          <w:rFonts w:hint="eastAsia" w:ascii="仿宋" w:hAnsi="仿宋" w:eastAsia="仿宋" w:cs="仿宋"/>
          <w:highlight w:val="none"/>
          <w:lang w:val="en-US" w:eastAsia="zh-CN"/>
        </w:rPr>
        <w:t>技术服务项目；</w:t>
      </w:r>
    </w:p>
    <w:p>
      <w:pPr>
        <w:pStyle w:val="12"/>
        <w:numPr>
          <w:ilvl w:val="0"/>
          <w:numId w:val="1"/>
        </w:numPr>
        <w:bidi w:val="0"/>
        <w:ind w:left="17" w:leftChars="0" w:firstLine="1463" w:firstLineChars="0"/>
        <w:rPr>
          <w:rFonts w:hint="eastAsia"/>
          <w:highlight w:val="none"/>
          <w:lang w:eastAsia="zh-CN"/>
        </w:rPr>
      </w:pPr>
      <w:r>
        <w:rPr>
          <w:rFonts w:hint="eastAsia" w:ascii="仿宋" w:hAnsi="仿宋" w:eastAsia="仿宋" w:cs="仿宋"/>
          <w:highlight w:val="none"/>
          <w:lang w:val="en-US" w:eastAsia="zh-CN"/>
        </w:rPr>
        <w:t>子项目2：</w:t>
      </w:r>
      <w:r>
        <w:rPr>
          <w:rFonts w:hint="eastAsia" w:ascii="仿宋" w:hAnsi="仿宋" w:eastAsia="仿宋" w:cs="仿宋"/>
          <w:b/>
          <w:bCs/>
          <w:highlight w:val="none"/>
          <w:lang w:val="en-US" w:eastAsia="zh-CN"/>
        </w:rPr>
        <w:t>轻卡可靠性试验场地</w:t>
      </w:r>
      <w:r>
        <w:rPr>
          <w:rFonts w:hint="eastAsia" w:ascii="仿宋" w:hAnsi="仿宋" w:eastAsia="仿宋" w:cs="仿宋"/>
          <w:highlight w:val="none"/>
          <w:lang w:val="en-US" w:eastAsia="zh-CN"/>
        </w:rPr>
        <w:t>技术服务项目；</w:t>
      </w:r>
    </w:p>
    <w:p>
      <w:pPr>
        <w:pStyle w:val="12"/>
        <w:numPr>
          <w:ilvl w:val="0"/>
          <w:numId w:val="1"/>
        </w:numPr>
        <w:bidi w:val="0"/>
        <w:ind w:left="17" w:leftChars="0" w:firstLine="1463" w:firstLineChars="0"/>
        <w:rPr>
          <w:rFonts w:hint="eastAsia"/>
          <w:highlight w:val="none"/>
          <w:lang w:eastAsia="zh-CN"/>
        </w:rPr>
      </w:pPr>
      <w:r>
        <w:rPr>
          <w:rFonts w:hint="eastAsia" w:ascii="仿宋" w:hAnsi="仿宋" w:eastAsia="仿宋" w:cs="仿宋"/>
          <w:highlight w:val="none"/>
          <w:lang w:val="en-US" w:eastAsia="zh-CN"/>
        </w:rPr>
        <w:t>子项目3：</w:t>
      </w:r>
      <w:r>
        <w:rPr>
          <w:rFonts w:hint="eastAsia" w:ascii="仿宋" w:hAnsi="仿宋" w:eastAsia="仿宋" w:cs="仿宋"/>
          <w:b/>
          <w:bCs/>
          <w:highlight w:val="none"/>
          <w:lang w:val="en-US" w:eastAsia="zh-CN"/>
        </w:rPr>
        <w:t>重卡可靠性试验场地</w:t>
      </w:r>
      <w:r>
        <w:rPr>
          <w:rFonts w:hint="eastAsia" w:ascii="仿宋" w:hAnsi="仿宋" w:eastAsia="仿宋" w:cs="仿宋"/>
          <w:highlight w:val="none"/>
          <w:lang w:val="en-US" w:eastAsia="zh-CN"/>
        </w:rPr>
        <w:t>技术服务项目。</w:t>
      </w:r>
    </w:p>
    <w:bookmarkEnd w:id="2"/>
    <w:p>
      <w:pPr>
        <w:pStyle w:val="80"/>
        <w:numPr>
          <w:ilvl w:val="0"/>
          <w:numId w:val="2"/>
        </w:numPr>
        <w:rPr>
          <w:rFonts w:hint="eastAsia"/>
          <w:highlight w:val="none"/>
        </w:rPr>
      </w:pPr>
      <w:bookmarkStart w:id="3" w:name="_Toc27604"/>
      <w:r>
        <w:rPr>
          <w:rFonts w:hint="eastAsia"/>
          <w:highlight w:val="none"/>
        </w:rPr>
        <w:t>招标内容及形式</w:t>
      </w:r>
      <w:bookmarkEnd w:id="3"/>
    </w:p>
    <w:p>
      <w:pPr>
        <w:pStyle w:val="54"/>
        <w:numPr>
          <w:ilvl w:val="0"/>
          <w:numId w:val="3"/>
        </w:numPr>
        <w:rPr>
          <w:rFonts w:hint="eastAsia" w:ascii="仿宋" w:hAnsi="仿宋" w:cs="仿宋"/>
          <w:highlight w:val="none"/>
        </w:rPr>
      </w:pPr>
      <w:r>
        <w:rPr>
          <w:rFonts w:hint="eastAsia" w:ascii="仿宋" w:hAnsi="仿宋" w:cs="仿宋"/>
          <w:highlight w:val="none"/>
        </w:rPr>
        <w:t>招标内容：</w:t>
      </w:r>
    </w:p>
    <w:p>
      <w:pPr>
        <w:pStyle w:val="54"/>
        <w:ind w:left="0" w:leftChars="0" w:firstLine="1478" w:firstLineChars="616"/>
        <w:rPr>
          <w:rFonts w:ascii="仿宋" w:hAnsi="仿宋" w:cs="仿宋"/>
          <w:highlight w:val="none"/>
        </w:rPr>
      </w:pPr>
      <w:r>
        <w:rPr>
          <w:rFonts w:ascii="仿宋" w:hAnsi="仿宋" w:cs="仿宋"/>
          <w:highlight w:val="none"/>
        </w:rPr>
        <w:fldChar w:fldCharType="begin"/>
      </w:r>
      <w:r>
        <w:rPr>
          <w:rFonts w:ascii="仿宋" w:hAnsi="仿宋" w:cs="仿宋"/>
          <w:highlight w:val="none"/>
        </w:rPr>
        <w:instrText xml:space="preserve"> </w:instrText>
      </w:r>
      <w:r>
        <w:rPr>
          <w:rFonts w:hint="eastAsia" w:ascii="仿宋" w:hAnsi="仿宋" w:cs="仿宋"/>
          <w:highlight w:val="none"/>
        </w:rPr>
        <w:instrText xml:space="preserve">= 1 \* GB3</w:instrText>
      </w:r>
      <w:r>
        <w:rPr>
          <w:rFonts w:ascii="仿宋" w:hAnsi="仿宋" w:cs="仿宋"/>
          <w:highlight w:val="none"/>
        </w:rPr>
        <w:instrText xml:space="preserve"> </w:instrText>
      </w:r>
      <w:r>
        <w:rPr>
          <w:rFonts w:ascii="仿宋" w:hAnsi="仿宋" w:cs="仿宋"/>
          <w:highlight w:val="none"/>
        </w:rPr>
        <w:fldChar w:fldCharType="separate"/>
      </w:r>
      <w:r>
        <w:rPr>
          <w:rFonts w:hint="eastAsia" w:ascii="仿宋" w:hAnsi="仿宋" w:cs="仿宋"/>
          <w:highlight w:val="none"/>
        </w:rPr>
        <w:t>①</w:t>
      </w:r>
      <w:r>
        <w:rPr>
          <w:rFonts w:ascii="仿宋" w:hAnsi="仿宋" w:cs="仿宋"/>
          <w:highlight w:val="none"/>
        </w:rPr>
        <w:fldChar w:fldCharType="end"/>
      </w:r>
      <w:r>
        <w:rPr>
          <w:rFonts w:hint="eastAsia" w:ascii="仿宋" w:hAnsi="仿宋" w:cs="仿宋"/>
          <w:highlight w:val="none"/>
          <w:lang w:val="en-US" w:eastAsia="zh-CN"/>
        </w:rPr>
        <w:t>性能/可靠性</w:t>
      </w:r>
      <w:r>
        <w:rPr>
          <w:rFonts w:hint="eastAsia" w:ascii="仿宋" w:hAnsi="仿宋" w:cs="仿宋"/>
          <w:highlight w:val="none"/>
        </w:rPr>
        <w:t>试验场地租用服务；</w:t>
      </w:r>
    </w:p>
    <w:p>
      <w:pPr>
        <w:pStyle w:val="54"/>
        <w:ind w:left="0" w:leftChars="0" w:firstLine="1478" w:firstLineChars="616"/>
        <w:rPr>
          <w:rFonts w:ascii="仿宋" w:hAnsi="仿宋" w:cs="仿宋"/>
          <w:highlight w:val="none"/>
        </w:rPr>
      </w:pPr>
      <w:r>
        <w:rPr>
          <w:rFonts w:ascii="仿宋" w:hAnsi="仿宋" w:cs="仿宋"/>
          <w:highlight w:val="none"/>
        </w:rPr>
        <w:fldChar w:fldCharType="begin"/>
      </w:r>
      <w:r>
        <w:rPr>
          <w:rFonts w:ascii="仿宋" w:hAnsi="仿宋" w:cs="仿宋"/>
          <w:highlight w:val="none"/>
        </w:rPr>
        <w:instrText xml:space="preserve"> </w:instrText>
      </w:r>
      <w:r>
        <w:rPr>
          <w:rFonts w:hint="eastAsia" w:ascii="仿宋" w:hAnsi="仿宋" w:cs="仿宋"/>
          <w:highlight w:val="none"/>
        </w:rPr>
        <w:instrText xml:space="preserve">= 2 \* GB3</w:instrText>
      </w:r>
      <w:r>
        <w:rPr>
          <w:rFonts w:ascii="仿宋" w:hAnsi="仿宋" w:cs="仿宋"/>
          <w:highlight w:val="none"/>
        </w:rPr>
        <w:instrText xml:space="preserve"> </w:instrText>
      </w:r>
      <w:r>
        <w:rPr>
          <w:rFonts w:ascii="仿宋" w:hAnsi="仿宋" w:cs="仿宋"/>
          <w:highlight w:val="none"/>
        </w:rPr>
        <w:fldChar w:fldCharType="separate"/>
      </w:r>
      <w:r>
        <w:rPr>
          <w:rFonts w:hint="eastAsia" w:ascii="仿宋" w:hAnsi="仿宋" w:cs="仿宋"/>
          <w:highlight w:val="none"/>
        </w:rPr>
        <w:t>②</w:t>
      </w:r>
      <w:r>
        <w:rPr>
          <w:rFonts w:ascii="仿宋" w:hAnsi="仿宋" w:cs="仿宋"/>
          <w:highlight w:val="none"/>
        </w:rPr>
        <w:fldChar w:fldCharType="end"/>
      </w:r>
      <w:r>
        <w:rPr>
          <w:rFonts w:hint="eastAsia" w:ascii="仿宋" w:hAnsi="仿宋" w:cs="仿宋"/>
          <w:highlight w:val="none"/>
        </w:rPr>
        <w:t>试验车辆维修</w:t>
      </w:r>
      <w:r>
        <w:rPr>
          <w:rFonts w:hint="eastAsia" w:ascii="仿宋" w:hAnsi="仿宋" w:cs="仿宋"/>
          <w:highlight w:val="none"/>
          <w:lang w:val="en-US" w:eastAsia="zh-CN"/>
        </w:rPr>
        <w:t>改制</w:t>
      </w:r>
      <w:r>
        <w:rPr>
          <w:rFonts w:hint="eastAsia" w:ascii="仿宋" w:hAnsi="仿宋" w:cs="仿宋"/>
          <w:highlight w:val="none"/>
        </w:rPr>
        <w:t>服务；</w:t>
      </w:r>
    </w:p>
    <w:p>
      <w:pPr>
        <w:pStyle w:val="54"/>
        <w:ind w:left="0" w:leftChars="0" w:firstLine="1478" w:firstLineChars="616"/>
        <w:rPr>
          <w:rFonts w:hint="eastAsia" w:ascii="仿宋" w:hAnsi="仿宋" w:cs="仿宋"/>
          <w:highlight w:val="none"/>
        </w:rPr>
      </w:pPr>
      <w:r>
        <w:rPr>
          <w:rFonts w:ascii="仿宋" w:hAnsi="仿宋" w:cs="仿宋"/>
          <w:highlight w:val="none"/>
        </w:rPr>
        <w:fldChar w:fldCharType="begin"/>
      </w:r>
      <w:r>
        <w:rPr>
          <w:rFonts w:ascii="仿宋" w:hAnsi="仿宋" w:cs="仿宋"/>
          <w:highlight w:val="none"/>
        </w:rPr>
        <w:instrText xml:space="preserve"> </w:instrText>
      </w:r>
      <w:r>
        <w:rPr>
          <w:rFonts w:hint="eastAsia" w:ascii="仿宋" w:hAnsi="仿宋" w:cs="仿宋"/>
          <w:highlight w:val="none"/>
        </w:rPr>
        <w:instrText xml:space="preserve">= 3 \* GB3</w:instrText>
      </w:r>
      <w:r>
        <w:rPr>
          <w:rFonts w:ascii="仿宋" w:hAnsi="仿宋" w:cs="仿宋"/>
          <w:highlight w:val="none"/>
        </w:rPr>
        <w:instrText xml:space="preserve"> </w:instrText>
      </w:r>
      <w:r>
        <w:rPr>
          <w:rFonts w:ascii="仿宋" w:hAnsi="仿宋" w:cs="仿宋"/>
          <w:highlight w:val="none"/>
        </w:rPr>
        <w:fldChar w:fldCharType="separate"/>
      </w:r>
      <w:r>
        <w:rPr>
          <w:rFonts w:hint="eastAsia" w:ascii="仿宋" w:hAnsi="仿宋" w:cs="仿宋"/>
          <w:highlight w:val="none"/>
        </w:rPr>
        <w:t>③</w:t>
      </w:r>
      <w:r>
        <w:rPr>
          <w:rFonts w:ascii="仿宋" w:hAnsi="仿宋" w:cs="仿宋"/>
          <w:highlight w:val="none"/>
        </w:rPr>
        <w:fldChar w:fldCharType="end"/>
      </w:r>
      <w:r>
        <w:rPr>
          <w:rFonts w:hint="eastAsia" w:ascii="仿宋" w:hAnsi="仿宋" w:cs="仿宋"/>
          <w:highlight w:val="none"/>
        </w:rPr>
        <w:t>备品备件</w:t>
      </w:r>
      <w:r>
        <w:rPr>
          <w:rFonts w:hint="eastAsia" w:ascii="仿宋" w:hAnsi="仿宋" w:cs="仿宋"/>
          <w:highlight w:val="none"/>
          <w:lang w:eastAsia="zh-CN"/>
        </w:rPr>
        <w:t>、</w:t>
      </w:r>
      <w:r>
        <w:rPr>
          <w:rFonts w:hint="eastAsia" w:ascii="仿宋" w:hAnsi="仿宋" w:cs="仿宋"/>
          <w:highlight w:val="none"/>
          <w:lang w:val="en-US" w:eastAsia="zh-CN"/>
        </w:rPr>
        <w:t>仪器设备及办公场所</w:t>
      </w:r>
      <w:r>
        <w:rPr>
          <w:rFonts w:hint="eastAsia" w:ascii="仿宋" w:hAnsi="仿宋" w:cs="仿宋"/>
          <w:highlight w:val="none"/>
        </w:rPr>
        <w:t>租赁服务；</w:t>
      </w:r>
    </w:p>
    <w:p>
      <w:pPr>
        <w:pStyle w:val="54"/>
        <w:ind w:left="0" w:leftChars="0" w:firstLine="1478" w:firstLineChars="616"/>
        <w:rPr>
          <w:rFonts w:hint="eastAsia" w:ascii="仿宋" w:hAnsi="仿宋" w:cs="仿宋"/>
          <w:highlight w:val="none"/>
          <w:lang w:eastAsia="zh-CN"/>
        </w:rPr>
      </w:pPr>
      <w:r>
        <w:rPr>
          <w:rFonts w:ascii="仿宋" w:hAnsi="仿宋" w:cs="仿宋"/>
          <w:highlight w:val="none"/>
        </w:rPr>
        <w:fldChar w:fldCharType="begin"/>
      </w:r>
      <w:r>
        <w:rPr>
          <w:rFonts w:ascii="仿宋" w:hAnsi="仿宋" w:cs="仿宋"/>
          <w:highlight w:val="none"/>
        </w:rPr>
        <w:instrText xml:space="preserve"> </w:instrText>
      </w:r>
      <w:r>
        <w:rPr>
          <w:rFonts w:hint="eastAsia" w:ascii="仿宋" w:hAnsi="仿宋" w:cs="仿宋"/>
          <w:highlight w:val="none"/>
        </w:rPr>
        <w:instrText xml:space="preserve">= 4 \* GB3</w:instrText>
      </w:r>
      <w:r>
        <w:rPr>
          <w:rFonts w:ascii="仿宋" w:hAnsi="仿宋" w:cs="仿宋"/>
          <w:highlight w:val="none"/>
        </w:rPr>
        <w:instrText xml:space="preserve"> </w:instrText>
      </w:r>
      <w:r>
        <w:rPr>
          <w:rFonts w:ascii="仿宋" w:hAnsi="仿宋" w:cs="仿宋"/>
          <w:highlight w:val="none"/>
        </w:rPr>
        <w:fldChar w:fldCharType="separate"/>
      </w:r>
      <w:r>
        <w:rPr>
          <w:rFonts w:hint="eastAsia" w:ascii="仿宋" w:hAnsi="仿宋" w:cs="仿宋"/>
          <w:highlight w:val="none"/>
        </w:rPr>
        <w:t>④</w:t>
      </w:r>
      <w:r>
        <w:rPr>
          <w:rFonts w:ascii="仿宋" w:hAnsi="仿宋" w:cs="仿宋"/>
          <w:highlight w:val="none"/>
        </w:rPr>
        <w:fldChar w:fldCharType="end"/>
      </w:r>
      <w:r>
        <w:rPr>
          <w:rFonts w:hint="eastAsia" w:ascii="仿宋" w:hAnsi="仿宋" w:cs="仿宋"/>
          <w:highlight w:val="none"/>
          <w:lang w:val="en-US" w:eastAsia="zh-CN"/>
        </w:rPr>
        <w:t>试验</w:t>
      </w:r>
      <w:r>
        <w:rPr>
          <w:rFonts w:hint="eastAsia" w:ascii="仿宋" w:hAnsi="仿宋" w:cs="仿宋"/>
          <w:highlight w:val="none"/>
        </w:rPr>
        <w:t>车用燃料</w:t>
      </w:r>
      <w:r>
        <w:rPr>
          <w:rFonts w:hint="eastAsia" w:ascii="仿宋" w:hAnsi="仿宋" w:cs="仿宋"/>
          <w:highlight w:val="none"/>
          <w:lang w:val="en-US" w:eastAsia="zh-CN"/>
        </w:rPr>
        <w:t>及充电</w:t>
      </w:r>
      <w:r>
        <w:rPr>
          <w:rFonts w:hint="eastAsia" w:ascii="仿宋" w:hAnsi="仿宋" w:cs="仿宋"/>
          <w:highlight w:val="none"/>
        </w:rPr>
        <w:t>服务</w:t>
      </w:r>
      <w:r>
        <w:rPr>
          <w:rFonts w:hint="eastAsia" w:ascii="仿宋" w:hAnsi="仿宋" w:cs="仿宋"/>
          <w:highlight w:val="none"/>
          <w:lang w:eastAsia="zh-CN"/>
        </w:rPr>
        <w:t>。</w:t>
      </w:r>
    </w:p>
    <w:p>
      <w:pPr>
        <w:pStyle w:val="54"/>
        <w:rPr>
          <w:rFonts w:ascii="仿宋" w:hAnsi="仿宋" w:cs="仿宋"/>
          <w:highlight w:val="none"/>
        </w:rPr>
      </w:pPr>
      <w:r>
        <w:rPr>
          <w:rFonts w:hint="eastAsia" w:ascii="仿宋" w:hAnsi="仿宋" w:cs="仿宋"/>
          <w:highlight w:val="none"/>
        </w:rPr>
        <w:t>2、招标形式：</w:t>
      </w:r>
      <w:r>
        <w:rPr>
          <w:rFonts w:hint="eastAsia" w:ascii="仿宋" w:hAnsi="仿宋" w:cs="仿宋"/>
          <w:b/>
          <w:bCs w:val="0"/>
          <w:highlight w:val="none"/>
          <w:lang w:eastAsia="zh-CN"/>
        </w:rPr>
        <w:t>公开招标，</w:t>
      </w:r>
      <w:r>
        <w:rPr>
          <w:rFonts w:hint="eastAsia" w:ascii="仿宋" w:hAnsi="仿宋" w:cs="仿宋"/>
          <w:b/>
          <w:bCs w:val="0"/>
          <w:highlight w:val="none"/>
          <w:lang w:val="en-US" w:eastAsia="zh-CN"/>
        </w:rPr>
        <w:t>分投分中</w:t>
      </w:r>
      <w:r>
        <w:rPr>
          <w:rFonts w:hint="eastAsia" w:ascii="仿宋" w:hAnsi="仿宋" w:cs="仿宋"/>
          <w:b/>
          <w:bCs w:val="0"/>
          <w:highlight w:val="none"/>
        </w:rPr>
        <w:t>。</w:t>
      </w:r>
    </w:p>
    <w:p>
      <w:pPr>
        <w:pStyle w:val="80"/>
        <w:rPr>
          <w:highlight w:val="none"/>
        </w:rPr>
      </w:pPr>
      <w:bookmarkStart w:id="4" w:name="_Toc28991"/>
      <w:r>
        <w:rPr>
          <w:rFonts w:hint="eastAsia"/>
          <w:highlight w:val="none"/>
        </w:rPr>
        <w:t>三、交货及付款</w:t>
      </w:r>
      <w:bookmarkEnd w:id="4"/>
    </w:p>
    <w:p>
      <w:pPr>
        <w:pStyle w:val="54"/>
        <w:rPr>
          <w:rFonts w:ascii="仿宋" w:hAnsi="仿宋" w:cs="仿宋"/>
          <w:highlight w:val="none"/>
        </w:rPr>
      </w:pPr>
      <w:r>
        <w:rPr>
          <w:rFonts w:hint="eastAsia" w:ascii="仿宋" w:hAnsi="仿宋" w:cs="仿宋"/>
          <w:highlight w:val="none"/>
        </w:rPr>
        <w:t>1、交货期：合同签订日期。</w:t>
      </w:r>
    </w:p>
    <w:p>
      <w:pPr>
        <w:pStyle w:val="54"/>
        <w:rPr>
          <w:rFonts w:ascii="仿宋" w:hAnsi="仿宋" w:cs="仿宋"/>
          <w:highlight w:val="none"/>
        </w:rPr>
      </w:pPr>
      <w:r>
        <w:rPr>
          <w:rFonts w:hint="eastAsia" w:ascii="仿宋" w:hAnsi="仿宋" w:cs="仿宋"/>
          <w:highlight w:val="none"/>
        </w:rPr>
        <w:t>2、</w:t>
      </w:r>
      <w:r>
        <w:rPr>
          <w:rFonts w:hint="eastAsia"/>
          <w:color w:val="000000"/>
          <w:highlight w:val="none"/>
        </w:rPr>
        <w:t>交货地点</w:t>
      </w:r>
      <w:r>
        <w:rPr>
          <w:rFonts w:hint="eastAsia" w:ascii="仿宋" w:hAnsi="仿宋" w:cs="仿宋"/>
          <w:highlight w:val="none"/>
        </w:rPr>
        <w:t>：中标方所属汽车试验场。</w:t>
      </w:r>
    </w:p>
    <w:p>
      <w:pPr>
        <w:pStyle w:val="54"/>
        <w:rPr>
          <w:rFonts w:ascii="仿宋" w:hAnsi="仿宋" w:cs="仿宋"/>
          <w:highlight w:val="none"/>
        </w:rPr>
      </w:pPr>
      <w:r>
        <w:rPr>
          <w:rFonts w:hint="eastAsia" w:ascii="仿宋" w:hAnsi="仿宋" w:cs="仿宋"/>
          <w:highlight w:val="none"/>
        </w:rPr>
        <w:t>3、交货方式：以最终签署的合同约定为准。</w:t>
      </w:r>
    </w:p>
    <w:p>
      <w:pPr>
        <w:pStyle w:val="54"/>
        <w:rPr>
          <w:rFonts w:ascii="仿宋" w:hAnsi="仿宋" w:cs="仿宋"/>
          <w:highlight w:val="none"/>
        </w:rPr>
      </w:pPr>
      <w:r>
        <w:rPr>
          <w:rFonts w:hint="eastAsia" w:ascii="仿宋" w:hAnsi="仿宋" w:cs="仿宋"/>
          <w:highlight w:val="none"/>
        </w:rPr>
        <w:t>4、付款方式：半年期商业汇票</w:t>
      </w:r>
      <w:r>
        <w:rPr>
          <w:rFonts w:hint="eastAsia" w:ascii="仿宋" w:hAnsi="仿宋" w:cs="仿宋"/>
          <w:b/>
          <w:bCs/>
          <w:highlight w:val="none"/>
        </w:rPr>
        <w:t>。</w:t>
      </w:r>
    </w:p>
    <w:p>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中标人与中国重汽集团济南动力有限公司签订合同，按表1（具体付款方式）通知开具</w:t>
      </w:r>
      <w:r>
        <w:rPr>
          <w:rFonts w:hint="eastAsia" w:ascii="宋体" w:hAnsi="宋体"/>
          <w:b/>
          <w:bCs/>
          <w:color w:val="000000"/>
          <w:sz w:val="24"/>
          <w:szCs w:val="24"/>
          <w:highlight w:val="none"/>
        </w:rPr>
        <w:t>增值税专用发票</w:t>
      </w:r>
      <w:r>
        <w:rPr>
          <w:rFonts w:hint="eastAsia" w:ascii="宋体" w:hAnsi="宋体"/>
          <w:color w:val="000000"/>
          <w:sz w:val="24"/>
          <w:szCs w:val="24"/>
          <w:highlight w:val="none"/>
        </w:rPr>
        <w:t>，由中国重汽集团济南动力有限公司按照其财务制度进行审核后支付。</w:t>
      </w:r>
    </w:p>
    <w:p>
      <w:pPr>
        <w:pStyle w:val="2"/>
        <w:keepNext w:val="0"/>
        <w:keepLines w:val="0"/>
        <w:pageBreakBefore w:val="0"/>
        <w:widowControl w:val="0"/>
        <w:kinsoku/>
        <w:wordWrap/>
        <w:overflowPunct/>
        <w:topLinePunct w:val="0"/>
        <w:autoSpaceDE/>
        <w:autoSpaceDN/>
        <w:bidi w:val="0"/>
        <w:adjustRightInd/>
        <w:snapToGrid/>
        <w:spacing w:before="157" w:beforeLines="50"/>
        <w:jc w:val="center"/>
        <w:textAlignment w:val="auto"/>
        <w:rPr>
          <w:sz w:val="21"/>
          <w:szCs w:val="21"/>
          <w:highlight w:val="none"/>
        </w:rPr>
      </w:pPr>
      <w:r>
        <w:rPr>
          <w:rFonts w:hint="eastAsia" w:hAnsi="宋体"/>
          <w:color w:val="000000"/>
          <w:sz w:val="21"/>
          <w:szCs w:val="21"/>
          <w:highlight w:val="none"/>
        </w:rPr>
        <w:t>表1：具体付款方式</w:t>
      </w:r>
    </w:p>
    <w:tbl>
      <w:tblPr>
        <w:tblStyle w:val="3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1449"/>
        <w:gridCol w:w="3838"/>
        <w:gridCol w:w="1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pct"/>
            <w:tcBorders>
              <w:top w:val="single" w:color="auto" w:sz="4" w:space="0"/>
              <w:left w:val="single" w:color="auto" w:sz="4" w:space="0"/>
              <w:bottom w:val="single" w:color="auto" w:sz="4" w:space="0"/>
              <w:right w:val="single" w:color="auto" w:sz="4" w:space="0"/>
            </w:tcBorders>
          </w:tcPr>
          <w:p>
            <w:pPr>
              <w:jc w:val="center"/>
              <w:rPr>
                <w:rFonts w:ascii="宋体" w:hAnsi="宋体"/>
                <w:color w:val="000000"/>
                <w:sz w:val="24"/>
                <w:szCs w:val="24"/>
                <w:highlight w:val="none"/>
              </w:rPr>
            </w:pPr>
            <w:r>
              <w:rPr>
                <w:rFonts w:hint="eastAsia" w:ascii="宋体" w:hAnsi="宋体"/>
                <w:color w:val="000000"/>
                <w:sz w:val="24"/>
                <w:szCs w:val="24"/>
                <w:highlight w:val="none"/>
              </w:rPr>
              <w:t>项目</w:t>
            </w:r>
          </w:p>
        </w:tc>
        <w:tc>
          <w:tcPr>
            <w:tcW w:w="850" w:type="pct"/>
            <w:tcBorders>
              <w:top w:val="single" w:color="auto" w:sz="4" w:space="0"/>
              <w:left w:val="single" w:color="auto" w:sz="4" w:space="0"/>
              <w:bottom w:val="single" w:color="auto" w:sz="4" w:space="0"/>
              <w:right w:val="single" w:color="auto" w:sz="4" w:space="0"/>
            </w:tcBorders>
          </w:tcPr>
          <w:p>
            <w:pPr>
              <w:jc w:val="center"/>
              <w:rPr>
                <w:rFonts w:ascii="宋体" w:hAnsi="宋体"/>
                <w:color w:val="000000"/>
                <w:sz w:val="24"/>
                <w:szCs w:val="24"/>
                <w:highlight w:val="none"/>
              </w:rPr>
            </w:pPr>
            <w:r>
              <w:rPr>
                <w:rFonts w:hint="eastAsia" w:ascii="宋体" w:hAnsi="宋体"/>
                <w:color w:val="000000"/>
                <w:sz w:val="24"/>
                <w:szCs w:val="24"/>
                <w:highlight w:val="none"/>
              </w:rPr>
              <w:t>合同类型</w:t>
            </w:r>
          </w:p>
        </w:tc>
        <w:tc>
          <w:tcPr>
            <w:tcW w:w="2252" w:type="pct"/>
            <w:tcBorders>
              <w:top w:val="single" w:color="auto" w:sz="4" w:space="0"/>
              <w:left w:val="single" w:color="auto" w:sz="4" w:space="0"/>
              <w:bottom w:val="single" w:color="auto" w:sz="4" w:space="0"/>
              <w:right w:val="single" w:color="auto" w:sz="4" w:space="0"/>
            </w:tcBorders>
          </w:tcPr>
          <w:p>
            <w:pPr>
              <w:jc w:val="center"/>
              <w:rPr>
                <w:rFonts w:ascii="宋体" w:hAnsi="宋体"/>
                <w:color w:val="000000"/>
                <w:sz w:val="24"/>
                <w:szCs w:val="24"/>
                <w:highlight w:val="none"/>
              </w:rPr>
            </w:pPr>
            <w:r>
              <w:rPr>
                <w:rFonts w:hint="eastAsia" w:ascii="宋体" w:hAnsi="宋体"/>
                <w:color w:val="000000"/>
                <w:sz w:val="24"/>
                <w:szCs w:val="24"/>
                <w:highlight w:val="none"/>
              </w:rPr>
              <w:t>结算方式</w:t>
            </w:r>
          </w:p>
        </w:tc>
        <w:tc>
          <w:tcPr>
            <w:tcW w:w="1048" w:type="pct"/>
            <w:tcBorders>
              <w:top w:val="single" w:color="auto" w:sz="4" w:space="0"/>
              <w:left w:val="single" w:color="auto" w:sz="4" w:space="0"/>
              <w:bottom w:val="single" w:color="auto" w:sz="4" w:space="0"/>
              <w:right w:val="single" w:color="auto" w:sz="4" w:space="0"/>
            </w:tcBorders>
          </w:tcPr>
          <w:p>
            <w:pPr>
              <w:jc w:val="center"/>
              <w:rPr>
                <w:rFonts w:ascii="宋体" w:hAnsi="宋体"/>
                <w:color w:val="000000"/>
                <w:sz w:val="24"/>
                <w:szCs w:val="24"/>
                <w:highlight w:val="none"/>
              </w:rPr>
            </w:pPr>
            <w:r>
              <w:rPr>
                <w:rFonts w:hint="eastAsia" w:ascii="宋体" w:hAnsi="宋体"/>
                <w:color w:val="000000"/>
                <w:sz w:val="24"/>
                <w:szCs w:val="24"/>
                <w:highlight w:val="none"/>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highlight w:val="none"/>
              </w:rPr>
            </w:pPr>
            <w:r>
              <w:rPr>
                <w:rFonts w:hint="eastAsia" w:ascii="宋体" w:hAnsi="宋体"/>
                <w:b/>
                <w:bCs/>
                <w:color w:val="000000"/>
                <w:sz w:val="24"/>
                <w:szCs w:val="24"/>
                <w:highlight w:val="none"/>
              </w:rPr>
              <w:t>技术服务</w:t>
            </w:r>
          </w:p>
        </w:tc>
        <w:tc>
          <w:tcPr>
            <w:tcW w:w="85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highlight w:val="none"/>
              </w:rPr>
            </w:pPr>
            <w:r>
              <w:rPr>
                <w:rFonts w:hint="eastAsia" w:ascii="宋体" w:hAnsi="宋体"/>
                <w:color w:val="000000"/>
                <w:sz w:val="24"/>
                <w:szCs w:val="24"/>
                <w:highlight w:val="none"/>
              </w:rPr>
              <w:t>开口合同</w:t>
            </w:r>
          </w:p>
        </w:tc>
        <w:tc>
          <w:tcPr>
            <w:tcW w:w="2252" w:type="pct"/>
            <w:tcBorders>
              <w:top w:val="single" w:color="auto" w:sz="4" w:space="0"/>
              <w:left w:val="single" w:color="auto" w:sz="4" w:space="0"/>
              <w:bottom w:val="single" w:color="auto" w:sz="4" w:space="0"/>
              <w:right w:val="single" w:color="auto" w:sz="4" w:space="0"/>
            </w:tcBorders>
          </w:tcPr>
          <w:p>
            <w:pPr>
              <w:jc w:val="center"/>
              <w:rPr>
                <w:rFonts w:ascii="宋体" w:hAnsi="宋体"/>
                <w:color w:val="000000"/>
                <w:sz w:val="24"/>
                <w:szCs w:val="24"/>
                <w:highlight w:val="none"/>
              </w:rPr>
            </w:pPr>
            <w:r>
              <w:rPr>
                <w:rFonts w:hint="eastAsia" w:ascii="宋体" w:hAnsi="宋体"/>
                <w:color w:val="000000"/>
                <w:sz w:val="24"/>
                <w:szCs w:val="24"/>
                <w:highlight w:val="none"/>
              </w:rPr>
              <w:t>合同签订后按实际发生的费用，季度结算</w:t>
            </w:r>
          </w:p>
        </w:tc>
        <w:tc>
          <w:tcPr>
            <w:tcW w:w="104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 w:val="24"/>
                <w:szCs w:val="24"/>
                <w:highlight w:val="none"/>
              </w:rPr>
            </w:pPr>
            <w:r>
              <w:rPr>
                <w:rFonts w:ascii="宋体" w:hAnsi="宋体"/>
                <w:color w:val="000000"/>
                <w:sz w:val="24"/>
                <w:szCs w:val="24"/>
                <w:highlight w:val="none"/>
              </w:rPr>
              <w:t>100</w:t>
            </w:r>
            <w:r>
              <w:rPr>
                <w:rFonts w:hint="eastAsia" w:ascii="宋体" w:hAnsi="宋体"/>
                <w:color w:val="000000"/>
                <w:sz w:val="24"/>
                <w:szCs w:val="24"/>
                <w:highlight w:val="none"/>
              </w:rPr>
              <w:t>%</w:t>
            </w:r>
          </w:p>
        </w:tc>
      </w:tr>
    </w:tbl>
    <w:p>
      <w:pPr>
        <w:pStyle w:val="80"/>
        <w:numPr>
          <w:ilvl w:val="0"/>
          <w:numId w:val="4"/>
        </w:numPr>
        <w:rPr>
          <w:highlight w:val="none"/>
        </w:rPr>
      </w:pPr>
      <w:bookmarkStart w:id="5" w:name="_Toc15339"/>
      <w:r>
        <w:rPr>
          <w:rFonts w:hint="eastAsia"/>
          <w:highlight w:val="none"/>
        </w:rPr>
        <w:t>投标说明</w:t>
      </w:r>
      <w:bookmarkEnd w:id="5"/>
    </w:p>
    <w:p>
      <w:pPr>
        <w:pStyle w:val="49"/>
        <w:rPr>
          <w:highlight w:val="none"/>
        </w:rPr>
      </w:pPr>
      <w:bookmarkStart w:id="6" w:name="_Toc14858"/>
      <w:r>
        <w:rPr>
          <w:rFonts w:hint="eastAsia"/>
          <w:highlight w:val="none"/>
        </w:rPr>
        <w:t>1、报名方式</w:t>
      </w:r>
      <w:bookmarkEnd w:id="6"/>
    </w:p>
    <w:p>
      <w:pPr>
        <w:pStyle w:val="54"/>
        <w:rPr>
          <w:rFonts w:ascii="宋体" w:hAnsi="宋体" w:eastAsia="宋体" w:cs="宋体"/>
          <w:bCs/>
        </w:rPr>
      </w:pPr>
      <w:r>
        <w:rPr>
          <w:rFonts w:hint="eastAsia" w:ascii="宋体" w:hAnsi="宋体" w:eastAsia="宋体" w:cs="宋体"/>
          <w:bCs/>
        </w:rPr>
        <w:t>拟投标人根据招标人在中国重汽的官网上发布的招标信息，邮件报名。报名邮箱：shenxiaofeng@sinotruk.com公示期间请尽快报名，报名后无须电话询问是否报名成功，我单位会通过邮件回复贵单位招标事项。</w:t>
      </w:r>
    </w:p>
    <w:p>
      <w:pPr>
        <w:pStyle w:val="54"/>
        <w:ind w:firstLine="482"/>
        <w:rPr>
          <w:rFonts w:ascii="宋体" w:hAnsi="宋体" w:eastAsia="宋体" w:cs="宋体"/>
          <w:b/>
        </w:rPr>
      </w:pPr>
      <w:r>
        <w:rPr>
          <w:rFonts w:hint="eastAsia" w:ascii="宋体" w:hAnsi="宋体" w:eastAsia="宋体" w:cs="宋体"/>
          <w:b/>
        </w:rPr>
        <w:t>投标邮件主题：某单位授权某代表参与投标某项目+电话</w:t>
      </w:r>
    </w:p>
    <w:p>
      <w:pPr>
        <w:pStyle w:val="54"/>
        <w:ind w:firstLine="482"/>
        <w:rPr>
          <w:rFonts w:ascii="宋体" w:hAnsi="宋体" w:eastAsia="宋体" w:cs="宋体"/>
          <w:b/>
        </w:rPr>
      </w:pPr>
      <w:r>
        <w:rPr>
          <w:rFonts w:hint="eastAsia" w:ascii="宋体" w:hAnsi="宋体" w:eastAsia="宋体" w:cs="宋体"/>
          <w:b/>
        </w:rPr>
        <w:t>投标邮件附件：营业执照，授权书（含法人及授权人身份信息）、投标保证金电子回单（三个附件发送，不要发压缩包，不要使用126或者123邮箱报名，我公司无法打开下载）</w:t>
      </w:r>
    </w:p>
    <w:p>
      <w:pPr>
        <w:pStyle w:val="54"/>
        <w:ind w:firstLine="482"/>
        <w:rPr>
          <w:rFonts w:ascii="宋体" w:hAnsi="宋体" w:eastAsia="宋体" w:cs="宋体"/>
          <w:b/>
        </w:rPr>
      </w:pPr>
      <w:r>
        <w:rPr>
          <w:rFonts w:hint="eastAsia" w:ascii="宋体" w:hAnsi="宋体" w:eastAsia="宋体" w:cs="宋体"/>
          <w:b/>
        </w:rPr>
        <w:t>邮件正文：请务必在邮件正文中文字表述付款账号、户名、开户行行号、保证金金额。</w:t>
      </w:r>
    </w:p>
    <w:p>
      <w:pPr>
        <w:pStyle w:val="54"/>
        <w:ind w:firstLine="482"/>
        <w:rPr>
          <w:rFonts w:ascii="宋体" w:hAnsi="宋体" w:eastAsia="宋体" w:cs="宋体"/>
          <w:b/>
        </w:rPr>
      </w:pPr>
      <w:r>
        <w:rPr>
          <w:rFonts w:hint="eastAsia" w:ascii="宋体" w:hAnsi="宋体" w:eastAsia="宋体" w:cs="宋体"/>
          <w:b/>
        </w:rPr>
        <w:t>投标保证金缴纳时候，务必备注所投标的项目名称。</w:t>
      </w:r>
    </w:p>
    <w:p>
      <w:pPr>
        <w:pStyle w:val="54"/>
        <w:rPr>
          <w:rFonts w:hint="default" w:ascii="仿宋" w:hAnsi="仿宋" w:eastAsia="仿宋" w:cs="仿宋"/>
          <w:bCs/>
          <w:highlight w:val="none"/>
          <w:lang w:val="en-US" w:eastAsia="zh-CN"/>
        </w:rPr>
      </w:pPr>
      <w:r>
        <w:rPr>
          <w:rFonts w:hint="eastAsia" w:ascii="宋体" w:hAnsi="宋体" w:eastAsia="宋体" w:cs="宋体"/>
          <w:bCs/>
          <w:highlight w:val="green"/>
        </w:rPr>
        <w:t>不按要求报名的，或因未提供相关信息导致后期无法退回保证金的，需投标单位承担。报名后无需电话询问是否报名成功，我单位会通过邮件一一回复。</w:t>
      </w:r>
    </w:p>
    <w:p>
      <w:pPr>
        <w:pStyle w:val="49"/>
        <w:rPr>
          <w:highlight w:val="none"/>
        </w:rPr>
      </w:pPr>
      <w:bookmarkStart w:id="7" w:name="_Toc6261"/>
      <w:r>
        <w:rPr>
          <w:rFonts w:hint="eastAsia"/>
          <w:highlight w:val="none"/>
        </w:rPr>
        <w:t>2、投标条件</w:t>
      </w:r>
      <w:bookmarkEnd w:id="7"/>
    </w:p>
    <w:p>
      <w:pPr>
        <w:pStyle w:val="54"/>
        <w:rPr>
          <w:rFonts w:ascii="仿宋" w:hAnsi="仿宋" w:cs="仿宋"/>
          <w:highlight w:val="none"/>
        </w:rPr>
      </w:pPr>
      <w:r>
        <w:rPr>
          <w:rFonts w:hint="eastAsia" w:ascii="仿宋" w:hAnsi="仿宋" w:cs="仿宋"/>
          <w:highlight w:val="none"/>
        </w:rPr>
        <w:t>（1）拟投标人必须是在中华人民共和国境内注册的独立法人机构，具有独立承担民事责任能力，注册资金不少于</w:t>
      </w:r>
      <w:r>
        <w:rPr>
          <w:rFonts w:hint="eastAsia" w:ascii="仿宋" w:hAnsi="仿宋" w:cs="仿宋"/>
          <w:b/>
          <w:bCs/>
          <w:highlight w:val="none"/>
        </w:rPr>
        <w:t>10</w:t>
      </w:r>
      <w:r>
        <w:rPr>
          <w:rFonts w:hint="eastAsia" w:ascii="仿宋" w:hAnsi="仿宋" w:cs="仿宋"/>
          <w:b/>
          <w:bCs/>
          <w:iCs/>
          <w:highlight w:val="none"/>
        </w:rPr>
        <w:t>00万</w:t>
      </w:r>
      <w:r>
        <w:rPr>
          <w:rFonts w:hint="eastAsia" w:ascii="仿宋" w:hAnsi="仿宋" w:cs="仿宋"/>
          <w:b w:val="0"/>
          <w:bCs w:val="0"/>
          <w:iCs/>
          <w:highlight w:val="none"/>
        </w:rPr>
        <w:t>人民币</w:t>
      </w:r>
      <w:r>
        <w:rPr>
          <w:rFonts w:hint="eastAsia" w:ascii="仿宋" w:hAnsi="仿宋" w:cs="仿宋"/>
          <w:b w:val="0"/>
          <w:bCs w:val="0"/>
          <w:highlight w:val="none"/>
        </w:rPr>
        <w:t>（或等值其他货币）；公司成立一</w:t>
      </w:r>
      <w:r>
        <w:rPr>
          <w:rFonts w:hint="eastAsia" w:ascii="仿宋" w:hAnsi="仿宋" w:cs="仿宋"/>
          <w:b w:val="0"/>
          <w:bCs w:val="0"/>
          <w:iCs/>
          <w:highlight w:val="none"/>
        </w:rPr>
        <w:t>年以上</w:t>
      </w:r>
      <w:r>
        <w:rPr>
          <w:rFonts w:hint="eastAsia" w:ascii="仿宋" w:hAnsi="仿宋" w:cs="仿宋"/>
          <w:b w:val="0"/>
          <w:bCs w:val="0"/>
          <w:highlight w:val="none"/>
        </w:rPr>
        <w:t>（以营业执照成立日期到开标当日满一年为准）；</w:t>
      </w:r>
      <w:r>
        <w:rPr>
          <w:rFonts w:hint="eastAsia" w:ascii="仿宋" w:hAnsi="仿宋" w:cs="仿宋"/>
          <w:b/>
          <w:bCs/>
          <w:highlight w:val="none"/>
        </w:rPr>
        <w:t>经营范围</w:t>
      </w:r>
      <w:r>
        <w:rPr>
          <w:rFonts w:hint="eastAsia" w:ascii="仿宋" w:hAnsi="仿宋" w:cs="仿宋"/>
          <w:b/>
          <w:bCs/>
          <w:color w:val="auto"/>
          <w:highlight w:val="none"/>
        </w:rPr>
        <w:t>满足招标人需求</w:t>
      </w:r>
      <w:r>
        <w:rPr>
          <w:rFonts w:hint="eastAsia" w:ascii="仿宋" w:hAnsi="仿宋" w:cs="仿宋"/>
          <w:b w:val="0"/>
          <w:bCs w:val="0"/>
          <w:highlight w:val="none"/>
        </w:rPr>
        <w:t>，并在人员、设备、资金等方面具有承担项目的能力。</w:t>
      </w:r>
    </w:p>
    <w:p>
      <w:pPr>
        <w:pStyle w:val="54"/>
        <w:rPr>
          <w:rFonts w:ascii="仿宋" w:hAnsi="仿宋" w:cs="仿宋"/>
          <w:highlight w:val="none"/>
        </w:rPr>
      </w:pPr>
      <w:r>
        <w:rPr>
          <w:rFonts w:hint="eastAsia" w:ascii="仿宋" w:hAnsi="仿宋" w:cs="仿宋"/>
          <w:highlight w:val="none"/>
        </w:rPr>
        <w:t>（2）拟投标人应提供三证合一的营业执照</w:t>
      </w:r>
      <w:r>
        <w:rPr>
          <w:rFonts w:hint="eastAsia" w:ascii="仿宋" w:hAnsi="仿宋" w:cs="仿宋"/>
          <w:b/>
          <w:color w:val="auto"/>
          <w:highlight w:val="none"/>
        </w:rPr>
        <w:t>副本原件和复印件（需盖章）</w:t>
      </w:r>
      <w:r>
        <w:rPr>
          <w:rFonts w:hint="eastAsia" w:ascii="仿宋" w:hAnsi="仿宋" w:cs="仿宋"/>
          <w:highlight w:val="none"/>
        </w:rPr>
        <w:t>。</w:t>
      </w:r>
    </w:p>
    <w:p>
      <w:pPr>
        <w:pStyle w:val="54"/>
        <w:rPr>
          <w:rFonts w:ascii="仿宋" w:hAnsi="仿宋" w:cs="仿宋"/>
          <w:highlight w:val="none"/>
        </w:rPr>
      </w:pPr>
      <w:r>
        <w:rPr>
          <w:rFonts w:hint="eastAsia" w:ascii="仿宋" w:hAnsi="仿宋" w:cs="仿宋"/>
          <w:highlight w:val="none"/>
        </w:rPr>
        <w:t>（</w:t>
      </w:r>
      <w:r>
        <w:rPr>
          <w:rFonts w:ascii="仿宋" w:hAnsi="仿宋" w:cs="仿宋"/>
          <w:highlight w:val="none"/>
        </w:rPr>
        <w:t>3</w:t>
      </w:r>
      <w:r>
        <w:rPr>
          <w:rFonts w:hint="eastAsia" w:ascii="仿宋" w:hAnsi="仿宋" w:cs="仿宋"/>
          <w:highlight w:val="none"/>
        </w:rPr>
        <w:t>）拟投标人应提供法定代表人资格证明文件。</w:t>
      </w:r>
    </w:p>
    <w:p>
      <w:pPr>
        <w:pStyle w:val="54"/>
        <w:rPr>
          <w:rFonts w:ascii="仿宋" w:hAnsi="仿宋" w:cs="仿宋"/>
          <w:highlight w:val="none"/>
        </w:rPr>
      </w:pPr>
      <w:r>
        <w:rPr>
          <w:rFonts w:hint="eastAsia" w:ascii="仿宋" w:hAnsi="仿宋" w:cs="仿宋"/>
          <w:highlight w:val="none"/>
        </w:rPr>
        <w:t>（</w:t>
      </w:r>
      <w:r>
        <w:rPr>
          <w:rFonts w:ascii="仿宋" w:hAnsi="仿宋" w:cs="仿宋"/>
          <w:highlight w:val="none"/>
        </w:rPr>
        <w:t>4</w:t>
      </w:r>
      <w:r>
        <w:rPr>
          <w:rFonts w:hint="eastAsia" w:ascii="仿宋" w:hAnsi="仿宋" w:cs="仿宋"/>
          <w:highlight w:val="none"/>
        </w:rPr>
        <w:t>）拟投标人在</w:t>
      </w:r>
      <w:r>
        <w:rPr>
          <w:rFonts w:ascii="仿宋" w:hAnsi="仿宋" w:cs="仿宋"/>
          <w:highlight w:val="none"/>
        </w:rPr>
        <w:t>国家市场监督管理总</w:t>
      </w:r>
      <w:r>
        <w:rPr>
          <w:rFonts w:hint="eastAsia" w:ascii="仿宋" w:hAnsi="仿宋" w:cs="仿宋"/>
          <w:highlight w:val="none"/>
        </w:rPr>
        <w:t>局的《国家企业信用信息公示系统》中查询不存在不良记录。</w:t>
      </w:r>
    </w:p>
    <w:p>
      <w:pPr>
        <w:pStyle w:val="54"/>
        <w:rPr>
          <w:rFonts w:ascii="仿宋" w:hAnsi="仿宋" w:cs="仿宋"/>
          <w:highlight w:val="none"/>
        </w:rPr>
      </w:pPr>
      <w:r>
        <w:rPr>
          <w:rFonts w:hint="eastAsia" w:ascii="仿宋" w:hAnsi="仿宋" w:cs="仿宋"/>
          <w:highlight w:val="none"/>
        </w:rPr>
        <w:t>（</w:t>
      </w:r>
      <w:r>
        <w:rPr>
          <w:rFonts w:ascii="仿宋" w:hAnsi="仿宋" w:cs="仿宋"/>
          <w:highlight w:val="none"/>
        </w:rPr>
        <w:t>5</w:t>
      </w:r>
      <w:r>
        <w:rPr>
          <w:rFonts w:hint="eastAsia" w:ascii="仿宋" w:hAnsi="仿宋" w:cs="仿宋"/>
          <w:highlight w:val="none"/>
        </w:rPr>
        <w:t>）拟投标人不存在严重违规或被列入招标人“黑名单”的声明。</w:t>
      </w:r>
    </w:p>
    <w:p>
      <w:pPr>
        <w:pStyle w:val="54"/>
        <w:rPr>
          <w:rFonts w:ascii="仿宋" w:hAnsi="仿宋" w:cs="仿宋"/>
          <w:highlight w:val="none"/>
        </w:rPr>
      </w:pPr>
      <w:r>
        <w:rPr>
          <w:rFonts w:hint="eastAsia" w:ascii="仿宋" w:hAnsi="仿宋" w:cs="仿宋"/>
          <w:highlight w:val="none"/>
        </w:rPr>
        <w:t>（6）拟投标人经审计的与公司成立年数相符年份（成立三年以上的提供近三年即可）的公司财务报表（资产负债表、损益表、现金流量表）未显示异常。</w:t>
      </w:r>
    </w:p>
    <w:p>
      <w:pPr>
        <w:pStyle w:val="54"/>
        <w:rPr>
          <w:rFonts w:ascii="仿宋" w:hAnsi="仿宋" w:cs="仿宋"/>
          <w:highlight w:val="none"/>
        </w:rPr>
      </w:pPr>
      <w:r>
        <w:rPr>
          <w:rFonts w:hint="eastAsia" w:ascii="仿宋" w:hAnsi="仿宋" w:cs="仿宋"/>
          <w:highlight w:val="none"/>
        </w:rPr>
        <w:t>（7）拟投标人有与本次招标内容相同或类似项目业绩，且近3年内（不足3年的，按公司成立至今）无因服务不当而造成重大事故。</w:t>
      </w:r>
    </w:p>
    <w:p>
      <w:pPr>
        <w:pStyle w:val="54"/>
        <w:rPr>
          <w:rFonts w:ascii="仿宋" w:hAnsi="仿宋" w:cs="仿宋"/>
          <w:highlight w:val="none"/>
        </w:rPr>
      </w:pPr>
      <w:r>
        <w:rPr>
          <w:rFonts w:hint="eastAsia" w:hAnsi="宋体"/>
          <w:b w:val="0"/>
          <w:bCs w:val="0"/>
          <w:color w:val="000000"/>
          <w:highlight w:val="none"/>
        </w:rPr>
        <w:t>（8）投标人须认可招标人的工作指令，包括节、假日能正常开展工作的要求。</w:t>
      </w:r>
    </w:p>
    <w:p>
      <w:pPr>
        <w:pStyle w:val="54"/>
        <w:ind w:firstLine="482"/>
        <w:rPr>
          <w:rFonts w:ascii="仿宋" w:hAnsi="仿宋" w:cs="仿宋"/>
          <w:b/>
          <w:color w:val="000000"/>
          <w:highlight w:val="none"/>
        </w:rPr>
      </w:pPr>
      <w:r>
        <w:rPr>
          <w:rFonts w:hint="eastAsia" w:ascii="仿宋" w:hAnsi="仿宋" w:cs="仿宋"/>
          <w:b/>
          <w:color w:val="000000"/>
          <w:highlight w:val="none"/>
        </w:rPr>
        <w:t>☆注：</w:t>
      </w:r>
    </w:p>
    <w:p>
      <w:pPr>
        <w:pStyle w:val="2"/>
        <w:numPr>
          <w:ilvl w:val="0"/>
          <w:numId w:val="5"/>
        </w:numPr>
        <w:spacing w:line="360" w:lineRule="auto"/>
        <w:rPr>
          <w:rFonts w:ascii="仿宋" w:hAnsi="仿宋" w:eastAsia="仿宋" w:cs="仿宋"/>
          <w:color w:val="000000"/>
          <w:sz w:val="24"/>
          <w:szCs w:val="24"/>
          <w:highlight w:val="none"/>
        </w:rPr>
      </w:pPr>
      <w:r>
        <w:rPr>
          <w:rFonts w:hint="eastAsia" w:ascii="仿宋" w:hAnsi="仿宋" w:eastAsia="仿宋" w:cs="仿宋"/>
          <w:b/>
          <w:color w:val="000000"/>
          <w:sz w:val="24"/>
          <w:szCs w:val="24"/>
          <w:highlight w:val="none"/>
        </w:rPr>
        <w:t>如果是授权委托人投标，</w:t>
      </w:r>
      <w:r>
        <w:rPr>
          <w:rFonts w:hint="eastAsia" w:ascii="仿宋" w:hAnsi="仿宋" w:eastAsia="仿宋" w:cs="仿宋"/>
          <w:bCs/>
          <w:color w:val="000000"/>
          <w:sz w:val="24"/>
          <w:szCs w:val="24"/>
          <w:highlight w:val="none"/>
        </w:rPr>
        <w:t>需</w:t>
      </w:r>
      <w:r>
        <w:rPr>
          <w:rFonts w:hint="eastAsia" w:ascii="仿宋" w:hAnsi="仿宋" w:eastAsia="仿宋" w:cs="仿宋"/>
          <w:color w:val="000000"/>
          <w:sz w:val="24"/>
          <w:szCs w:val="24"/>
          <w:highlight w:val="none"/>
        </w:rPr>
        <w:t>携带三证合一的营业执照副本原件和复印件、法人授权委托书、身份证原件参加开标会议，否则视为弃标；</w:t>
      </w:r>
    </w:p>
    <w:p>
      <w:pPr>
        <w:pStyle w:val="2"/>
        <w:numPr>
          <w:ilvl w:val="0"/>
          <w:numId w:val="5"/>
        </w:numPr>
        <w:spacing w:line="360" w:lineRule="auto"/>
        <w:rPr>
          <w:rFonts w:ascii="仿宋" w:hAnsi="仿宋" w:eastAsia="仿宋" w:cs="仿宋"/>
          <w:b/>
          <w:color w:val="000000"/>
          <w:sz w:val="24"/>
          <w:szCs w:val="24"/>
          <w:highlight w:val="none"/>
        </w:rPr>
      </w:pPr>
      <w:r>
        <w:rPr>
          <w:rFonts w:hint="eastAsia" w:ascii="仿宋" w:hAnsi="仿宋" w:eastAsia="仿宋" w:cs="仿宋"/>
          <w:b/>
          <w:color w:val="000000"/>
          <w:sz w:val="24"/>
          <w:szCs w:val="24"/>
          <w:highlight w:val="none"/>
        </w:rPr>
        <w:t>如果是法人参加投标</w:t>
      </w:r>
      <w:r>
        <w:rPr>
          <w:rFonts w:hint="eastAsia" w:ascii="仿宋" w:hAnsi="仿宋" w:eastAsia="仿宋" w:cs="仿宋"/>
          <w:color w:val="000000"/>
          <w:sz w:val="24"/>
          <w:szCs w:val="24"/>
          <w:highlight w:val="none"/>
        </w:rPr>
        <w:t>，</w:t>
      </w:r>
      <w:r>
        <w:rPr>
          <w:rFonts w:hint="eastAsia" w:ascii="仿宋" w:hAnsi="仿宋" w:eastAsia="仿宋" w:cs="仿宋"/>
          <w:bCs/>
          <w:color w:val="000000"/>
          <w:sz w:val="24"/>
          <w:szCs w:val="24"/>
          <w:highlight w:val="none"/>
        </w:rPr>
        <w:t>需</w:t>
      </w:r>
      <w:r>
        <w:rPr>
          <w:rFonts w:hint="eastAsia" w:ascii="仿宋" w:hAnsi="仿宋" w:eastAsia="仿宋" w:cs="仿宋"/>
          <w:color w:val="000000"/>
          <w:sz w:val="24"/>
          <w:szCs w:val="24"/>
          <w:highlight w:val="none"/>
        </w:rPr>
        <w:t>携带要携带三证合一的营业执照副本原件和复印件、</w:t>
      </w:r>
      <w:r>
        <w:rPr>
          <w:rFonts w:hint="eastAsia" w:ascii="仿宋" w:hAnsi="仿宋" w:eastAsia="仿宋" w:cs="仿宋"/>
          <w:color w:val="000000"/>
          <w:sz w:val="24"/>
          <w:szCs w:val="24"/>
          <w:highlight w:val="none"/>
          <w:lang w:eastAsia="zh-CN"/>
        </w:rPr>
        <w:t>法定代表人</w:t>
      </w:r>
      <w:r>
        <w:rPr>
          <w:rFonts w:hint="eastAsia" w:ascii="仿宋" w:hAnsi="仿宋" w:eastAsia="仿宋" w:cs="仿宋"/>
          <w:color w:val="000000"/>
          <w:sz w:val="24"/>
          <w:szCs w:val="24"/>
          <w:highlight w:val="none"/>
        </w:rPr>
        <w:t>证明原件、身份证原件参加开标会议，否则视为弃标；</w:t>
      </w:r>
    </w:p>
    <w:p>
      <w:pPr>
        <w:pStyle w:val="2"/>
        <w:numPr>
          <w:ilvl w:val="0"/>
          <w:numId w:val="5"/>
        </w:numPr>
        <w:spacing w:line="360" w:lineRule="auto"/>
        <w:rPr>
          <w:rFonts w:hAnsi="宋体"/>
          <w:color w:val="000000"/>
          <w:sz w:val="24"/>
          <w:szCs w:val="24"/>
          <w:highlight w:val="none"/>
        </w:rPr>
      </w:pPr>
      <w:r>
        <w:rPr>
          <w:rFonts w:hint="eastAsia" w:hAnsi="宋体"/>
          <w:b/>
          <w:color w:val="000000"/>
          <w:sz w:val="24"/>
          <w:szCs w:val="24"/>
          <w:highlight w:val="none"/>
        </w:rPr>
        <w:t>如果是代理商投标</w:t>
      </w:r>
      <w:r>
        <w:rPr>
          <w:rFonts w:hint="eastAsia" w:hAnsi="宋体"/>
          <w:color w:val="000000"/>
          <w:sz w:val="24"/>
          <w:szCs w:val="24"/>
          <w:highlight w:val="none"/>
        </w:rPr>
        <w:t>，</w:t>
      </w:r>
      <w:r>
        <w:rPr>
          <w:rFonts w:hint="eastAsia" w:ascii="仿宋" w:hAnsi="仿宋" w:eastAsia="仿宋" w:cs="仿宋"/>
          <w:color w:val="000000"/>
          <w:sz w:val="24"/>
          <w:szCs w:val="24"/>
          <w:highlight w:val="none"/>
        </w:rPr>
        <w:t>除上述a)b</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中要求的资料，要另外携带生产商的授权书、原厂售后服务承诺书参加开标会议，否则视为弃标。</w:t>
      </w:r>
    </w:p>
    <w:p>
      <w:pPr>
        <w:pStyle w:val="50"/>
        <w:rPr>
          <w:color w:val="auto"/>
          <w:highlight w:val="none"/>
        </w:rPr>
      </w:pPr>
      <w:bookmarkStart w:id="8" w:name="_Toc22862"/>
      <w:r>
        <w:rPr>
          <w:rFonts w:hint="eastAsia"/>
          <w:color w:val="auto"/>
          <w:highlight w:val="none"/>
        </w:rPr>
        <w:t>3、报价</w:t>
      </w:r>
      <w:bookmarkEnd w:id="8"/>
    </w:p>
    <w:p>
      <w:pPr>
        <w:pStyle w:val="54"/>
        <w:rPr>
          <w:rFonts w:ascii="仿宋" w:hAnsi="仿宋" w:cs="仿宋"/>
          <w:b/>
          <w:color w:val="000000"/>
          <w:highlight w:val="none"/>
        </w:rPr>
      </w:pPr>
      <w:r>
        <w:rPr>
          <w:rFonts w:hint="eastAsia" w:ascii="仿宋" w:hAnsi="仿宋" w:cs="仿宋"/>
          <w:highlight w:val="none"/>
        </w:rPr>
        <w:t>（1）本次招投标为</w:t>
      </w:r>
      <w:r>
        <w:rPr>
          <w:rFonts w:hint="eastAsia" w:ascii="仿宋" w:hAnsi="仿宋" w:cs="仿宋"/>
          <w:highlight w:val="none"/>
          <w:lang w:eastAsia="zh-CN"/>
        </w:rPr>
        <w:t>公开招标</w:t>
      </w:r>
      <w:r>
        <w:rPr>
          <w:rFonts w:hint="eastAsia" w:ascii="仿宋" w:hAnsi="仿宋" w:cs="仿宋"/>
          <w:highlight w:val="none"/>
        </w:rPr>
        <w:t>，</w:t>
      </w:r>
      <w:r>
        <w:rPr>
          <w:rFonts w:hint="eastAsia" w:ascii="仿宋" w:hAnsi="仿宋" w:cs="仿宋"/>
          <w:b/>
          <w:bCs/>
          <w:highlight w:val="none"/>
        </w:rPr>
        <w:t>招标人有权根据各项目情况，采取多级评标模式。</w:t>
      </w:r>
      <w:r>
        <w:rPr>
          <w:rFonts w:hint="eastAsia" w:ascii="仿宋" w:hAnsi="仿宋" w:cs="仿宋"/>
          <w:b/>
          <w:color w:val="000000"/>
          <w:highlight w:val="none"/>
        </w:rPr>
        <w:t>评标流程以及规则详细见通知公告→六、评标。</w:t>
      </w:r>
    </w:p>
    <w:p>
      <w:pPr>
        <w:pStyle w:val="54"/>
        <w:rPr>
          <w:rFonts w:ascii="仿宋" w:hAnsi="仿宋" w:cs="仿宋"/>
          <w:b/>
          <w:color w:val="000000"/>
          <w:highlight w:val="none"/>
        </w:rPr>
      </w:pPr>
      <w:r>
        <w:rPr>
          <w:rFonts w:hint="eastAsia" w:ascii="仿宋" w:hAnsi="仿宋" w:cs="仿宋"/>
          <w:highlight w:val="none"/>
        </w:rPr>
        <w:t>经与招标人或其指派的答疑人员充分沟通确认基础上，由投标人在满足招标人所提出的、与各项目所有相关环节有关的所有费用。</w:t>
      </w:r>
    </w:p>
    <w:p>
      <w:pPr>
        <w:pStyle w:val="54"/>
        <w:numPr>
          <w:ilvl w:val="0"/>
          <w:numId w:val="6"/>
        </w:numPr>
        <w:rPr>
          <w:rFonts w:ascii="仿宋" w:hAnsi="仿宋" w:cs="仿宋"/>
          <w:highlight w:val="none"/>
        </w:rPr>
      </w:pPr>
      <w:r>
        <w:rPr>
          <w:rFonts w:hint="eastAsia" w:ascii="仿宋" w:hAnsi="仿宋" w:cs="仿宋"/>
          <w:color w:val="000000" w:themeColor="text1"/>
          <w:highlight w:val="none"/>
          <w14:textFill>
            <w14:solidFill>
              <w14:schemeClr w14:val="tx1"/>
            </w14:solidFill>
          </w14:textFill>
        </w:rPr>
        <w:t>“投标报价明细”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附件7</w:t>
      </w:r>
      <w:r>
        <w:rPr>
          <w:rFonts w:hint="eastAsia" w:ascii="仿宋" w:hAnsi="仿宋" w:eastAsia="仿宋" w:cs="仿宋"/>
          <w:sz w:val="24"/>
          <w:szCs w:val="24"/>
          <w:highlight w:val="none"/>
          <w:lang w:eastAsia="zh-CN"/>
        </w:rPr>
        <w:t>）</w:t>
      </w:r>
      <w:r>
        <w:rPr>
          <w:rFonts w:hint="eastAsia" w:ascii="仿宋" w:hAnsi="仿宋" w:cs="仿宋"/>
          <w:color w:val="000000" w:themeColor="text1"/>
          <w:highlight w:val="none"/>
          <w14:textFill>
            <w14:solidFill>
              <w14:schemeClr w14:val="tx1"/>
            </w14:solidFill>
          </w14:textFill>
        </w:rPr>
        <w:t>中列出</w:t>
      </w:r>
      <w:r>
        <w:rPr>
          <w:rFonts w:hint="eastAsia" w:ascii="仿宋" w:hAnsi="仿宋" w:cs="仿宋"/>
          <w:b/>
          <w:bCs w:val="0"/>
          <w:highlight w:val="none"/>
        </w:rPr>
        <w:t>项目</w:t>
      </w:r>
      <w:r>
        <w:rPr>
          <w:rFonts w:hint="eastAsia" w:ascii="仿宋" w:hAnsi="仿宋" w:cs="仿宋"/>
          <w:b/>
          <w:bCs w:val="0"/>
          <w:highlight w:val="none"/>
          <w:lang w:val="en-US" w:eastAsia="zh-CN"/>
        </w:rPr>
        <w:t>涉及的所有</w:t>
      </w:r>
      <w:r>
        <w:rPr>
          <w:rFonts w:hint="eastAsia" w:ascii="仿宋" w:hAnsi="仿宋" w:cs="仿宋"/>
          <w:b/>
          <w:bCs w:val="0"/>
          <w:highlight w:val="none"/>
        </w:rPr>
        <w:t>明细</w:t>
      </w:r>
      <w:r>
        <w:rPr>
          <w:rFonts w:hint="eastAsia" w:ascii="仿宋" w:hAnsi="仿宋" w:cs="仿宋"/>
          <w:b/>
          <w:bCs w:val="0"/>
          <w:color w:val="000000" w:themeColor="text1"/>
          <w:highlight w:val="none"/>
          <w14:textFill>
            <w14:solidFill>
              <w14:schemeClr w14:val="tx1"/>
            </w14:solidFill>
          </w14:textFill>
        </w:rPr>
        <w:t>及费用单价</w:t>
      </w:r>
      <w:r>
        <w:rPr>
          <w:rFonts w:hint="eastAsia" w:ascii="仿宋" w:hAnsi="仿宋" w:cs="仿宋"/>
          <w:b/>
          <w:bCs w:val="0"/>
          <w:color w:val="000000" w:themeColor="text1"/>
          <w:highlight w:val="none"/>
          <w:lang w:eastAsia="zh-CN"/>
          <w14:textFill>
            <w14:solidFill>
              <w14:schemeClr w14:val="tx1"/>
            </w14:solidFill>
          </w14:textFill>
        </w:rPr>
        <w:t>，</w:t>
      </w:r>
      <w:r>
        <w:rPr>
          <w:rFonts w:hint="eastAsia" w:ascii="仿宋" w:hAnsi="仿宋" w:cs="仿宋"/>
          <w:b/>
          <w:bCs w:val="0"/>
          <w:color w:val="000000" w:themeColor="text1"/>
          <w:highlight w:val="none"/>
          <w:lang w:val="en-US" w:eastAsia="zh-CN"/>
          <w14:textFill>
            <w14:solidFill>
              <w14:schemeClr w14:val="tx1"/>
            </w14:solidFill>
          </w14:textFill>
        </w:rPr>
        <w:t>所有报价应为该场地向社会公布的各单项价格同比例调整而来。</w:t>
      </w:r>
    </w:p>
    <w:p>
      <w:pPr>
        <w:pStyle w:val="54"/>
        <w:numPr>
          <w:ilvl w:val="0"/>
          <w:numId w:val="6"/>
        </w:numPr>
        <w:rPr>
          <w:rFonts w:ascii="仿宋" w:hAnsi="仿宋" w:cs="仿宋"/>
          <w:highlight w:val="none"/>
        </w:rPr>
      </w:pPr>
      <w:r>
        <w:rPr>
          <w:rFonts w:hint="eastAsia" w:ascii="仿宋" w:hAnsi="仿宋" w:cs="仿宋"/>
          <w:highlight w:val="none"/>
        </w:rPr>
        <w:t>所有报价货币单位为：（人民币）元（报不含税价并注明税率）。</w:t>
      </w:r>
    </w:p>
    <w:p>
      <w:pPr>
        <w:pStyle w:val="2"/>
        <w:spacing w:line="360" w:lineRule="auto"/>
        <w:ind w:firstLine="482" w:firstLineChars="200"/>
        <w:rPr>
          <w:b/>
          <w:sz w:val="24"/>
          <w:szCs w:val="24"/>
          <w:highlight w:val="none"/>
        </w:rPr>
      </w:pPr>
      <w:r>
        <w:rPr>
          <w:rFonts w:hint="eastAsia" w:ascii="Times New Roman" w:hAnsi="Times New Roman"/>
          <w:b/>
          <w:bCs/>
          <w:sz w:val="24"/>
          <w:szCs w:val="24"/>
          <w:highlight w:val="none"/>
        </w:rPr>
        <w:t>4、</w:t>
      </w:r>
      <w:r>
        <w:rPr>
          <w:rFonts w:hint="eastAsia"/>
          <w:b/>
          <w:sz w:val="24"/>
          <w:szCs w:val="24"/>
          <w:highlight w:val="none"/>
        </w:rPr>
        <w:t>技术规范及服务</w:t>
      </w:r>
    </w:p>
    <w:p>
      <w:pPr>
        <w:pStyle w:val="2"/>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（1）投标人应与招标人指派的答疑人员充分沟通，理解认可并接受相关技术规范及服务要求。</w:t>
      </w:r>
    </w:p>
    <w:p>
      <w:pPr>
        <w:pStyle w:val="2"/>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（2）投标人可免费提供的、包含但不限于招标人所要求的其他相关服务内容，可在“</w:t>
      </w:r>
      <w:r>
        <w:rPr>
          <w:rFonts w:hint="eastAsia" w:ascii="仿宋" w:hAnsi="仿宋" w:eastAsia="仿宋" w:cs="仿宋"/>
          <w:sz w:val="24"/>
          <w:szCs w:val="24"/>
          <w:highlight w:val="none"/>
          <w:lang w:val="en-US" w:eastAsia="zh-CN"/>
        </w:rPr>
        <w:t>投标报价明细表</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附件7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中一并说明。</w:t>
      </w:r>
    </w:p>
    <w:p>
      <w:pPr>
        <w:pStyle w:val="50"/>
        <w:rPr>
          <w:rFonts w:ascii="仿宋" w:hAnsi="仿宋" w:cs="仿宋"/>
          <w:highlight w:val="none"/>
        </w:rPr>
      </w:pPr>
      <w:bookmarkStart w:id="9" w:name="_Toc3874"/>
      <w:r>
        <w:rPr>
          <w:rFonts w:hint="eastAsia"/>
          <w:color w:val="auto"/>
          <w:highlight w:val="none"/>
        </w:rPr>
        <w:t>5、配</w:t>
      </w:r>
      <w:r>
        <w:rPr>
          <w:rFonts w:hint="eastAsia" w:ascii="仿宋" w:hAnsi="仿宋" w:cs="仿宋"/>
          <w:highlight w:val="none"/>
        </w:rPr>
        <w:t>合说明</w:t>
      </w:r>
      <w:bookmarkEnd w:id="9"/>
    </w:p>
    <w:p>
      <w:pPr>
        <w:pStyle w:val="54"/>
        <w:rPr>
          <w:rFonts w:ascii="仿宋" w:hAnsi="仿宋" w:cs="仿宋"/>
          <w:highlight w:val="none"/>
        </w:rPr>
      </w:pPr>
      <w:r>
        <w:rPr>
          <w:rFonts w:hint="eastAsia" w:ascii="仿宋" w:hAnsi="仿宋" w:cs="仿宋"/>
          <w:highlight w:val="none"/>
        </w:rPr>
        <w:t>投标人要求招标人或相关合同签订单位提供的何种配合，需在标书中说明。</w:t>
      </w:r>
    </w:p>
    <w:p>
      <w:pPr>
        <w:pStyle w:val="50"/>
        <w:rPr>
          <w:color w:val="auto"/>
          <w:highlight w:val="none"/>
        </w:rPr>
      </w:pPr>
      <w:bookmarkStart w:id="10" w:name="_Toc7805"/>
      <w:r>
        <w:rPr>
          <w:rFonts w:hint="eastAsia"/>
          <w:color w:val="auto"/>
          <w:highlight w:val="none"/>
        </w:rPr>
        <w:t>6、询标</w:t>
      </w:r>
      <w:bookmarkEnd w:id="10"/>
    </w:p>
    <w:p>
      <w:pPr>
        <w:pStyle w:val="54"/>
        <w:rPr>
          <w:rFonts w:ascii="仿宋" w:hAnsi="仿宋" w:cs="仿宋"/>
          <w:highlight w:val="none"/>
        </w:rPr>
      </w:pPr>
      <w:r>
        <w:rPr>
          <w:rFonts w:hint="eastAsia" w:ascii="仿宋" w:hAnsi="仿宋" w:cs="仿宋"/>
          <w:highlight w:val="none"/>
        </w:rPr>
        <w:t>凡对本次招标提出的询问，均以招标方的书面答复为准。</w:t>
      </w:r>
    </w:p>
    <w:p>
      <w:pPr>
        <w:pStyle w:val="50"/>
        <w:rPr>
          <w:color w:val="auto"/>
          <w:highlight w:val="none"/>
        </w:rPr>
      </w:pPr>
      <w:bookmarkStart w:id="11" w:name="_Toc20503"/>
      <w:r>
        <w:rPr>
          <w:rFonts w:hint="eastAsia"/>
          <w:color w:val="auto"/>
          <w:highlight w:val="none"/>
        </w:rPr>
        <w:t>7、投标文件的编制</w:t>
      </w:r>
      <w:bookmarkEnd w:id="11"/>
    </w:p>
    <w:p>
      <w:pPr>
        <w:pStyle w:val="54"/>
        <w:rPr>
          <w:rFonts w:ascii="仿宋" w:hAnsi="仿宋" w:cs="仿宋"/>
          <w:highlight w:val="none"/>
        </w:rPr>
      </w:pPr>
      <w:r>
        <w:rPr>
          <w:rFonts w:hint="eastAsia" w:ascii="仿宋" w:hAnsi="仿宋" w:cs="仿宋"/>
          <w:highlight w:val="none"/>
        </w:rPr>
        <w:t>（1）投标文件和与投标有关的所有文件均应使用中文。</w:t>
      </w:r>
    </w:p>
    <w:p>
      <w:pPr>
        <w:pStyle w:val="54"/>
        <w:rPr>
          <w:rFonts w:ascii="仿宋" w:hAnsi="仿宋" w:cs="仿宋"/>
          <w:highlight w:val="none"/>
        </w:rPr>
      </w:pPr>
      <w:r>
        <w:rPr>
          <w:rFonts w:hint="eastAsia" w:ascii="仿宋" w:hAnsi="仿宋" w:cs="仿宋"/>
          <w:highlight w:val="none"/>
        </w:rPr>
        <w:t>（2）除投标文件的技术服务规格中另有规定外，投标文件中所使用的计量单位应为中华人民共和国法定计量单位。</w:t>
      </w:r>
    </w:p>
    <w:p>
      <w:pPr>
        <w:pStyle w:val="50"/>
        <w:rPr>
          <w:color w:val="auto"/>
          <w:highlight w:val="none"/>
        </w:rPr>
      </w:pPr>
      <w:bookmarkStart w:id="12" w:name="_Toc1463"/>
      <w:r>
        <w:rPr>
          <w:rFonts w:hint="eastAsia"/>
          <w:color w:val="auto"/>
          <w:highlight w:val="none"/>
        </w:rPr>
        <w:t>8、投标文件的组成</w:t>
      </w:r>
      <w:bookmarkEnd w:id="12"/>
    </w:p>
    <w:p>
      <w:pPr>
        <w:pStyle w:val="54"/>
        <w:rPr>
          <w:rFonts w:ascii="仿宋" w:hAnsi="仿宋" w:cs="仿宋"/>
          <w:highlight w:val="none"/>
        </w:rPr>
      </w:pPr>
      <w:r>
        <w:rPr>
          <w:rFonts w:hint="eastAsia" w:ascii="仿宋" w:hAnsi="仿宋" w:cs="仿宋"/>
          <w:highlight w:val="none"/>
        </w:rPr>
        <w:t>各项目投标文件商务标书、技术标书、资质文件一起封装。</w:t>
      </w:r>
    </w:p>
    <w:p>
      <w:pPr>
        <w:pStyle w:val="54"/>
        <w:rPr>
          <w:rFonts w:ascii="仿宋" w:hAnsi="仿宋" w:cs="仿宋"/>
          <w:b/>
          <w:highlight w:val="none"/>
        </w:rPr>
      </w:pPr>
      <w:r>
        <w:rPr>
          <w:rFonts w:hint="eastAsia" w:ascii="仿宋" w:hAnsi="仿宋" w:cs="仿宋"/>
          <w:highlight w:val="none"/>
        </w:rPr>
        <w:t>各项目投标文件做成一式</w:t>
      </w:r>
      <w:r>
        <w:rPr>
          <w:rFonts w:hint="eastAsia" w:ascii="仿宋" w:hAnsi="仿宋" w:cs="仿宋"/>
          <w:highlight w:val="none"/>
          <w:lang w:val="en-US" w:eastAsia="zh-CN"/>
        </w:rPr>
        <w:t>8</w:t>
      </w:r>
      <w:r>
        <w:rPr>
          <w:rFonts w:hint="eastAsia" w:ascii="仿宋" w:hAnsi="仿宋" w:cs="仿宋"/>
          <w:highlight w:val="none"/>
        </w:rPr>
        <w:t>份，正本</w:t>
      </w:r>
      <w:r>
        <w:rPr>
          <w:rFonts w:hint="eastAsia" w:ascii="仿宋" w:hAnsi="仿宋" w:cs="仿宋"/>
          <w:highlight w:val="none"/>
          <w:lang w:val="en-US" w:eastAsia="zh-CN"/>
        </w:rPr>
        <w:t>1</w:t>
      </w:r>
      <w:r>
        <w:rPr>
          <w:rFonts w:hint="eastAsia" w:ascii="仿宋" w:hAnsi="仿宋" w:cs="仿宋"/>
          <w:highlight w:val="none"/>
        </w:rPr>
        <w:t>份，副本</w:t>
      </w:r>
      <w:r>
        <w:rPr>
          <w:rFonts w:hint="eastAsia" w:ascii="仿宋" w:hAnsi="仿宋" w:cs="仿宋"/>
          <w:highlight w:val="none"/>
          <w:lang w:val="en-US" w:eastAsia="zh-CN"/>
        </w:rPr>
        <w:t>7</w:t>
      </w:r>
      <w:r>
        <w:rPr>
          <w:rFonts w:hint="eastAsia" w:ascii="仿宋" w:hAnsi="仿宋" w:cs="仿宋"/>
          <w:highlight w:val="none"/>
        </w:rPr>
        <w:t>份。</w:t>
      </w:r>
      <w:r>
        <w:rPr>
          <w:highlight w:val="none"/>
        </w:rPr>
        <w:fldChar w:fldCharType="begin"/>
      </w:r>
      <w:r>
        <w:rPr>
          <w:highlight w:val="none"/>
        </w:rPr>
        <w:instrText xml:space="preserve"> HYPERLINK "mailto:电子版投标文件请开标当天务必发送至zhcongcong@sinotruk.com" </w:instrText>
      </w:r>
      <w:r>
        <w:rPr>
          <w:highlight w:val="none"/>
        </w:rPr>
        <w:fldChar w:fldCharType="separate"/>
      </w:r>
      <w:r>
        <w:rPr>
          <w:rStyle w:val="39"/>
          <w:rFonts w:hint="eastAsia" w:ascii="仿宋" w:hAnsi="仿宋" w:cs="仿宋"/>
          <w:color w:val="auto"/>
          <w:highlight w:val="none"/>
        </w:rPr>
        <w:t>电子版投标文件</w:t>
      </w:r>
      <w:r>
        <w:rPr>
          <w:rStyle w:val="39"/>
          <w:rFonts w:hint="eastAsia" w:ascii="仿宋" w:hAnsi="仿宋" w:cs="仿宋"/>
          <w:color w:val="auto"/>
          <w:highlight w:val="none"/>
          <w:lang w:val="en-US" w:eastAsia="zh-CN"/>
        </w:rPr>
        <w:t>1份</w:t>
      </w:r>
      <w:r>
        <w:rPr>
          <w:rStyle w:val="39"/>
          <w:rFonts w:hint="eastAsia" w:ascii="仿宋" w:hAnsi="仿宋" w:cs="仿宋"/>
          <w:color w:val="auto"/>
          <w:highlight w:val="none"/>
        </w:rPr>
        <w:t>（需保证电子版和纸质版一致性）请开标当天务必发送至</w:t>
      </w:r>
      <w:r>
        <w:rPr>
          <w:rStyle w:val="39"/>
          <w:rFonts w:hint="eastAsia" w:ascii="仿宋" w:hAnsi="仿宋" w:cs="仿宋"/>
          <w:color w:val="auto"/>
          <w:highlight w:val="none"/>
          <w:lang w:val="en-US" w:eastAsia="zh-CN"/>
        </w:rPr>
        <w:t>shenxiaofeng</w:t>
      </w:r>
      <w:r>
        <w:rPr>
          <w:rStyle w:val="39"/>
          <w:rFonts w:hint="eastAsia" w:ascii="仿宋" w:hAnsi="仿宋" w:cs="仿宋"/>
          <w:color w:val="auto"/>
          <w:highlight w:val="none"/>
        </w:rPr>
        <w:t>@sinotruk.com</w:t>
      </w:r>
      <w:r>
        <w:rPr>
          <w:rStyle w:val="39"/>
          <w:rFonts w:hint="eastAsia" w:ascii="仿宋" w:hAnsi="仿宋" w:cs="仿宋"/>
          <w:color w:val="auto"/>
          <w:highlight w:val="none"/>
        </w:rPr>
        <w:fldChar w:fldCharType="end"/>
      </w:r>
      <w:r>
        <w:rPr>
          <w:rFonts w:hint="eastAsia" w:ascii="仿宋" w:hAnsi="仿宋" w:cs="仿宋"/>
          <w:highlight w:val="none"/>
        </w:rPr>
        <w:t>。</w:t>
      </w:r>
      <w:r>
        <w:rPr>
          <w:rFonts w:hint="eastAsia" w:ascii="仿宋" w:hAnsi="仿宋" w:cs="仿宋"/>
          <w:bCs/>
          <w:highlight w:val="none"/>
        </w:rPr>
        <w:t>若为现场开标，营业执照和授权书需在开标现场出示；若为视频开标，则需呈现在视频端。</w:t>
      </w:r>
      <w:r>
        <w:rPr>
          <w:rFonts w:hint="eastAsia" w:ascii="仿宋" w:hAnsi="仿宋" w:cs="仿宋"/>
          <w:highlight w:val="none"/>
        </w:rPr>
        <w:t>若没有携带营业执照原件，将根据现场所有参与开标的投标单位和专家共同判定得出认可情况</w:t>
      </w:r>
      <w:r>
        <w:rPr>
          <w:rFonts w:hint="eastAsia" w:ascii="仿宋" w:hAnsi="仿宋" w:cs="仿宋"/>
          <w:bCs/>
          <w:highlight w:val="none"/>
        </w:rPr>
        <w:t>。</w:t>
      </w:r>
      <w:r>
        <w:rPr>
          <w:rFonts w:hint="eastAsia" w:ascii="仿宋" w:hAnsi="仿宋" w:cs="仿宋"/>
          <w:highlight w:val="none"/>
        </w:rPr>
        <w:t>详见附件格式1-9</w:t>
      </w:r>
      <w:r>
        <w:rPr>
          <w:rFonts w:hint="eastAsia" w:ascii="仿宋" w:hAnsi="仿宋" w:cs="仿宋"/>
          <w:bCs/>
          <w:highlight w:val="none"/>
        </w:rPr>
        <w:t>，其余未尽事宜请按各单位习惯制定即可。</w:t>
      </w:r>
    </w:p>
    <w:p>
      <w:pPr>
        <w:pStyle w:val="54"/>
        <w:ind w:firstLine="482"/>
        <w:rPr>
          <w:rFonts w:ascii="宋体" w:hAnsi="宋体" w:eastAsia="宋体"/>
          <w:b/>
          <w:bCs/>
          <w:szCs w:val="20"/>
          <w:highlight w:val="none"/>
        </w:rPr>
      </w:pPr>
      <w:bookmarkStart w:id="13" w:name="_Toc212369516"/>
      <w:r>
        <w:rPr>
          <w:rFonts w:hint="eastAsia" w:ascii="宋体" w:hAnsi="宋体" w:eastAsia="宋体"/>
          <w:b/>
          <w:bCs/>
          <w:szCs w:val="20"/>
          <w:highlight w:val="none"/>
        </w:rPr>
        <w:t>8</w:t>
      </w:r>
      <w:r>
        <w:rPr>
          <w:rFonts w:ascii="宋体" w:hAnsi="宋体" w:eastAsia="宋体"/>
          <w:b/>
          <w:bCs/>
          <w:szCs w:val="20"/>
          <w:highlight w:val="none"/>
        </w:rPr>
        <w:t>.1</w:t>
      </w:r>
      <w:r>
        <w:rPr>
          <w:rFonts w:hint="eastAsia" w:ascii="宋体" w:hAnsi="宋体" w:eastAsia="宋体"/>
          <w:b/>
          <w:bCs/>
          <w:szCs w:val="20"/>
          <w:highlight w:val="none"/>
        </w:rPr>
        <w:t>资</w:t>
      </w:r>
      <w:r>
        <w:rPr>
          <w:rFonts w:hint="eastAsia" w:ascii="宋体" w:hAnsi="宋体" w:eastAsia="宋体"/>
          <w:b/>
          <w:bCs/>
          <w:szCs w:val="20"/>
          <w:highlight w:val="none"/>
          <w:lang w:val="en-US" w:eastAsia="zh-CN"/>
        </w:rPr>
        <w:t>质</w:t>
      </w:r>
      <w:r>
        <w:rPr>
          <w:rFonts w:hint="eastAsia" w:ascii="宋体" w:hAnsi="宋体" w:eastAsia="宋体"/>
          <w:b/>
          <w:bCs/>
          <w:szCs w:val="20"/>
          <w:highlight w:val="none"/>
        </w:rPr>
        <w:t>证明文件包括：</w:t>
      </w:r>
      <w:bookmarkEnd w:id="13"/>
    </w:p>
    <w:p>
      <w:pPr>
        <w:pStyle w:val="54"/>
        <w:rPr>
          <w:rFonts w:ascii="仿宋" w:hAnsi="仿宋" w:cs="仿宋"/>
          <w:highlight w:val="none"/>
        </w:rPr>
      </w:pPr>
      <w:r>
        <w:rPr>
          <w:rFonts w:hint="eastAsia" w:ascii="仿宋" w:hAnsi="仿宋" w:cs="仿宋"/>
          <w:highlight w:val="none"/>
        </w:rPr>
        <w:t>（1）三证合一的新版营业执照副本复印件；</w:t>
      </w:r>
    </w:p>
    <w:p>
      <w:pPr>
        <w:pStyle w:val="54"/>
        <w:rPr>
          <w:rFonts w:ascii="仿宋" w:hAnsi="仿宋" w:cs="仿宋"/>
          <w:highlight w:val="none"/>
        </w:rPr>
      </w:pPr>
      <w:r>
        <w:rPr>
          <w:rFonts w:hint="eastAsia" w:ascii="仿宋" w:hAnsi="仿宋" w:cs="仿宋"/>
          <w:highlight w:val="none"/>
        </w:rPr>
        <w:t>（2）投标函（附件1）；</w:t>
      </w:r>
    </w:p>
    <w:p>
      <w:pPr>
        <w:pStyle w:val="54"/>
        <w:rPr>
          <w:rFonts w:ascii="仿宋" w:hAnsi="仿宋" w:cs="仿宋"/>
          <w:highlight w:val="none"/>
        </w:rPr>
      </w:pPr>
      <w:r>
        <w:rPr>
          <w:rFonts w:hint="eastAsia" w:ascii="仿宋" w:hAnsi="仿宋" w:cs="仿宋"/>
          <w:highlight w:val="none"/>
        </w:rPr>
        <w:t>（3）法定代表人授权书（附件2）；授权人参加投标的，需提供法定代表人授权委托书</w:t>
      </w:r>
      <w:r>
        <w:rPr>
          <w:rFonts w:hint="eastAsia" w:ascii="仿宋" w:hAnsi="仿宋" w:cs="仿宋"/>
          <w:bCs/>
          <w:highlight w:val="none"/>
        </w:rPr>
        <w:t>（含法人身份证和被授权人身份证）；</w:t>
      </w:r>
    </w:p>
    <w:p>
      <w:pPr>
        <w:pStyle w:val="53"/>
        <w:rPr>
          <w:b/>
          <w:highlight w:val="none"/>
        </w:rPr>
      </w:pPr>
      <w:r>
        <w:rPr>
          <w:rFonts w:hint="eastAsia"/>
          <w:highlight w:val="none"/>
        </w:rPr>
        <w:t>（</w:t>
      </w:r>
      <w:r>
        <w:rPr>
          <w:highlight w:val="none"/>
        </w:rPr>
        <w:t>4</w:t>
      </w:r>
      <w:r>
        <w:rPr>
          <w:rFonts w:hint="eastAsia"/>
          <w:highlight w:val="none"/>
        </w:rPr>
        <w:t>）与公司成立年数相符年份（成立三年以上的提供近三年即可）的财务报表（资产负债表、损益表、现金流量表）复印件；</w:t>
      </w:r>
    </w:p>
    <w:p>
      <w:pPr>
        <w:pStyle w:val="53"/>
        <w:rPr>
          <w:highlight w:val="none"/>
        </w:rPr>
      </w:pPr>
      <w:r>
        <w:rPr>
          <w:rFonts w:hint="eastAsia"/>
          <w:highlight w:val="none"/>
        </w:rPr>
        <w:t>（</w:t>
      </w:r>
      <w:r>
        <w:rPr>
          <w:highlight w:val="none"/>
        </w:rPr>
        <w:t>5</w:t>
      </w:r>
      <w:r>
        <w:rPr>
          <w:rFonts w:hint="eastAsia"/>
          <w:highlight w:val="none"/>
        </w:rPr>
        <w:t>）与公司成立年数相符年份（成立三年以上的提供近三年即可）内在经营活动中没有违法违纪行为的声明；</w:t>
      </w:r>
    </w:p>
    <w:p>
      <w:pPr>
        <w:pStyle w:val="53"/>
        <w:rPr>
          <w:highlight w:val="none"/>
        </w:rPr>
      </w:pPr>
      <w:r>
        <w:rPr>
          <w:rFonts w:hint="eastAsia"/>
          <w:highlight w:val="none"/>
        </w:rPr>
        <w:t>（</w:t>
      </w:r>
      <w:r>
        <w:rPr>
          <w:highlight w:val="none"/>
        </w:rPr>
        <w:t>6</w:t>
      </w:r>
      <w:r>
        <w:rPr>
          <w:rFonts w:hint="eastAsia"/>
          <w:highlight w:val="none"/>
        </w:rPr>
        <w:t>）投标单位在国家企业信用信息公示系统中无行政处罚、经营异常和失信信息的声明；</w:t>
      </w:r>
    </w:p>
    <w:p>
      <w:pPr>
        <w:pStyle w:val="54"/>
        <w:rPr>
          <w:b/>
          <w:highlight w:val="none"/>
        </w:rPr>
      </w:pPr>
      <w:r>
        <w:rPr>
          <w:rFonts w:hint="eastAsia"/>
          <w:highlight w:val="none"/>
        </w:rPr>
        <w:t>（</w:t>
      </w:r>
      <w:r>
        <w:rPr>
          <w:highlight w:val="none"/>
        </w:rPr>
        <w:t>7</w:t>
      </w:r>
      <w:r>
        <w:rPr>
          <w:rFonts w:hint="eastAsia"/>
          <w:highlight w:val="none"/>
        </w:rPr>
        <w:t>）代理商投标要携带生产商的授权书、原厂售后服务承诺书；</w:t>
      </w:r>
      <w:r>
        <w:rPr>
          <w:rFonts w:hint="eastAsia"/>
          <w:b/>
          <w:highlight w:val="none"/>
        </w:rPr>
        <w:t>根据实际情况提供即可，无格式限制；</w:t>
      </w:r>
    </w:p>
    <w:p>
      <w:pPr>
        <w:pStyle w:val="54"/>
        <w:rPr>
          <w:highlight w:val="none"/>
        </w:rPr>
      </w:pPr>
      <w:r>
        <w:rPr>
          <w:rFonts w:hint="eastAsia"/>
          <w:highlight w:val="none"/>
        </w:rPr>
        <w:t>（</w:t>
      </w:r>
      <w:r>
        <w:rPr>
          <w:highlight w:val="none"/>
        </w:rPr>
        <w:t>8</w:t>
      </w:r>
      <w:r>
        <w:rPr>
          <w:rFonts w:hint="eastAsia"/>
          <w:highlight w:val="none"/>
        </w:rPr>
        <w:t>）税务部门开具的依法缴纳税收的证明（如有）；</w:t>
      </w:r>
    </w:p>
    <w:p>
      <w:pPr>
        <w:spacing w:line="460" w:lineRule="exact"/>
        <w:ind w:firstLine="482" w:firstLineChars="200"/>
        <w:rPr>
          <w:rFonts w:ascii="宋体" w:hAnsi="宋体"/>
          <w:b/>
          <w:bCs/>
          <w:sz w:val="24"/>
          <w:highlight w:val="none"/>
        </w:rPr>
      </w:pPr>
      <w:bookmarkStart w:id="14" w:name="_Toc212369515"/>
      <w:r>
        <w:rPr>
          <w:rFonts w:hint="eastAsia" w:ascii="宋体" w:hAnsi="宋体"/>
          <w:b/>
          <w:bCs/>
          <w:sz w:val="24"/>
          <w:highlight w:val="none"/>
        </w:rPr>
        <w:t>8.2技术部分：</w:t>
      </w:r>
      <w:bookmarkEnd w:id="14"/>
    </w:p>
    <w:p>
      <w:pPr>
        <w:pStyle w:val="54"/>
        <w:rPr>
          <w:rFonts w:ascii="仿宋" w:hAnsi="仿宋" w:cs="仿宋"/>
          <w:bCs/>
          <w:highlight w:val="none"/>
        </w:rPr>
      </w:pPr>
      <w:r>
        <w:rPr>
          <w:rFonts w:hint="eastAsia" w:ascii="仿宋" w:hAnsi="仿宋" w:cs="仿宋"/>
          <w:highlight w:val="none"/>
        </w:rPr>
        <w:t>（1）技术规格偏离表（附件3）；</w:t>
      </w:r>
      <w:r>
        <w:rPr>
          <w:rFonts w:hint="eastAsia" w:ascii="仿宋" w:hAnsi="仿宋" w:cs="仿宋"/>
          <w:b/>
          <w:highlight w:val="none"/>
        </w:rPr>
        <w:t>必须先进行两列要求一一对照，不允许直接写无偏离</w:t>
      </w:r>
      <w:r>
        <w:rPr>
          <w:rFonts w:hint="eastAsia" w:ascii="仿宋" w:hAnsi="仿宋" w:cs="仿宋"/>
          <w:bCs/>
          <w:highlight w:val="none"/>
        </w:rPr>
        <w:t>。</w:t>
      </w:r>
    </w:p>
    <w:p>
      <w:pPr>
        <w:pStyle w:val="53"/>
        <w:rPr>
          <w:b/>
          <w:highlight w:val="none"/>
        </w:rPr>
      </w:pPr>
      <w:r>
        <w:rPr>
          <w:rFonts w:hint="eastAsia"/>
          <w:bCs/>
          <w:highlight w:val="none"/>
        </w:rPr>
        <w:t>（</w:t>
      </w:r>
      <w:r>
        <w:rPr>
          <w:bCs/>
          <w:highlight w:val="none"/>
        </w:rPr>
        <w:t>2</w:t>
      </w:r>
      <w:r>
        <w:rPr>
          <w:rFonts w:hint="eastAsia"/>
          <w:bCs/>
          <w:highlight w:val="none"/>
        </w:rPr>
        <w:t>）</w:t>
      </w:r>
      <w:r>
        <w:rPr>
          <w:rFonts w:hint="eastAsia"/>
          <w:highlight w:val="none"/>
        </w:rPr>
        <w:t>与公司成立年数相符年份（成立三年以上的提供近三年即可）同类项目业绩一览表（附件</w:t>
      </w:r>
      <w:r>
        <w:rPr>
          <w:highlight w:val="none"/>
        </w:rPr>
        <w:t>4</w:t>
      </w:r>
      <w:r>
        <w:rPr>
          <w:rFonts w:hint="eastAsia"/>
          <w:highlight w:val="none"/>
        </w:rPr>
        <w:t>）及有效合同复印件；</w:t>
      </w:r>
      <w:r>
        <w:rPr>
          <w:rFonts w:hint="eastAsia" w:ascii="宋体" w:hAnsi="宋体" w:eastAsia="宋体" w:cs="宋体"/>
          <w:b/>
        </w:rPr>
        <w:t>若没有提供相应业绩证明，将影响现场评标专家组对投标单位业绩判定打分。</w:t>
      </w:r>
    </w:p>
    <w:p>
      <w:pPr>
        <w:pStyle w:val="54"/>
        <w:rPr>
          <w:rFonts w:ascii="仿宋" w:hAnsi="仿宋" w:cs="仿宋"/>
          <w:b/>
          <w:highlight w:val="none"/>
        </w:rPr>
      </w:pPr>
      <w:r>
        <w:rPr>
          <w:rFonts w:hint="eastAsia" w:ascii="仿宋" w:hAnsi="仿宋" w:cs="仿宋"/>
          <w:bCs/>
          <w:highlight w:val="none"/>
        </w:rPr>
        <w:t>（3）针对项目的技术服务团队情况（人员数量、姓名、电话、专业资质等）</w:t>
      </w:r>
      <w:r>
        <w:rPr>
          <w:rFonts w:hint="eastAsia" w:ascii="仿宋" w:hAnsi="仿宋" w:cs="仿宋"/>
          <w:highlight w:val="none"/>
        </w:rPr>
        <w:t>；</w:t>
      </w:r>
    </w:p>
    <w:p>
      <w:pPr>
        <w:pStyle w:val="54"/>
        <w:rPr>
          <w:rFonts w:ascii="仿宋" w:hAnsi="仿宋" w:cs="仿宋"/>
          <w:highlight w:val="none"/>
        </w:rPr>
      </w:pPr>
      <w:r>
        <w:rPr>
          <w:rFonts w:hint="eastAsia" w:ascii="仿宋" w:hAnsi="仿宋" w:cs="仿宋"/>
          <w:highlight w:val="none"/>
        </w:rPr>
        <w:t>（4）服务承诺函（附件5）；</w:t>
      </w:r>
    </w:p>
    <w:p>
      <w:pPr>
        <w:pStyle w:val="54"/>
        <w:rPr>
          <w:rFonts w:ascii="仿宋" w:hAnsi="仿宋" w:cs="仿宋"/>
          <w:highlight w:val="none"/>
        </w:rPr>
      </w:pPr>
      <w:r>
        <w:rPr>
          <w:rFonts w:hint="eastAsia" w:ascii="仿宋" w:hAnsi="仿宋" w:cs="仿宋"/>
          <w:highlight w:val="none"/>
        </w:rPr>
        <w:t>（5）投标人需提交</w:t>
      </w:r>
      <w:r>
        <w:rPr>
          <w:rFonts w:hint="eastAsia" w:ascii="仿宋" w:hAnsi="仿宋" w:cs="仿宋"/>
          <w:highlight w:val="none"/>
          <w:lang w:eastAsia="zh-CN"/>
        </w:rPr>
        <w:t>的其他</w:t>
      </w:r>
      <w:r>
        <w:rPr>
          <w:rFonts w:hint="eastAsia" w:ascii="仿宋" w:hAnsi="仿宋" w:cs="仿宋"/>
          <w:highlight w:val="none"/>
        </w:rPr>
        <w:t>资料：</w:t>
      </w:r>
    </w:p>
    <w:p>
      <w:pPr>
        <w:pStyle w:val="54"/>
        <w:rPr>
          <w:highlight w:val="none"/>
        </w:rPr>
      </w:pPr>
      <w:r>
        <w:rPr>
          <w:rFonts w:hint="eastAsia"/>
          <w:highlight w:val="none"/>
        </w:rPr>
        <w:t>A、试验场地的布局图，能够</w:t>
      </w:r>
      <w:r>
        <w:rPr>
          <w:rFonts w:hint="eastAsia"/>
          <w:highlight w:val="none"/>
          <w:lang w:eastAsia="zh-CN"/>
        </w:rPr>
        <w:t>清晰地看到</w:t>
      </w:r>
      <w:r>
        <w:rPr>
          <w:rFonts w:hint="eastAsia"/>
          <w:highlight w:val="none"/>
        </w:rPr>
        <w:t>各种道路的布局及相互位置关系，能够分辨道路是否有共用部分。</w:t>
      </w:r>
    </w:p>
    <w:p>
      <w:pPr>
        <w:pStyle w:val="54"/>
        <w:rPr>
          <w:highlight w:val="none"/>
        </w:rPr>
      </w:pPr>
      <w:r>
        <w:rPr>
          <w:rFonts w:hint="eastAsia"/>
          <w:highlight w:val="none"/>
        </w:rPr>
        <w:t>B、试验场地道路参数，包含道路长度、宽度及允许汽车最大轴荷和最大总质量等。</w:t>
      </w:r>
    </w:p>
    <w:p>
      <w:pPr>
        <w:pStyle w:val="54"/>
        <w:rPr>
          <w:highlight w:val="none"/>
        </w:rPr>
      </w:pPr>
      <w:r>
        <w:rPr>
          <w:rFonts w:hint="eastAsia"/>
          <w:highlight w:val="none"/>
        </w:rPr>
        <w:t>C、场地内各种试验道路的有效期内的检测报告。</w:t>
      </w:r>
    </w:p>
    <w:p>
      <w:pPr>
        <w:pStyle w:val="54"/>
        <w:ind w:firstLine="482"/>
        <w:rPr>
          <w:rFonts w:hint="eastAsia" w:ascii="宋体" w:hAnsi="宋体" w:eastAsia="仿宋"/>
          <w:b/>
          <w:bCs/>
          <w:szCs w:val="20"/>
          <w:highlight w:val="none"/>
          <w:lang w:eastAsia="zh-CN"/>
        </w:rPr>
      </w:pPr>
      <w:r>
        <w:rPr>
          <w:rFonts w:hint="eastAsia" w:ascii="宋体" w:hAnsi="宋体" w:eastAsia="宋体"/>
          <w:b/>
          <w:bCs/>
          <w:szCs w:val="20"/>
          <w:highlight w:val="none"/>
        </w:rPr>
        <w:t>8</w:t>
      </w:r>
      <w:r>
        <w:rPr>
          <w:rFonts w:ascii="宋体" w:hAnsi="宋体" w:eastAsia="宋体"/>
          <w:b/>
          <w:bCs/>
          <w:szCs w:val="20"/>
          <w:highlight w:val="none"/>
        </w:rPr>
        <w:t>.3</w:t>
      </w:r>
      <w:r>
        <w:rPr>
          <w:rFonts w:hint="eastAsia" w:ascii="宋体" w:hAnsi="宋体" w:eastAsia="宋体"/>
          <w:b/>
          <w:bCs/>
          <w:szCs w:val="20"/>
          <w:highlight w:val="none"/>
        </w:rPr>
        <w:t>商务部分：</w:t>
      </w:r>
      <w:r>
        <w:rPr>
          <w:rFonts w:hint="eastAsia" w:ascii="宋体" w:hAnsi="宋体" w:eastAsia="宋体"/>
          <w:b/>
          <w:bCs/>
          <w:szCs w:val="20"/>
          <w:highlight w:val="none"/>
          <w:lang w:eastAsia="zh-CN"/>
        </w:rPr>
        <w:t>（</w:t>
      </w:r>
      <w:r>
        <w:rPr>
          <w:rFonts w:hint="eastAsia" w:ascii="仿宋" w:hAnsi="仿宋" w:cs="仿宋"/>
          <w:b/>
          <w:bCs/>
          <w:highlight w:val="none"/>
          <w:lang w:val="en-US" w:eastAsia="zh-CN"/>
        </w:rPr>
        <w:t>注：</w:t>
      </w:r>
      <w:r>
        <w:rPr>
          <w:rFonts w:hint="eastAsia" w:ascii="仿宋" w:hAnsi="仿宋" w:cs="仿宋"/>
          <w:b/>
          <w:highlight w:val="none"/>
        </w:rPr>
        <w:t>附件6、附件7、附件8需要一起单独封装。</w:t>
      </w:r>
      <w:r>
        <w:rPr>
          <w:rFonts w:hint="eastAsia" w:ascii="仿宋" w:hAnsi="仿宋" w:cs="仿宋"/>
          <w:b/>
          <w:highlight w:val="none"/>
          <w:lang w:eastAsia="zh-CN"/>
        </w:rPr>
        <w:t>）</w:t>
      </w:r>
    </w:p>
    <w:p>
      <w:pPr>
        <w:pStyle w:val="54"/>
        <w:rPr>
          <w:rFonts w:ascii="仿宋" w:hAnsi="仿宋" w:cs="仿宋"/>
          <w:highlight w:val="none"/>
        </w:rPr>
      </w:pPr>
      <w:r>
        <w:rPr>
          <w:rFonts w:hint="eastAsia" w:ascii="仿宋" w:hAnsi="仿宋" w:cs="仿宋"/>
          <w:highlight w:val="none"/>
        </w:rPr>
        <w:t>（1）开标一览表（附件6）</w:t>
      </w:r>
      <w:r>
        <w:rPr>
          <w:rFonts w:hint="eastAsia" w:ascii="仿宋" w:hAnsi="仿宋" w:cs="仿宋"/>
          <w:highlight w:val="none"/>
          <w:lang w:eastAsia="zh-CN"/>
        </w:rPr>
        <w:t>，</w:t>
      </w:r>
      <w:r>
        <w:rPr>
          <w:rFonts w:hint="eastAsia" w:ascii="仿宋" w:hAnsi="仿宋" w:cs="仿宋"/>
          <w:highlight w:val="none"/>
          <w:lang w:val="en-US" w:eastAsia="zh-CN"/>
        </w:rPr>
        <w:t>请根据所属子项目选择对应表格填写，请严格按照各报价项目对应单位进行报价，</w:t>
      </w:r>
      <w:r>
        <w:rPr>
          <w:rFonts w:hint="eastAsia" w:ascii="仿宋" w:hAnsi="仿宋" w:cs="仿宋"/>
          <w:b/>
          <w:bCs/>
          <w:highlight w:val="none"/>
          <w:lang w:val="en-US" w:eastAsia="zh-CN"/>
        </w:rPr>
        <w:t>此表格格式固定，不可变动</w:t>
      </w:r>
      <w:r>
        <w:rPr>
          <w:rFonts w:hint="eastAsia" w:ascii="仿宋" w:hAnsi="仿宋" w:cs="仿宋"/>
          <w:highlight w:val="none"/>
        </w:rPr>
        <w:t>；</w:t>
      </w:r>
    </w:p>
    <w:p>
      <w:pPr>
        <w:pStyle w:val="54"/>
        <w:rPr>
          <w:rFonts w:ascii="仿宋" w:hAnsi="仿宋" w:cs="仿宋"/>
          <w:highlight w:val="none"/>
        </w:rPr>
      </w:pPr>
      <w:r>
        <w:rPr>
          <w:rFonts w:hint="eastAsia" w:ascii="仿宋" w:hAnsi="仿宋" w:cs="仿宋"/>
          <w:highlight w:val="none"/>
        </w:rPr>
        <w:t>（2）投标报价明细表（附件7）</w:t>
      </w:r>
      <w:r>
        <w:rPr>
          <w:rFonts w:hint="eastAsia" w:ascii="仿宋" w:hAnsi="仿宋" w:cs="仿宋"/>
          <w:highlight w:val="none"/>
          <w:lang w:eastAsia="zh-CN"/>
        </w:rPr>
        <w:t>，</w:t>
      </w:r>
      <w:r>
        <w:rPr>
          <w:rFonts w:hint="eastAsia" w:ascii="仿宋" w:hAnsi="仿宋" w:cs="仿宋"/>
          <w:b w:val="0"/>
          <w:bCs w:val="0"/>
          <w:highlight w:val="none"/>
          <w:lang w:val="en-US" w:eastAsia="zh-CN"/>
        </w:rPr>
        <w:t>请在</w:t>
      </w:r>
      <w:r>
        <w:rPr>
          <w:rFonts w:hint="eastAsia" w:ascii="仿宋" w:hAnsi="仿宋" w:cs="仿宋"/>
          <w:b w:val="0"/>
          <w:bCs w:val="0"/>
          <w:color w:val="000000" w:themeColor="text1"/>
          <w:highlight w:val="none"/>
          <w14:textFill>
            <w14:solidFill>
              <w14:schemeClr w14:val="tx1"/>
            </w14:solidFill>
          </w14:textFill>
        </w:rPr>
        <w:t>列出</w:t>
      </w:r>
      <w:r>
        <w:rPr>
          <w:rFonts w:hint="eastAsia" w:ascii="仿宋" w:hAnsi="仿宋" w:cs="仿宋"/>
          <w:b w:val="0"/>
          <w:bCs w:val="0"/>
          <w:color w:val="000000" w:themeColor="text1"/>
          <w:highlight w:val="none"/>
          <w:lang w:val="en-US" w:eastAsia="zh-CN"/>
          <w14:textFill>
            <w14:solidFill>
              <w14:schemeClr w14:val="tx1"/>
            </w14:solidFill>
          </w14:textFill>
        </w:rPr>
        <w:t>该子</w:t>
      </w:r>
      <w:r>
        <w:rPr>
          <w:rFonts w:hint="eastAsia" w:ascii="仿宋" w:hAnsi="仿宋" w:cs="仿宋"/>
          <w:b w:val="0"/>
          <w:bCs w:val="0"/>
          <w:highlight w:val="none"/>
        </w:rPr>
        <w:t>项目</w:t>
      </w:r>
      <w:r>
        <w:rPr>
          <w:rFonts w:hint="eastAsia" w:ascii="仿宋" w:hAnsi="仿宋" w:cs="仿宋"/>
          <w:b w:val="0"/>
          <w:bCs w:val="0"/>
          <w:highlight w:val="none"/>
          <w:lang w:val="en-US" w:eastAsia="zh-CN"/>
        </w:rPr>
        <w:t>涉及的所有</w:t>
      </w:r>
      <w:r>
        <w:rPr>
          <w:rFonts w:hint="eastAsia" w:ascii="仿宋" w:hAnsi="仿宋" w:cs="仿宋"/>
          <w:b w:val="0"/>
          <w:bCs w:val="0"/>
          <w:highlight w:val="none"/>
        </w:rPr>
        <w:t>明细</w:t>
      </w:r>
      <w:r>
        <w:rPr>
          <w:rFonts w:hint="eastAsia" w:ascii="仿宋" w:hAnsi="仿宋" w:cs="仿宋"/>
          <w:b w:val="0"/>
          <w:bCs w:val="0"/>
          <w:color w:val="000000" w:themeColor="text1"/>
          <w:highlight w:val="none"/>
          <w14:textFill>
            <w14:solidFill>
              <w14:schemeClr w14:val="tx1"/>
            </w14:solidFill>
          </w14:textFill>
        </w:rPr>
        <w:t>及费用单价</w:t>
      </w:r>
      <w:r>
        <w:rPr>
          <w:rFonts w:hint="eastAsia" w:ascii="仿宋" w:hAnsi="仿宋" w:cs="仿宋"/>
          <w:b w:val="0"/>
          <w:bCs w:val="0"/>
          <w:color w:val="000000" w:themeColor="text1"/>
          <w:highlight w:val="none"/>
          <w:lang w:eastAsia="zh-CN"/>
          <w14:textFill>
            <w14:solidFill>
              <w14:schemeClr w14:val="tx1"/>
            </w14:solidFill>
          </w14:textFill>
        </w:rPr>
        <w:t>，</w:t>
      </w:r>
      <w:r>
        <w:rPr>
          <w:rFonts w:hint="eastAsia" w:ascii="仿宋" w:hAnsi="仿宋" w:cs="仿宋"/>
          <w:b w:val="0"/>
          <w:bCs w:val="0"/>
          <w:color w:val="000000" w:themeColor="text1"/>
          <w:highlight w:val="none"/>
          <w:lang w:val="en-US" w:eastAsia="zh-CN"/>
          <w14:textFill>
            <w14:solidFill>
              <w14:schemeClr w14:val="tx1"/>
            </w14:solidFill>
          </w14:textFill>
        </w:rPr>
        <w:t>项目条目可根据实际情况增减，与开标一览表（附件6）中相同的项目务必保持单价一致</w:t>
      </w:r>
      <w:r>
        <w:rPr>
          <w:rFonts w:hint="eastAsia" w:ascii="仿宋" w:hAnsi="仿宋" w:cs="仿宋"/>
          <w:b w:val="0"/>
          <w:bCs w:val="0"/>
          <w:color w:val="000000" w:themeColor="text1"/>
          <w:highlight w:val="none"/>
          <w14:textFill>
            <w14:solidFill>
              <w14:schemeClr w14:val="tx1"/>
            </w14:solidFill>
          </w14:textFill>
        </w:rPr>
        <w:t>；</w:t>
      </w:r>
    </w:p>
    <w:p>
      <w:pPr>
        <w:pStyle w:val="54"/>
        <w:rPr>
          <w:rFonts w:hint="eastAsia" w:ascii="仿宋" w:hAnsi="仿宋" w:cs="仿宋"/>
          <w:highlight w:val="none"/>
        </w:rPr>
      </w:pPr>
      <w:r>
        <w:rPr>
          <w:rFonts w:hint="eastAsia" w:ascii="仿宋" w:hAnsi="仿宋" w:cs="仿宋"/>
          <w:highlight w:val="none"/>
        </w:rPr>
        <w:t>（3）商务条款偏离表（附件8）；</w:t>
      </w:r>
    </w:p>
    <w:p>
      <w:pPr>
        <w:pStyle w:val="54"/>
        <w:rPr>
          <w:rFonts w:hint="eastAsia" w:ascii="仿宋" w:hAnsi="仿宋" w:eastAsia="仿宋" w:cs="仿宋"/>
          <w:highlight w:val="none"/>
          <w:lang w:eastAsia="zh-CN"/>
        </w:rPr>
      </w:pPr>
      <w:r>
        <w:rPr>
          <w:rFonts w:hint="eastAsia" w:ascii="仿宋" w:hAnsi="仿宋" w:cs="仿宋"/>
          <w:highlight w:val="none"/>
          <w:lang w:eastAsia="zh-CN"/>
        </w:rPr>
        <w:t>（</w:t>
      </w:r>
      <w:r>
        <w:rPr>
          <w:rFonts w:hint="eastAsia" w:ascii="仿宋" w:hAnsi="仿宋" w:cs="仿宋"/>
          <w:highlight w:val="none"/>
          <w:lang w:val="en-US" w:eastAsia="zh-CN"/>
        </w:rPr>
        <w:t>4</w:t>
      </w:r>
      <w:r>
        <w:rPr>
          <w:rFonts w:hint="eastAsia" w:ascii="仿宋" w:hAnsi="仿宋" w:cs="仿宋"/>
          <w:highlight w:val="none"/>
          <w:lang w:eastAsia="zh-CN"/>
        </w:rPr>
        <w:t>）</w:t>
      </w:r>
      <w:r>
        <w:rPr>
          <w:rFonts w:hint="eastAsia"/>
          <w:b/>
          <w:bCs/>
          <w:i w:val="0"/>
          <w:iCs w:val="0"/>
          <w:highlight w:val="none"/>
        </w:rPr>
        <w:t>提</w:t>
      </w:r>
      <w:r>
        <w:rPr>
          <w:rFonts w:hint="eastAsia"/>
          <w:b/>
          <w:bCs/>
          <w:i w:val="0"/>
          <w:iCs w:val="0"/>
          <w:color w:val="auto"/>
          <w:highlight w:val="none"/>
        </w:rPr>
        <w:t>供</w:t>
      </w:r>
      <w:r>
        <w:rPr>
          <w:rFonts w:hint="eastAsia"/>
          <w:b/>
          <w:bCs/>
          <w:i w:val="0"/>
          <w:iCs w:val="0"/>
          <w:color w:val="auto"/>
          <w:highlight w:val="none"/>
          <w:lang w:val="en-US" w:eastAsia="zh-CN"/>
        </w:rPr>
        <w:t>投标人</w:t>
      </w:r>
      <w:r>
        <w:rPr>
          <w:rFonts w:hint="eastAsia" w:ascii="仿宋" w:hAnsi="仿宋" w:cs="仿宋"/>
          <w:b/>
          <w:bCs/>
          <w:i w:val="0"/>
          <w:iCs w:val="0"/>
          <w:color w:val="auto"/>
          <w:highlight w:val="none"/>
          <w:lang w:val="en-US" w:eastAsia="zh-CN"/>
        </w:rPr>
        <w:t>向社会公布的</w:t>
      </w:r>
      <w:r>
        <w:rPr>
          <w:rFonts w:hint="eastAsia"/>
          <w:b/>
          <w:bCs/>
          <w:i w:val="0"/>
          <w:iCs w:val="0"/>
          <w:color w:val="auto"/>
          <w:highlight w:val="none"/>
          <w:lang w:val="en-US" w:eastAsia="zh-CN"/>
        </w:rPr>
        <w:t>服务报价明细详单</w:t>
      </w:r>
      <w:r>
        <w:rPr>
          <w:rFonts w:hint="eastAsia"/>
          <w:color w:val="auto"/>
          <w:highlight w:val="none"/>
          <w:lang w:val="en-US" w:eastAsia="zh-CN"/>
        </w:rPr>
        <w:t>；</w:t>
      </w:r>
    </w:p>
    <w:p>
      <w:pPr>
        <w:pStyle w:val="54"/>
        <w:rPr>
          <w:rFonts w:hint="eastAsia" w:ascii="仿宋" w:hAnsi="仿宋" w:cs="仿宋"/>
          <w:highlight w:val="none"/>
          <w:lang w:eastAsia="zh-CN"/>
        </w:rPr>
      </w:pPr>
      <w:r>
        <w:rPr>
          <w:rFonts w:hint="eastAsia" w:ascii="仿宋" w:hAnsi="仿宋" w:cs="仿宋"/>
          <w:highlight w:val="none"/>
        </w:rPr>
        <w:t>（</w:t>
      </w:r>
      <w:r>
        <w:rPr>
          <w:rFonts w:hint="eastAsia" w:ascii="仿宋" w:hAnsi="仿宋" w:cs="仿宋"/>
          <w:highlight w:val="none"/>
          <w:lang w:val="en-US" w:eastAsia="zh-CN"/>
        </w:rPr>
        <w:t>5</w:t>
      </w:r>
      <w:r>
        <w:rPr>
          <w:rFonts w:hint="eastAsia" w:ascii="仿宋" w:hAnsi="仿宋" w:cs="仿宋"/>
          <w:highlight w:val="none"/>
        </w:rPr>
        <w:t>）按招标文件投标人须知和技术服务规格书中要求提供的有关文件（若有）。</w:t>
      </w:r>
    </w:p>
    <w:p>
      <w:pPr>
        <w:spacing w:line="460" w:lineRule="exact"/>
        <w:ind w:firstLine="482" w:firstLineChars="200"/>
        <w:rPr>
          <w:rFonts w:ascii="宋体" w:hAnsi="宋体"/>
          <w:b/>
          <w:bCs/>
          <w:sz w:val="24"/>
          <w:highlight w:val="none"/>
        </w:rPr>
      </w:pPr>
      <w:r>
        <w:rPr>
          <w:rFonts w:hint="eastAsia" w:ascii="宋体" w:hAnsi="宋体"/>
          <w:b/>
          <w:bCs/>
          <w:sz w:val="24"/>
          <w:highlight w:val="none"/>
        </w:rPr>
        <w:t>9、投标文件格式</w:t>
      </w:r>
    </w:p>
    <w:p>
      <w:pPr>
        <w:pStyle w:val="54"/>
        <w:rPr>
          <w:rFonts w:ascii="仿宋" w:hAnsi="仿宋" w:cs="仿宋"/>
          <w:highlight w:val="none"/>
        </w:rPr>
      </w:pPr>
      <w:r>
        <w:rPr>
          <w:rFonts w:hint="eastAsia" w:ascii="仿宋" w:hAnsi="仿宋" w:cs="仿宋"/>
          <w:highlight w:val="none"/>
        </w:rPr>
        <w:t>详见附件格式1-9，其余未尽事宜请按各单位习惯制定即可。</w:t>
      </w:r>
    </w:p>
    <w:p>
      <w:pPr>
        <w:widowControl/>
        <w:jc w:val="left"/>
        <w:rPr>
          <w:rFonts w:ascii="仿宋" w:hAnsi="仿宋" w:eastAsia="仿宋" w:cs="仿宋"/>
          <w:sz w:val="24"/>
          <w:szCs w:val="24"/>
          <w:highlight w:val="none"/>
        </w:rPr>
      </w:pPr>
      <w:r>
        <w:rPr>
          <w:rFonts w:ascii="仿宋" w:hAnsi="仿宋" w:cs="仿宋"/>
          <w:highlight w:val="none"/>
        </w:rPr>
        <w:br w:type="page"/>
      </w:r>
    </w:p>
    <w:p>
      <w:pPr>
        <w:pStyle w:val="50"/>
        <w:rPr>
          <w:highlight w:val="none"/>
        </w:rPr>
      </w:pPr>
      <w:bookmarkStart w:id="15" w:name="_Toc2366"/>
      <w:r>
        <w:rPr>
          <w:rFonts w:hint="eastAsia"/>
          <w:highlight w:val="none"/>
        </w:rPr>
        <w:t>附件1</w:t>
      </w:r>
      <w:bookmarkStart w:id="16" w:name="_Toc353881012"/>
      <w:bookmarkStart w:id="17" w:name="_Toc25811"/>
      <w:bookmarkStart w:id="18" w:name="_Toc212369550"/>
      <w:bookmarkStart w:id="19" w:name="_Toc639004"/>
      <w:r>
        <w:rPr>
          <w:rFonts w:hint="eastAsia"/>
          <w:highlight w:val="none"/>
        </w:rPr>
        <w:t>投标函</w:t>
      </w:r>
      <w:bookmarkEnd w:id="15"/>
      <w:bookmarkEnd w:id="16"/>
      <w:bookmarkEnd w:id="17"/>
      <w:bookmarkEnd w:id="18"/>
      <w:bookmarkEnd w:id="19"/>
    </w:p>
    <w:p>
      <w:pPr>
        <w:pStyle w:val="54"/>
        <w:rPr>
          <w:rFonts w:ascii="仿宋" w:hAnsi="仿宋" w:cs="仿宋"/>
          <w:highlight w:val="none"/>
        </w:rPr>
      </w:pPr>
      <w:r>
        <w:rPr>
          <w:rFonts w:hint="eastAsia" w:ascii="仿宋" w:hAnsi="仿宋" w:cs="仿宋"/>
          <w:highlight w:val="none"/>
        </w:rPr>
        <w:t>致：中国重汽集团济南动力有限公司：</w:t>
      </w:r>
    </w:p>
    <w:p>
      <w:pPr>
        <w:spacing w:line="360" w:lineRule="auto"/>
        <w:ind w:firstLine="0" w:firstLineChars="0"/>
        <w:jc w:val="left"/>
        <w:rPr>
          <w:rFonts w:hint="eastAsia" w:ascii="仿宋" w:hAnsi="仿宋" w:eastAsia="仿宋" w:cs="仿宋"/>
          <w:highlight w:val="none"/>
        </w:rPr>
      </w:pPr>
      <w:r>
        <w:rPr>
          <w:rFonts w:hint="eastAsia" w:ascii="仿宋" w:hAnsi="仿宋" w:eastAsia="仿宋" w:cs="仿宋"/>
          <w:sz w:val="24"/>
          <w:szCs w:val="24"/>
          <w:highlight w:val="none"/>
        </w:rPr>
        <w:t>根据贵方委托开展试验车辆</w:t>
      </w:r>
      <w:r>
        <w:rPr>
          <w:rFonts w:hint="eastAsia" w:ascii="仿宋" w:hAnsi="仿宋" w:eastAsia="仿宋" w:cs="仿宋"/>
          <w:sz w:val="24"/>
          <w:szCs w:val="24"/>
          <w:highlight w:val="none"/>
          <w:u w:val="single"/>
        </w:rPr>
        <w:t>整车性能及可靠性试验场地技术服务项目</w:t>
      </w:r>
      <w:r>
        <w:rPr>
          <w:rFonts w:hint="eastAsia" w:ascii="仿宋" w:hAnsi="仿宋" w:eastAsia="仿宋" w:cs="仿宋"/>
          <w:sz w:val="24"/>
          <w:szCs w:val="24"/>
          <w:highlight w:val="none"/>
        </w:rPr>
        <w:t>招标公告</w:t>
      </w:r>
      <w:r>
        <w:rPr>
          <w:rFonts w:hint="eastAsia" w:ascii="仿宋" w:hAnsi="仿宋" w:cs="仿宋"/>
          <w:bCs/>
          <w:snapToGrid w:val="0"/>
          <w:kern w:val="0"/>
          <w:highlight w:val="none"/>
        </w:rPr>
        <w:t>中的</w:t>
      </w:r>
      <w:r>
        <w:rPr>
          <w:rFonts w:hint="eastAsia" w:ascii="仿宋" w:hAnsi="仿宋" w:cs="仿宋"/>
          <w:highlight w:val="none"/>
          <w:u w:val="single"/>
        </w:rPr>
        <w:t xml:space="preserve">                   </w:t>
      </w:r>
      <w:r>
        <w:rPr>
          <w:rFonts w:hint="eastAsia" w:ascii="仿宋" w:hAnsi="仿宋" w:cs="仿宋"/>
          <w:highlight w:val="none"/>
        </w:rPr>
        <w:t>（描述子项目），</w:t>
      </w:r>
      <w:r>
        <w:rPr>
          <w:rFonts w:hint="eastAsia" w:ascii="仿宋" w:hAnsi="仿宋" w:cs="仿宋"/>
          <w:highlight w:val="none"/>
          <w:u w:val="single"/>
        </w:rPr>
        <w:t xml:space="preserve">                         </w:t>
      </w:r>
      <w:r>
        <w:rPr>
          <w:rFonts w:hint="eastAsia" w:ascii="仿宋" w:hAnsi="仿宋" w:cs="仿宋"/>
          <w:highlight w:val="none"/>
        </w:rPr>
        <w:t>投标公司， 法人代表人为</w:t>
      </w:r>
      <w:r>
        <w:rPr>
          <w:rFonts w:hint="eastAsia" w:ascii="仿宋" w:hAnsi="仿宋" w:cs="仿宋"/>
          <w:highlight w:val="none"/>
          <w:u w:val="single"/>
        </w:rPr>
        <w:t xml:space="preserve">            </w:t>
      </w:r>
      <w:r>
        <w:rPr>
          <w:rFonts w:hint="eastAsia" w:ascii="仿宋" w:hAnsi="仿宋" w:cs="仿宋"/>
          <w:highlight w:val="none"/>
        </w:rPr>
        <w:t>，正式授权</w:t>
      </w:r>
      <w:r>
        <w:rPr>
          <w:rFonts w:hint="eastAsia" w:ascii="仿宋" w:hAnsi="仿宋" w:cs="仿宋"/>
          <w:highlight w:val="none"/>
          <w:u w:val="single"/>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提交纸质投标文件投标：正本</w:t>
      </w:r>
      <w:r>
        <w:rPr>
          <w:rFonts w:hint="eastAsia" w:ascii="仿宋" w:hAnsi="仿宋" w:eastAsia="仿宋" w:cs="仿宋"/>
          <w:b/>
          <w:bCs/>
          <w:sz w:val="24"/>
          <w:szCs w:val="24"/>
          <w:highlight w:val="none"/>
          <w:u w:val="single"/>
          <w:lang w:val="en-US" w:eastAsia="zh-CN"/>
        </w:rPr>
        <w:t>1</w:t>
      </w:r>
      <w:r>
        <w:rPr>
          <w:rFonts w:hint="eastAsia" w:ascii="仿宋" w:hAnsi="仿宋" w:eastAsia="仿宋" w:cs="仿宋"/>
          <w:sz w:val="24"/>
          <w:szCs w:val="24"/>
          <w:highlight w:val="none"/>
        </w:rPr>
        <w:t>份、副本</w:t>
      </w:r>
      <w:r>
        <w:rPr>
          <w:rFonts w:hint="eastAsia" w:ascii="仿宋" w:hAnsi="仿宋" w:eastAsia="仿宋" w:cs="仿宋"/>
          <w:sz w:val="24"/>
          <w:szCs w:val="24"/>
          <w:highlight w:val="none"/>
          <w:u w:val="single"/>
          <w:lang w:val="en-US" w:eastAsia="zh-CN"/>
        </w:rPr>
        <w:t>7</w:t>
      </w:r>
      <w:r>
        <w:rPr>
          <w:rFonts w:hint="eastAsia" w:ascii="仿宋" w:hAnsi="仿宋" w:eastAsia="仿宋" w:cs="仿宋"/>
          <w:sz w:val="24"/>
          <w:szCs w:val="24"/>
          <w:highlight w:val="none"/>
        </w:rPr>
        <w:t>份。电子版投标文件</w:t>
      </w:r>
      <w:r>
        <w:rPr>
          <w:rFonts w:hint="eastAsia" w:ascii="仿宋" w:hAnsi="仿宋" w:eastAsia="仿宋" w:cs="仿宋"/>
          <w:b/>
          <w:bCs/>
          <w:sz w:val="24"/>
          <w:szCs w:val="24"/>
          <w:highlight w:val="none"/>
          <w:u w:val="single"/>
          <w:lang w:val="en-US" w:eastAsia="zh-CN"/>
        </w:rPr>
        <w:t>1</w:t>
      </w:r>
      <w:r>
        <w:rPr>
          <w:rFonts w:hint="eastAsia" w:ascii="仿宋" w:hAnsi="仿宋" w:eastAsia="仿宋" w:cs="仿宋"/>
          <w:sz w:val="24"/>
          <w:szCs w:val="24"/>
          <w:highlight w:val="none"/>
        </w:rPr>
        <w:t>份。</w:t>
      </w:r>
    </w:p>
    <w:p>
      <w:pPr>
        <w:pStyle w:val="54"/>
        <w:rPr>
          <w:rFonts w:ascii="仿宋" w:hAnsi="仿宋" w:cs="仿宋"/>
          <w:highlight w:val="none"/>
        </w:rPr>
      </w:pPr>
      <w:r>
        <w:rPr>
          <w:rFonts w:hint="eastAsia" w:ascii="仿宋" w:hAnsi="仿宋" w:cs="仿宋"/>
          <w:highlight w:val="none"/>
        </w:rPr>
        <w:t>据此函，签字代表宣布同意如下：</w:t>
      </w:r>
    </w:p>
    <w:p>
      <w:pPr>
        <w:pStyle w:val="54"/>
        <w:rPr>
          <w:rFonts w:ascii="仿宋" w:hAnsi="仿宋" w:cs="仿宋"/>
          <w:highlight w:val="none"/>
        </w:rPr>
      </w:pPr>
      <w:r>
        <w:rPr>
          <w:rFonts w:hint="eastAsia" w:ascii="仿宋" w:hAnsi="仿宋" w:cs="仿宋"/>
          <w:highlight w:val="none"/>
        </w:rPr>
        <w:t>1、投标人已详细审查全部“招标文件”，包括修改文件（如有的话）以及全部参考资料和有关附件，已经了解我方对于招标文件、采购过程、采购结果有依法进行询问、质疑、投诉的权利及相关渠道和要求。</w:t>
      </w:r>
    </w:p>
    <w:p>
      <w:pPr>
        <w:pStyle w:val="54"/>
        <w:rPr>
          <w:rFonts w:ascii="仿宋" w:hAnsi="仿宋" w:cs="仿宋"/>
          <w:highlight w:val="none"/>
        </w:rPr>
      </w:pPr>
      <w:r>
        <w:rPr>
          <w:rFonts w:hint="eastAsia" w:ascii="仿宋" w:hAnsi="仿宋" w:cs="仿宋"/>
          <w:highlight w:val="none"/>
        </w:rPr>
        <w:t>2、投标人在投标之前已经与贵方进行了充分的沟通，完全理解并接受招标文件的各项规定和要求，对招标文件的合理性、合法性不再有异议。</w:t>
      </w:r>
    </w:p>
    <w:p>
      <w:pPr>
        <w:pStyle w:val="54"/>
        <w:rPr>
          <w:rFonts w:ascii="仿宋" w:hAnsi="仿宋" w:cs="仿宋"/>
          <w:highlight w:val="none"/>
        </w:rPr>
      </w:pPr>
      <w:r>
        <w:rPr>
          <w:rFonts w:hint="eastAsia" w:ascii="仿宋" w:hAnsi="仿宋" w:cs="仿宋"/>
          <w:highlight w:val="none"/>
        </w:rPr>
        <w:t>3、本投标有效期自开标日起</w:t>
      </w:r>
      <w:r>
        <w:rPr>
          <w:rFonts w:hint="eastAsia" w:ascii="仿宋" w:hAnsi="仿宋" w:cs="仿宋"/>
          <w:bCs/>
          <w:highlight w:val="none"/>
          <w:u w:val="single"/>
        </w:rPr>
        <w:t>90</w:t>
      </w:r>
      <w:r>
        <w:rPr>
          <w:rFonts w:hint="eastAsia" w:ascii="仿宋" w:hAnsi="仿宋" w:cs="仿宋"/>
          <w:highlight w:val="none"/>
        </w:rPr>
        <w:t>个日历日。</w:t>
      </w:r>
    </w:p>
    <w:p>
      <w:pPr>
        <w:pStyle w:val="54"/>
        <w:rPr>
          <w:rFonts w:ascii="仿宋" w:hAnsi="仿宋" w:cs="仿宋"/>
          <w:highlight w:val="none"/>
        </w:rPr>
      </w:pPr>
      <w:r>
        <w:rPr>
          <w:rFonts w:hint="eastAsia" w:ascii="仿宋" w:hAnsi="仿宋" w:cs="仿宋"/>
          <w:highlight w:val="none"/>
        </w:rPr>
        <w:t>4、如中标，本投标文件至本项目合同履行完毕止均保持有效，本投标人将按“招标文件”及政府采购法律、法规的规定履行合同责任和义务。</w:t>
      </w:r>
    </w:p>
    <w:p>
      <w:pPr>
        <w:pStyle w:val="54"/>
        <w:rPr>
          <w:rFonts w:ascii="仿宋" w:hAnsi="仿宋" w:cs="仿宋"/>
          <w:highlight w:val="none"/>
        </w:rPr>
      </w:pPr>
      <w:r>
        <w:rPr>
          <w:rFonts w:hint="eastAsia" w:ascii="仿宋" w:hAnsi="仿宋" w:cs="仿宋"/>
          <w:highlight w:val="none"/>
        </w:rPr>
        <w:t>5、投标人同意按照贵方要求提供与投标有关的一切数据或资料。</w:t>
      </w:r>
    </w:p>
    <w:p>
      <w:pPr>
        <w:pStyle w:val="54"/>
        <w:rPr>
          <w:rFonts w:ascii="仿宋" w:hAnsi="仿宋" w:cs="仿宋"/>
          <w:highlight w:val="none"/>
        </w:rPr>
      </w:pPr>
      <w:r>
        <w:rPr>
          <w:rFonts w:hint="eastAsia" w:ascii="仿宋" w:hAnsi="仿宋" w:cs="仿宋"/>
          <w:highlight w:val="none"/>
        </w:rPr>
        <w:t>6、与本投标有关的一切正式往来信函请寄：</w:t>
      </w:r>
    </w:p>
    <w:p>
      <w:pPr>
        <w:pStyle w:val="54"/>
        <w:rPr>
          <w:rFonts w:ascii="仿宋" w:hAnsi="仿宋" w:cs="仿宋"/>
          <w:highlight w:val="none"/>
        </w:rPr>
      </w:pPr>
      <w:r>
        <w:rPr>
          <w:rFonts w:hint="eastAsia" w:ascii="仿宋" w:hAnsi="仿宋" w:cs="仿宋"/>
          <w:highlight w:val="none"/>
        </w:rPr>
        <w:t>地址：</w:t>
      </w:r>
    </w:p>
    <w:p>
      <w:pPr>
        <w:pStyle w:val="54"/>
        <w:rPr>
          <w:rFonts w:ascii="仿宋" w:hAnsi="仿宋" w:cs="仿宋"/>
          <w:highlight w:val="none"/>
        </w:rPr>
      </w:pPr>
      <w:r>
        <w:rPr>
          <w:rFonts w:hint="eastAsia" w:ascii="仿宋" w:hAnsi="仿宋" w:cs="仿宋"/>
          <w:highlight w:val="none"/>
        </w:rPr>
        <w:t xml:space="preserve">邮编： </w:t>
      </w:r>
    </w:p>
    <w:p>
      <w:pPr>
        <w:pStyle w:val="54"/>
        <w:rPr>
          <w:rFonts w:ascii="仿宋" w:hAnsi="仿宋" w:cs="仿宋"/>
          <w:highlight w:val="none"/>
        </w:rPr>
      </w:pPr>
      <w:r>
        <w:rPr>
          <w:rFonts w:hint="eastAsia" w:ascii="仿宋" w:hAnsi="仿宋" w:cs="仿宋"/>
          <w:highlight w:val="none"/>
        </w:rPr>
        <w:t xml:space="preserve">电话：              传真： </w:t>
      </w:r>
    </w:p>
    <w:p>
      <w:pPr>
        <w:pStyle w:val="54"/>
        <w:rPr>
          <w:rFonts w:ascii="仿宋" w:hAnsi="仿宋" w:cs="仿宋"/>
          <w:highlight w:val="none"/>
        </w:rPr>
      </w:pPr>
      <w:r>
        <w:rPr>
          <w:rFonts w:hint="eastAsia" w:ascii="仿宋" w:hAnsi="仿宋" w:cs="仿宋"/>
          <w:highlight w:val="none"/>
        </w:rPr>
        <w:t xml:space="preserve">投标人代表姓名：              职务：  </w:t>
      </w:r>
    </w:p>
    <w:p>
      <w:pPr>
        <w:pStyle w:val="54"/>
        <w:rPr>
          <w:rFonts w:ascii="仿宋" w:hAnsi="仿宋" w:cs="仿宋"/>
          <w:highlight w:val="none"/>
        </w:rPr>
      </w:pPr>
      <w:r>
        <w:rPr>
          <w:rFonts w:hint="eastAsia" w:ascii="仿宋" w:hAnsi="仿宋" w:cs="仿宋"/>
          <w:highlight w:val="none"/>
        </w:rPr>
        <w:t>开户银行：</w:t>
      </w:r>
    </w:p>
    <w:p>
      <w:pPr>
        <w:pStyle w:val="54"/>
        <w:rPr>
          <w:rFonts w:ascii="仿宋" w:hAnsi="仿宋" w:cs="仿宋"/>
          <w:highlight w:val="none"/>
        </w:rPr>
      </w:pPr>
      <w:r>
        <w:rPr>
          <w:rFonts w:hint="eastAsia" w:ascii="仿宋" w:hAnsi="仿宋" w:cs="仿宋"/>
          <w:highlight w:val="none"/>
          <w:lang w:eastAsia="zh-CN"/>
        </w:rPr>
        <w:t>银行账号</w:t>
      </w:r>
      <w:r>
        <w:rPr>
          <w:rFonts w:hint="eastAsia" w:ascii="仿宋" w:hAnsi="仿宋" w:cs="仿宋"/>
          <w:highlight w:val="none"/>
        </w:rPr>
        <w:t>：</w:t>
      </w:r>
    </w:p>
    <w:p>
      <w:pPr>
        <w:pStyle w:val="54"/>
        <w:rPr>
          <w:rFonts w:ascii="仿宋" w:hAnsi="仿宋" w:cs="仿宋"/>
          <w:highlight w:val="none"/>
        </w:rPr>
      </w:pPr>
      <w:r>
        <w:rPr>
          <w:rFonts w:hint="eastAsia" w:ascii="仿宋" w:hAnsi="仿宋" w:cs="仿宋"/>
          <w:highlight w:val="none"/>
        </w:rPr>
        <w:t>投标人名称（</w:t>
      </w:r>
      <w:r>
        <w:rPr>
          <w:rFonts w:hint="eastAsia" w:ascii="仿宋" w:hAnsi="仿宋" w:cs="仿宋"/>
          <w:bCs/>
          <w:highlight w:val="none"/>
        </w:rPr>
        <w:t>盖章）</w:t>
      </w:r>
      <w:r>
        <w:rPr>
          <w:rFonts w:hint="eastAsia" w:ascii="仿宋" w:hAnsi="仿宋" w:cs="仿宋"/>
          <w:highlight w:val="none"/>
        </w:rPr>
        <w:t>:</w:t>
      </w:r>
    </w:p>
    <w:p>
      <w:pPr>
        <w:pStyle w:val="54"/>
        <w:rPr>
          <w:rFonts w:ascii="仿宋" w:hAnsi="仿宋" w:cs="仿宋"/>
          <w:highlight w:val="none"/>
        </w:rPr>
      </w:pPr>
      <w:r>
        <w:rPr>
          <w:rFonts w:hint="eastAsia" w:ascii="仿宋" w:hAnsi="仿宋" w:cs="仿宋"/>
          <w:highlight w:val="none"/>
        </w:rPr>
        <w:t>授权代表签字</w:t>
      </w:r>
      <w:r>
        <w:rPr>
          <w:rFonts w:hint="eastAsia" w:ascii="仿宋" w:hAnsi="仿宋" w:cs="仿宋"/>
          <w:bCs/>
          <w:highlight w:val="none"/>
        </w:rPr>
        <w:t>：</w:t>
      </w:r>
    </w:p>
    <w:p>
      <w:pPr>
        <w:pStyle w:val="54"/>
        <w:rPr>
          <w:rFonts w:ascii="仿宋" w:hAnsi="仿宋" w:cs="仿宋"/>
          <w:highlight w:val="none"/>
        </w:rPr>
      </w:pPr>
      <w:r>
        <w:rPr>
          <w:rFonts w:hint="eastAsia" w:ascii="仿宋" w:hAnsi="仿宋" w:cs="仿宋"/>
          <w:highlight w:val="none"/>
        </w:rPr>
        <w:t>日期：    年     月    日</w:t>
      </w:r>
    </w:p>
    <w:p>
      <w:pPr>
        <w:rPr>
          <w:rFonts w:ascii="黑体" w:eastAsia="黑体"/>
          <w:color w:val="000000"/>
          <w:sz w:val="24"/>
          <w:szCs w:val="24"/>
          <w:highlight w:val="none"/>
        </w:rPr>
      </w:pPr>
    </w:p>
    <w:p>
      <w:pPr>
        <w:rPr>
          <w:rFonts w:ascii="黑体" w:eastAsia="黑体"/>
          <w:color w:val="000000"/>
          <w:sz w:val="24"/>
          <w:szCs w:val="24"/>
          <w:highlight w:val="none"/>
        </w:rPr>
      </w:pPr>
    </w:p>
    <w:p>
      <w:pPr>
        <w:pStyle w:val="80"/>
        <w:rPr>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pgNumType w:fmt="numberInDash"/>
          <w:cols w:space="720" w:num="1"/>
          <w:titlePg/>
          <w:docGrid w:type="lines" w:linePitch="312" w:charSpace="0"/>
        </w:sectPr>
      </w:pPr>
    </w:p>
    <w:p>
      <w:pPr>
        <w:pStyle w:val="50"/>
        <w:rPr>
          <w:rFonts w:ascii="宋体" w:hAnsi="宋体"/>
          <w:highlight w:val="none"/>
        </w:rPr>
      </w:pPr>
      <w:bookmarkStart w:id="20" w:name="_Toc18017"/>
      <w:r>
        <w:rPr>
          <w:rFonts w:hint="eastAsia"/>
          <w:highlight w:val="none"/>
        </w:rPr>
        <w:t>附件2法定代表人授权委托书</w:t>
      </w:r>
      <w:bookmarkEnd w:id="20"/>
    </w:p>
    <w:p>
      <w:pPr>
        <w:pStyle w:val="54"/>
        <w:rPr>
          <w:rFonts w:ascii="仿宋" w:hAnsi="仿宋" w:cs="仿宋"/>
          <w:highlight w:val="none"/>
        </w:rPr>
      </w:pPr>
      <w:r>
        <w:rPr>
          <w:rFonts w:hint="eastAsia" w:ascii="仿宋" w:hAnsi="仿宋" w:cs="仿宋"/>
          <w:highlight w:val="none"/>
        </w:rPr>
        <w:t>本授权委托书声明：</w:t>
      </w:r>
      <w:r>
        <w:rPr>
          <w:rFonts w:hint="eastAsia" w:ascii="仿宋" w:hAnsi="仿宋" w:cs="仿宋"/>
          <w:highlight w:val="none"/>
          <w:lang w:val="en-US" w:eastAsia="zh-CN"/>
        </w:rPr>
        <w:t>本人</w:t>
      </w:r>
      <w:r>
        <w:rPr>
          <w:rFonts w:hint="eastAsia" w:ascii="仿宋" w:hAnsi="仿宋" w:cs="仿宋"/>
          <w:highlight w:val="none"/>
          <w:u w:val="single"/>
        </w:rPr>
        <w:t xml:space="preserve">           </w:t>
      </w:r>
      <w:r>
        <w:rPr>
          <w:rFonts w:hint="eastAsia" w:ascii="仿宋" w:hAnsi="仿宋" w:cs="仿宋"/>
          <w:highlight w:val="none"/>
        </w:rPr>
        <w:t>（姓名）系</w:t>
      </w:r>
      <w:r>
        <w:rPr>
          <w:rFonts w:hint="eastAsia" w:ascii="仿宋" w:hAnsi="仿宋" w:cs="仿宋"/>
          <w:highlight w:val="none"/>
          <w:u w:val="single"/>
        </w:rPr>
        <w:t xml:space="preserve">                        </w:t>
      </w:r>
      <w:r>
        <w:rPr>
          <w:rFonts w:hint="eastAsia" w:ascii="仿宋" w:hAnsi="仿宋" w:cs="仿宋"/>
          <w:highlight w:val="none"/>
        </w:rPr>
        <w:t>（投标人全称）的法定代表人，就</w:t>
      </w:r>
      <w:r>
        <w:rPr>
          <w:rFonts w:hint="eastAsia" w:ascii="仿宋" w:hAnsi="仿宋" w:cs="仿宋"/>
          <w:highlight w:val="none"/>
          <w:u w:val="single"/>
          <w:lang w:eastAsia="zh-CN"/>
        </w:rPr>
        <w:t>整车性能及可靠性试验场地技术服务项目</w:t>
      </w:r>
      <w:r>
        <w:rPr>
          <w:rFonts w:hint="eastAsia" w:ascii="仿宋" w:hAnsi="仿宋" w:cs="仿宋"/>
          <w:highlight w:val="none"/>
        </w:rPr>
        <w:t xml:space="preserve"> （项目名称） （招标编号</w:t>
      </w:r>
      <w:r>
        <w:rPr>
          <w:rFonts w:hint="eastAsia" w:ascii="仿宋" w:hAnsi="仿宋" w:cs="仿宋"/>
          <w:highlight w:val="none"/>
          <w:u w:val="single"/>
        </w:rPr>
        <w:t xml:space="preserve">        </w:t>
      </w:r>
      <w:r>
        <w:rPr>
          <w:rFonts w:hint="eastAsia" w:ascii="仿宋" w:hAnsi="仿宋" w:cs="仿宋"/>
          <w:highlight w:val="none"/>
        </w:rPr>
        <w:t>）</w:t>
      </w:r>
      <w:r>
        <w:rPr>
          <w:rFonts w:hint="eastAsia" w:ascii="仿宋" w:hAnsi="仿宋" w:cs="仿宋"/>
          <w:bCs/>
          <w:snapToGrid w:val="0"/>
          <w:kern w:val="0"/>
          <w:highlight w:val="none"/>
        </w:rPr>
        <w:t>中的</w:t>
      </w:r>
      <w:r>
        <w:rPr>
          <w:rFonts w:hint="eastAsia" w:ascii="仿宋" w:hAnsi="仿宋" w:cs="仿宋"/>
          <w:highlight w:val="none"/>
          <w:u w:val="single"/>
        </w:rPr>
        <w:t xml:space="preserve">        </w:t>
      </w:r>
      <w:r>
        <w:rPr>
          <w:rFonts w:hint="eastAsia" w:ascii="仿宋" w:hAnsi="仿宋" w:cs="仿宋"/>
          <w:highlight w:val="none"/>
        </w:rPr>
        <w:t>（描述子项目）现授权委托</w:t>
      </w:r>
      <w:r>
        <w:rPr>
          <w:rFonts w:hint="eastAsia" w:ascii="仿宋" w:hAnsi="仿宋" w:cs="仿宋"/>
          <w:highlight w:val="none"/>
          <w:u w:val="single"/>
        </w:rPr>
        <w:t xml:space="preserve">                  </w:t>
      </w:r>
      <w:r>
        <w:rPr>
          <w:rFonts w:hint="eastAsia" w:ascii="仿宋" w:hAnsi="仿宋" w:cs="仿宋"/>
          <w:highlight w:val="none"/>
        </w:rPr>
        <w:t>（单位名称）的</w:t>
      </w:r>
      <w:r>
        <w:rPr>
          <w:rFonts w:hint="eastAsia" w:ascii="仿宋" w:hAnsi="仿宋" w:cs="仿宋"/>
          <w:highlight w:val="none"/>
          <w:u w:val="single"/>
        </w:rPr>
        <w:t xml:space="preserve">             </w:t>
      </w:r>
      <w:r>
        <w:rPr>
          <w:rFonts w:hint="eastAsia" w:ascii="仿宋" w:hAnsi="仿宋" w:cs="仿宋"/>
          <w:highlight w:val="none"/>
        </w:rPr>
        <w:t>（姓名、职务）为我公司全权代表，全权代表在投标文件、评标过程中的书面承诺、合同等所签署的一切文件和处理与之有关的一切事务，我均予以承认。</w:t>
      </w:r>
    </w:p>
    <w:p>
      <w:pPr>
        <w:pStyle w:val="54"/>
        <w:rPr>
          <w:rFonts w:ascii="仿宋" w:hAnsi="仿宋" w:cs="仿宋"/>
          <w:highlight w:val="none"/>
        </w:rPr>
      </w:pPr>
      <w:r>
        <w:rPr>
          <w:rFonts w:hint="eastAsia" w:ascii="仿宋" w:hAnsi="仿宋" w:cs="仿宋"/>
          <w:highlight w:val="none"/>
        </w:rPr>
        <w:t>全权代表无转委权。特此委托。</w:t>
      </w:r>
    </w:p>
    <w:tbl>
      <w:tblPr>
        <w:tblStyle w:val="3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vAlign w:val="center"/>
          </w:tcPr>
          <w:p>
            <w:pPr>
              <w:adjustRightInd w:val="0"/>
              <w:snapToGrid w:val="0"/>
              <w:spacing w:before="93"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（附法人身份证明复印件）</w:t>
            </w:r>
          </w:p>
          <w:p>
            <w:pPr>
              <w:adjustRightInd w:val="0"/>
              <w:snapToGrid w:val="0"/>
              <w:spacing w:before="93" w:beforeLines="30" w:line="312"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（附授权代理人身份证明复印件）</w:t>
            </w:r>
          </w:p>
        </w:tc>
      </w:tr>
    </w:tbl>
    <w:p>
      <w:pPr>
        <w:pStyle w:val="54"/>
        <w:rPr>
          <w:rFonts w:ascii="仿宋" w:hAnsi="仿宋" w:cs="仿宋"/>
          <w:highlight w:val="none"/>
        </w:rPr>
      </w:pPr>
      <w:r>
        <w:rPr>
          <w:rFonts w:hint="eastAsia" w:ascii="仿宋" w:hAnsi="仿宋" w:cs="仿宋"/>
          <w:highlight w:val="none"/>
        </w:rPr>
        <w:t>全权代表姓名：                性别：         年龄：</w:t>
      </w:r>
    </w:p>
    <w:p>
      <w:pPr>
        <w:pStyle w:val="54"/>
        <w:rPr>
          <w:rFonts w:ascii="仿宋" w:hAnsi="仿宋" w:cs="仿宋"/>
          <w:highlight w:val="none"/>
        </w:rPr>
      </w:pPr>
      <w:r>
        <w:rPr>
          <w:rFonts w:hint="eastAsia" w:ascii="仿宋" w:hAnsi="仿宋" w:cs="仿宋"/>
          <w:highlight w:val="none"/>
        </w:rPr>
        <w:t>单位：                        部门：              职务：</w:t>
      </w:r>
    </w:p>
    <w:p>
      <w:pPr>
        <w:pStyle w:val="54"/>
        <w:rPr>
          <w:rFonts w:ascii="仿宋" w:hAnsi="仿宋" w:cs="仿宋"/>
          <w:highlight w:val="none"/>
        </w:rPr>
      </w:pPr>
      <w:r>
        <w:rPr>
          <w:rFonts w:hint="eastAsia" w:ascii="仿宋" w:hAnsi="仿宋" w:cs="仿宋"/>
          <w:highlight w:val="none"/>
        </w:rPr>
        <w:t xml:space="preserve">法定代表人签字或盖章                          </w:t>
      </w:r>
    </w:p>
    <w:p>
      <w:pPr>
        <w:pStyle w:val="54"/>
        <w:rPr>
          <w:rFonts w:ascii="仿宋" w:hAnsi="仿宋" w:cs="仿宋"/>
          <w:highlight w:val="none"/>
        </w:rPr>
      </w:pPr>
      <w:r>
        <w:rPr>
          <w:rFonts w:hint="eastAsia" w:ascii="仿宋" w:hAnsi="仿宋" w:cs="仿宋"/>
          <w:highlight w:val="none"/>
        </w:rPr>
        <w:t xml:space="preserve">被授权人签字  </w:t>
      </w:r>
    </w:p>
    <w:p>
      <w:pPr>
        <w:pStyle w:val="54"/>
        <w:rPr>
          <w:rFonts w:ascii="仿宋" w:hAnsi="仿宋" w:cs="仿宋"/>
          <w:highlight w:val="none"/>
        </w:rPr>
      </w:pPr>
      <w:r>
        <w:rPr>
          <w:rFonts w:hint="eastAsia" w:ascii="仿宋" w:hAnsi="仿宋" w:cs="仿宋"/>
          <w:highlight w:val="none"/>
        </w:rPr>
        <w:t xml:space="preserve">被授权人电话：                          </w:t>
      </w:r>
    </w:p>
    <w:p>
      <w:pPr>
        <w:pStyle w:val="54"/>
        <w:rPr>
          <w:rFonts w:ascii="仿宋" w:hAnsi="仿宋" w:cs="仿宋"/>
          <w:highlight w:val="none"/>
        </w:rPr>
      </w:pPr>
      <w:r>
        <w:rPr>
          <w:rFonts w:hint="eastAsia" w:ascii="仿宋" w:hAnsi="仿宋" w:cs="仿宋"/>
          <w:highlight w:val="none"/>
        </w:rPr>
        <w:t xml:space="preserve">投标人名称（公章） </w:t>
      </w:r>
    </w:p>
    <w:p>
      <w:pPr>
        <w:pStyle w:val="54"/>
        <w:rPr>
          <w:rFonts w:ascii="仿宋" w:hAnsi="仿宋" w:cs="仿宋"/>
          <w:highlight w:val="none"/>
        </w:rPr>
      </w:pPr>
      <w:r>
        <w:rPr>
          <w:rFonts w:hint="eastAsia" w:ascii="仿宋" w:hAnsi="仿宋" w:cs="仿宋"/>
          <w:highlight w:val="none"/>
        </w:rPr>
        <w:t xml:space="preserve">日期：      年    月    日                      </w:t>
      </w:r>
    </w:p>
    <w:p>
      <w:pPr>
        <w:rPr>
          <w:rFonts w:ascii="仿宋" w:hAnsi="仿宋" w:eastAsia="仿宋" w:cs="仿宋"/>
          <w:b/>
          <w:bCs/>
          <w:color w:val="000000"/>
          <w:sz w:val="24"/>
          <w:szCs w:val="24"/>
          <w:highlight w:val="none"/>
        </w:rPr>
        <w:sectPr>
          <w:pgSz w:w="11906" w:h="16838"/>
          <w:pgMar w:top="1588" w:right="1418" w:bottom="1134" w:left="1418" w:header="851" w:footer="992" w:gutter="0"/>
          <w:pgNumType w:fmt="numberInDash"/>
          <w:cols w:space="720" w:num="1"/>
          <w:titlePg/>
          <w:docGrid w:type="lines" w:linePitch="312" w:charSpace="0"/>
        </w:sectPr>
      </w:pPr>
    </w:p>
    <w:p>
      <w:pPr>
        <w:pStyle w:val="50"/>
        <w:rPr>
          <w:highlight w:val="none"/>
        </w:rPr>
      </w:pPr>
      <w:bookmarkStart w:id="21" w:name="_Toc22788"/>
      <w:r>
        <w:rPr>
          <w:rFonts w:hint="eastAsia" w:cs="宋体"/>
          <w:highlight w:val="none"/>
        </w:rPr>
        <w:t>附件</w:t>
      </w:r>
      <w:r>
        <w:rPr>
          <w:rFonts w:cs="宋体"/>
          <w:highlight w:val="none"/>
        </w:rPr>
        <w:t>3</w:t>
      </w:r>
      <w:r>
        <w:rPr>
          <w:rFonts w:hint="eastAsia"/>
          <w:highlight w:val="none"/>
        </w:rPr>
        <w:t>技术规格偏离表</w:t>
      </w:r>
      <w:bookmarkEnd w:id="21"/>
    </w:p>
    <w:p>
      <w:pPr>
        <w:pStyle w:val="54"/>
        <w:rPr>
          <w:rFonts w:hint="eastAsia" w:eastAsia="仿宋"/>
          <w:highlight w:val="none"/>
          <w:lang w:eastAsia="zh-CN"/>
        </w:rPr>
      </w:pPr>
      <w:r>
        <w:rPr>
          <w:rFonts w:hint="eastAsia" w:ascii="仿宋" w:hAnsi="仿宋" w:cs="仿宋"/>
          <w:highlight w:val="none"/>
        </w:rPr>
        <w:t>项目名称：</w:t>
      </w:r>
      <w:r>
        <w:rPr>
          <w:rFonts w:hint="eastAsia"/>
          <w:highlight w:val="none"/>
          <w:lang w:eastAsia="zh-CN"/>
        </w:rPr>
        <w:t>整车性能及可靠性试验场地技术服务项目</w:t>
      </w:r>
    </w:p>
    <w:tbl>
      <w:tblPr>
        <w:tblStyle w:val="32"/>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4589"/>
        <w:gridCol w:w="1861"/>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vAlign w:val="center"/>
          </w:tcPr>
          <w:p>
            <w:pPr>
              <w:pStyle w:val="84"/>
              <w:rPr>
                <w:highlight w:val="none"/>
              </w:rPr>
            </w:pPr>
            <w:r>
              <w:rPr>
                <w:rFonts w:hint="eastAsia" w:ascii="宋体" w:hAnsi="宋体" w:eastAsia="宋体" w:cs="宋体"/>
                <w:highlight w:val="none"/>
              </w:rPr>
              <w:t>序号</w:t>
            </w:r>
          </w:p>
        </w:tc>
        <w:tc>
          <w:tcPr>
            <w:tcW w:w="4589" w:type="dxa"/>
            <w:vAlign w:val="center"/>
          </w:tcPr>
          <w:p>
            <w:pPr>
              <w:pStyle w:val="84"/>
              <w:rPr>
                <w:highlight w:val="none"/>
              </w:rPr>
            </w:pPr>
            <w:r>
              <w:rPr>
                <w:rFonts w:hint="eastAsia" w:ascii="宋体" w:hAnsi="宋体" w:eastAsia="宋体" w:cs="宋体"/>
                <w:highlight w:val="none"/>
              </w:rPr>
              <w:t>招标要求</w:t>
            </w:r>
          </w:p>
        </w:tc>
        <w:tc>
          <w:tcPr>
            <w:tcW w:w="1861" w:type="dxa"/>
            <w:vAlign w:val="center"/>
          </w:tcPr>
          <w:p>
            <w:pPr>
              <w:pStyle w:val="84"/>
              <w:rPr>
                <w:highlight w:val="none"/>
              </w:rPr>
            </w:pPr>
            <w:r>
              <w:rPr>
                <w:rFonts w:hint="eastAsia" w:ascii="宋体" w:hAnsi="宋体" w:eastAsia="宋体" w:cs="宋体"/>
                <w:highlight w:val="none"/>
              </w:rPr>
              <w:t>响应规格</w:t>
            </w:r>
          </w:p>
        </w:tc>
        <w:tc>
          <w:tcPr>
            <w:tcW w:w="1819" w:type="dxa"/>
            <w:vAlign w:val="center"/>
          </w:tcPr>
          <w:p>
            <w:pPr>
              <w:pStyle w:val="84"/>
              <w:rPr>
                <w:highlight w:val="none"/>
              </w:rPr>
            </w:pPr>
            <w:r>
              <w:rPr>
                <w:rFonts w:hint="eastAsia" w:ascii="宋体" w:hAnsi="宋体" w:eastAsia="宋体" w:cs="宋体"/>
                <w:highlight w:val="none"/>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vAlign w:val="center"/>
          </w:tcPr>
          <w:p>
            <w:pPr>
              <w:pStyle w:val="84"/>
              <w:rPr>
                <w:rFonts w:ascii="仿宋" w:hAnsi="仿宋" w:cs="仿宋"/>
                <w:b w:val="0"/>
                <w:bCs/>
                <w:sz w:val="24"/>
                <w:highlight w:val="none"/>
              </w:rPr>
            </w:pPr>
            <w:r>
              <w:rPr>
                <w:rFonts w:hint="eastAsia" w:ascii="仿宋" w:hAnsi="仿宋" w:cs="仿宋"/>
                <w:b w:val="0"/>
                <w:bCs/>
                <w:sz w:val="24"/>
                <w:highlight w:val="none"/>
              </w:rPr>
              <w:t>1</w:t>
            </w:r>
          </w:p>
        </w:tc>
        <w:tc>
          <w:tcPr>
            <w:tcW w:w="4589" w:type="dxa"/>
            <w:vAlign w:val="center"/>
          </w:tcPr>
          <w:p>
            <w:pPr>
              <w:pStyle w:val="84"/>
              <w:rPr>
                <w:rFonts w:ascii="仿宋" w:hAnsi="仿宋" w:cs="仿宋"/>
                <w:b w:val="0"/>
                <w:bCs/>
                <w:sz w:val="24"/>
                <w:szCs w:val="22"/>
                <w:highlight w:val="none"/>
              </w:rPr>
            </w:pPr>
          </w:p>
        </w:tc>
        <w:tc>
          <w:tcPr>
            <w:tcW w:w="1861" w:type="dxa"/>
            <w:vAlign w:val="center"/>
          </w:tcPr>
          <w:p>
            <w:pPr>
              <w:pStyle w:val="84"/>
              <w:rPr>
                <w:rFonts w:ascii="仿宋" w:hAnsi="仿宋" w:cs="仿宋"/>
                <w:sz w:val="24"/>
                <w:highlight w:val="none"/>
              </w:rPr>
            </w:pPr>
          </w:p>
        </w:tc>
        <w:tc>
          <w:tcPr>
            <w:tcW w:w="1819" w:type="dxa"/>
            <w:vAlign w:val="center"/>
          </w:tcPr>
          <w:p>
            <w:pPr>
              <w:pStyle w:val="84"/>
              <w:rPr>
                <w:rFonts w:ascii="仿宋" w:hAnsi="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vAlign w:val="center"/>
          </w:tcPr>
          <w:p>
            <w:pPr>
              <w:pStyle w:val="84"/>
              <w:rPr>
                <w:rFonts w:ascii="仿宋" w:hAnsi="仿宋" w:cs="仿宋"/>
                <w:b w:val="0"/>
                <w:bCs/>
                <w:sz w:val="24"/>
                <w:highlight w:val="none"/>
              </w:rPr>
            </w:pPr>
            <w:r>
              <w:rPr>
                <w:rFonts w:hint="eastAsia" w:ascii="仿宋" w:hAnsi="仿宋" w:cs="仿宋"/>
                <w:b w:val="0"/>
                <w:bCs/>
                <w:sz w:val="24"/>
                <w:highlight w:val="none"/>
              </w:rPr>
              <w:t>2</w:t>
            </w:r>
          </w:p>
        </w:tc>
        <w:tc>
          <w:tcPr>
            <w:tcW w:w="4589" w:type="dxa"/>
            <w:vAlign w:val="center"/>
          </w:tcPr>
          <w:p>
            <w:pPr>
              <w:pStyle w:val="84"/>
              <w:rPr>
                <w:rFonts w:ascii="仿宋" w:hAnsi="仿宋" w:cs="仿宋"/>
                <w:b w:val="0"/>
                <w:bCs/>
                <w:sz w:val="24"/>
                <w:szCs w:val="22"/>
                <w:highlight w:val="none"/>
              </w:rPr>
            </w:pPr>
          </w:p>
        </w:tc>
        <w:tc>
          <w:tcPr>
            <w:tcW w:w="1861" w:type="dxa"/>
            <w:vAlign w:val="center"/>
          </w:tcPr>
          <w:p>
            <w:pPr>
              <w:pStyle w:val="84"/>
              <w:rPr>
                <w:rFonts w:ascii="仿宋" w:hAnsi="仿宋" w:cs="仿宋"/>
                <w:sz w:val="24"/>
                <w:highlight w:val="none"/>
              </w:rPr>
            </w:pPr>
          </w:p>
        </w:tc>
        <w:tc>
          <w:tcPr>
            <w:tcW w:w="1819" w:type="dxa"/>
            <w:vAlign w:val="center"/>
          </w:tcPr>
          <w:p>
            <w:pPr>
              <w:pStyle w:val="84"/>
              <w:rPr>
                <w:rFonts w:ascii="仿宋" w:hAnsi="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vAlign w:val="center"/>
          </w:tcPr>
          <w:p>
            <w:pPr>
              <w:pStyle w:val="84"/>
              <w:rPr>
                <w:rFonts w:ascii="仿宋" w:hAnsi="仿宋" w:cs="仿宋"/>
                <w:b w:val="0"/>
                <w:bCs/>
                <w:sz w:val="24"/>
                <w:highlight w:val="none"/>
              </w:rPr>
            </w:pPr>
            <w:r>
              <w:rPr>
                <w:rFonts w:hint="eastAsia" w:ascii="仿宋" w:hAnsi="仿宋" w:cs="仿宋"/>
                <w:b w:val="0"/>
                <w:bCs/>
                <w:sz w:val="24"/>
                <w:highlight w:val="none"/>
              </w:rPr>
              <w:t>3</w:t>
            </w:r>
          </w:p>
        </w:tc>
        <w:tc>
          <w:tcPr>
            <w:tcW w:w="4589" w:type="dxa"/>
            <w:vAlign w:val="center"/>
          </w:tcPr>
          <w:p>
            <w:pPr>
              <w:pStyle w:val="84"/>
              <w:rPr>
                <w:rFonts w:ascii="仿宋" w:hAnsi="仿宋" w:cs="仿宋"/>
                <w:b w:val="0"/>
                <w:bCs/>
                <w:sz w:val="24"/>
                <w:highlight w:val="none"/>
              </w:rPr>
            </w:pPr>
          </w:p>
        </w:tc>
        <w:tc>
          <w:tcPr>
            <w:tcW w:w="1861" w:type="dxa"/>
            <w:vAlign w:val="center"/>
          </w:tcPr>
          <w:p>
            <w:pPr>
              <w:pStyle w:val="84"/>
              <w:rPr>
                <w:rFonts w:ascii="仿宋" w:hAnsi="仿宋" w:cs="仿宋"/>
                <w:sz w:val="24"/>
                <w:highlight w:val="none"/>
              </w:rPr>
            </w:pPr>
          </w:p>
        </w:tc>
        <w:tc>
          <w:tcPr>
            <w:tcW w:w="1819" w:type="dxa"/>
            <w:vAlign w:val="center"/>
          </w:tcPr>
          <w:p>
            <w:pPr>
              <w:pStyle w:val="84"/>
              <w:rPr>
                <w:rFonts w:ascii="仿宋" w:hAnsi="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787" w:type="dxa"/>
            <w:vAlign w:val="center"/>
          </w:tcPr>
          <w:p>
            <w:pPr>
              <w:pStyle w:val="84"/>
              <w:rPr>
                <w:rFonts w:ascii="仿宋" w:hAnsi="仿宋" w:cs="仿宋"/>
                <w:b w:val="0"/>
                <w:bCs/>
                <w:sz w:val="24"/>
                <w:highlight w:val="none"/>
              </w:rPr>
            </w:pPr>
            <w:r>
              <w:rPr>
                <w:rFonts w:hint="eastAsia" w:ascii="仿宋" w:hAnsi="仿宋" w:cs="仿宋"/>
                <w:b w:val="0"/>
                <w:bCs/>
                <w:sz w:val="24"/>
                <w:highlight w:val="none"/>
              </w:rPr>
              <w:t>4</w:t>
            </w:r>
          </w:p>
        </w:tc>
        <w:tc>
          <w:tcPr>
            <w:tcW w:w="4589" w:type="dxa"/>
            <w:vAlign w:val="center"/>
          </w:tcPr>
          <w:p>
            <w:pPr>
              <w:pStyle w:val="84"/>
              <w:rPr>
                <w:b w:val="0"/>
                <w:bCs/>
                <w:sz w:val="24"/>
                <w:highlight w:val="none"/>
              </w:rPr>
            </w:pPr>
          </w:p>
        </w:tc>
        <w:tc>
          <w:tcPr>
            <w:tcW w:w="1861" w:type="dxa"/>
            <w:vAlign w:val="center"/>
          </w:tcPr>
          <w:p>
            <w:pPr>
              <w:pStyle w:val="84"/>
              <w:rPr>
                <w:sz w:val="24"/>
                <w:highlight w:val="none"/>
              </w:rPr>
            </w:pPr>
          </w:p>
        </w:tc>
        <w:tc>
          <w:tcPr>
            <w:tcW w:w="1819" w:type="dxa"/>
            <w:vAlign w:val="center"/>
          </w:tcPr>
          <w:p>
            <w:pPr>
              <w:pStyle w:val="84"/>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vAlign w:val="center"/>
          </w:tcPr>
          <w:p>
            <w:pPr>
              <w:pStyle w:val="84"/>
              <w:rPr>
                <w:rFonts w:ascii="仿宋" w:hAnsi="仿宋" w:cs="仿宋"/>
                <w:b w:val="0"/>
                <w:bCs/>
                <w:sz w:val="24"/>
                <w:highlight w:val="none"/>
              </w:rPr>
            </w:pPr>
            <w:r>
              <w:rPr>
                <w:rFonts w:hint="eastAsia" w:ascii="仿宋" w:hAnsi="仿宋" w:cs="仿宋"/>
                <w:b w:val="0"/>
                <w:bCs/>
                <w:sz w:val="24"/>
                <w:highlight w:val="none"/>
              </w:rPr>
              <w:t>5</w:t>
            </w:r>
          </w:p>
        </w:tc>
        <w:tc>
          <w:tcPr>
            <w:tcW w:w="4589" w:type="dxa"/>
            <w:vAlign w:val="center"/>
          </w:tcPr>
          <w:p>
            <w:pPr>
              <w:pStyle w:val="84"/>
              <w:rPr>
                <w:b w:val="0"/>
                <w:bCs/>
                <w:sz w:val="24"/>
                <w:highlight w:val="none"/>
              </w:rPr>
            </w:pPr>
          </w:p>
        </w:tc>
        <w:tc>
          <w:tcPr>
            <w:tcW w:w="1861" w:type="dxa"/>
            <w:vAlign w:val="center"/>
          </w:tcPr>
          <w:p>
            <w:pPr>
              <w:pStyle w:val="84"/>
              <w:rPr>
                <w:sz w:val="24"/>
                <w:highlight w:val="none"/>
              </w:rPr>
            </w:pPr>
          </w:p>
        </w:tc>
        <w:tc>
          <w:tcPr>
            <w:tcW w:w="1819" w:type="dxa"/>
            <w:vAlign w:val="center"/>
          </w:tcPr>
          <w:p>
            <w:pPr>
              <w:pStyle w:val="84"/>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vAlign w:val="center"/>
          </w:tcPr>
          <w:p>
            <w:pPr>
              <w:pStyle w:val="84"/>
              <w:rPr>
                <w:rFonts w:ascii="仿宋" w:hAnsi="仿宋" w:cs="仿宋"/>
                <w:b w:val="0"/>
                <w:bCs/>
                <w:sz w:val="24"/>
                <w:highlight w:val="none"/>
              </w:rPr>
            </w:pPr>
            <w:r>
              <w:rPr>
                <w:rFonts w:hint="eastAsia" w:ascii="仿宋" w:hAnsi="仿宋" w:cs="仿宋"/>
                <w:b w:val="0"/>
                <w:bCs/>
                <w:sz w:val="24"/>
                <w:highlight w:val="none"/>
              </w:rPr>
              <w:t>6</w:t>
            </w:r>
          </w:p>
        </w:tc>
        <w:tc>
          <w:tcPr>
            <w:tcW w:w="4589" w:type="dxa"/>
            <w:vAlign w:val="center"/>
          </w:tcPr>
          <w:p>
            <w:pPr>
              <w:pStyle w:val="84"/>
              <w:rPr>
                <w:b w:val="0"/>
                <w:bCs/>
                <w:sz w:val="24"/>
                <w:highlight w:val="none"/>
              </w:rPr>
            </w:pPr>
          </w:p>
        </w:tc>
        <w:tc>
          <w:tcPr>
            <w:tcW w:w="1861" w:type="dxa"/>
            <w:vAlign w:val="center"/>
          </w:tcPr>
          <w:p>
            <w:pPr>
              <w:pStyle w:val="84"/>
              <w:rPr>
                <w:sz w:val="24"/>
                <w:highlight w:val="none"/>
              </w:rPr>
            </w:pPr>
          </w:p>
        </w:tc>
        <w:tc>
          <w:tcPr>
            <w:tcW w:w="1819" w:type="dxa"/>
            <w:vAlign w:val="center"/>
          </w:tcPr>
          <w:p>
            <w:pPr>
              <w:pStyle w:val="84"/>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vAlign w:val="center"/>
          </w:tcPr>
          <w:p>
            <w:pPr>
              <w:pStyle w:val="84"/>
              <w:rPr>
                <w:rFonts w:ascii="仿宋" w:hAnsi="仿宋" w:cs="仿宋"/>
                <w:sz w:val="24"/>
                <w:highlight w:val="none"/>
              </w:rPr>
            </w:pPr>
            <w:r>
              <w:rPr>
                <w:rFonts w:hint="eastAsia" w:ascii="仿宋" w:hAnsi="仿宋" w:cs="仿宋"/>
                <w:b w:val="0"/>
                <w:bCs/>
                <w:sz w:val="24"/>
                <w:highlight w:val="none"/>
              </w:rPr>
              <w:t>7</w:t>
            </w:r>
          </w:p>
        </w:tc>
        <w:tc>
          <w:tcPr>
            <w:tcW w:w="4589" w:type="dxa"/>
            <w:vAlign w:val="center"/>
          </w:tcPr>
          <w:p>
            <w:pPr>
              <w:pStyle w:val="84"/>
              <w:rPr>
                <w:sz w:val="24"/>
                <w:highlight w:val="none"/>
              </w:rPr>
            </w:pPr>
          </w:p>
        </w:tc>
        <w:tc>
          <w:tcPr>
            <w:tcW w:w="1861" w:type="dxa"/>
            <w:vAlign w:val="center"/>
          </w:tcPr>
          <w:p>
            <w:pPr>
              <w:pStyle w:val="84"/>
              <w:rPr>
                <w:sz w:val="24"/>
                <w:highlight w:val="none"/>
              </w:rPr>
            </w:pPr>
          </w:p>
        </w:tc>
        <w:tc>
          <w:tcPr>
            <w:tcW w:w="1819" w:type="dxa"/>
            <w:vAlign w:val="center"/>
          </w:tcPr>
          <w:p>
            <w:pPr>
              <w:pStyle w:val="84"/>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vAlign w:val="center"/>
          </w:tcPr>
          <w:p>
            <w:pPr>
              <w:pStyle w:val="84"/>
              <w:rPr>
                <w:rFonts w:hint="default" w:eastAsia="仿宋"/>
                <w:sz w:val="24"/>
                <w:highlight w:val="none"/>
                <w:lang w:val="en-US" w:eastAsia="zh-CN"/>
              </w:rPr>
            </w:pPr>
            <w:r>
              <w:rPr>
                <w:rFonts w:hint="eastAsia"/>
                <w:sz w:val="24"/>
                <w:highlight w:val="none"/>
                <w:lang w:val="en-US" w:eastAsia="zh-CN"/>
              </w:rPr>
              <w:t>……</w:t>
            </w:r>
          </w:p>
        </w:tc>
        <w:tc>
          <w:tcPr>
            <w:tcW w:w="4589" w:type="dxa"/>
            <w:vAlign w:val="center"/>
          </w:tcPr>
          <w:p>
            <w:pPr>
              <w:pStyle w:val="84"/>
              <w:rPr>
                <w:sz w:val="24"/>
                <w:highlight w:val="none"/>
              </w:rPr>
            </w:pPr>
          </w:p>
        </w:tc>
        <w:tc>
          <w:tcPr>
            <w:tcW w:w="1861" w:type="dxa"/>
            <w:vAlign w:val="center"/>
          </w:tcPr>
          <w:p>
            <w:pPr>
              <w:pStyle w:val="84"/>
              <w:rPr>
                <w:sz w:val="24"/>
                <w:highlight w:val="none"/>
              </w:rPr>
            </w:pPr>
          </w:p>
        </w:tc>
        <w:tc>
          <w:tcPr>
            <w:tcW w:w="1819" w:type="dxa"/>
            <w:vAlign w:val="center"/>
          </w:tcPr>
          <w:p>
            <w:pPr>
              <w:pStyle w:val="84"/>
              <w:rPr>
                <w:sz w:val="24"/>
                <w:highlight w:val="none"/>
              </w:rPr>
            </w:pPr>
          </w:p>
        </w:tc>
      </w:tr>
    </w:tbl>
    <w:p>
      <w:pPr>
        <w:spacing w:line="660" w:lineRule="exact"/>
        <w:rPr>
          <w:rFonts w:ascii="仿宋" w:hAnsi="仿宋" w:eastAsia="仿宋" w:cs="仿宋"/>
          <w:sz w:val="24"/>
          <w:highlight w:val="none"/>
        </w:rPr>
      </w:pPr>
    </w:p>
    <w:p>
      <w:pPr>
        <w:spacing w:line="660" w:lineRule="exact"/>
        <w:rPr>
          <w:rFonts w:ascii="仿宋" w:hAnsi="仿宋" w:eastAsia="仿宋" w:cs="仿宋"/>
          <w:sz w:val="24"/>
          <w:highlight w:val="none"/>
        </w:rPr>
      </w:pPr>
      <w:r>
        <w:rPr>
          <w:rFonts w:hint="eastAsia" w:ascii="仿宋" w:hAnsi="仿宋" w:eastAsia="仿宋" w:cs="仿宋"/>
          <w:sz w:val="24"/>
          <w:highlight w:val="none"/>
        </w:rPr>
        <w:t>投标人：（盖章）</w:t>
      </w:r>
    </w:p>
    <w:p>
      <w:pPr>
        <w:spacing w:line="660" w:lineRule="exact"/>
        <w:rPr>
          <w:rFonts w:ascii="仿宋" w:hAnsi="仿宋" w:eastAsia="仿宋" w:cs="仿宋"/>
          <w:sz w:val="24"/>
          <w:highlight w:val="none"/>
        </w:rPr>
      </w:pPr>
      <w:r>
        <w:rPr>
          <w:rFonts w:hint="eastAsia" w:ascii="仿宋" w:hAnsi="仿宋" w:eastAsia="仿宋" w:cs="仿宋"/>
          <w:sz w:val="24"/>
          <w:highlight w:val="none"/>
        </w:rPr>
        <w:t>法定代表人（委托代理人）：（签字）</w:t>
      </w:r>
    </w:p>
    <w:p>
      <w:pPr>
        <w:rPr>
          <w:rFonts w:ascii="黑体" w:eastAsia="黑体"/>
          <w:color w:val="000000"/>
          <w:sz w:val="24"/>
          <w:szCs w:val="24"/>
          <w:highlight w:val="none"/>
        </w:rPr>
      </w:pPr>
    </w:p>
    <w:p>
      <w:pPr>
        <w:rPr>
          <w:rFonts w:ascii="宋体" w:hAnsi="宋体" w:cs="宋体"/>
          <w:b/>
          <w:bCs/>
          <w:color w:val="000000"/>
          <w:sz w:val="28"/>
          <w:highlight w:val="none"/>
        </w:rPr>
      </w:pPr>
    </w:p>
    <w:p>
      <w:pPr>
        <w:rPr>
          <w:rFonts w:ascii="宋体" w:hAnsi="宋体" w:cs="宋体"/>
          <w:b/>
          <w:bCs/>
          <w:color w:val="000000"/>
          <w:sz w:val="28"/>
          <w:highlight w:val="none"/>
        </w:rPr>
      </w:pPr>
    </w:p>
    <w:p>
      <w:pPr>
        <w:widowControl/>
        <w:jc w:val="left"/>
        <w:rPr>
          <w:rFonts w:ascii="宋体" w:hAnsi="宋体" w:cs="宋体"/>
          <w:b/>
          <w:bCs/>
          <w:color w:val="000000"/>
          <w:sz w:val="28"/>
          <w:highlight w:val="none"/>
        </w:rPr>
      </w:pPr>
      <w:r>
        <w:rPr>
          <w:rFonts w:hAnsi="宋体" w:cs="宋体"/>
          <w:b/>
          <w:bCs/>
          <w:color w:val="000000"/>
          <w:sz w:val="28"/>
          <w:highlight w:val="none"/>
        </w:rPr>
        <w:br w:type="page"/>
      </w:r>
    </w:p>
    <w:p>
      <w:pPr>
        <w:pStyle w:val="50"/>
        <w:rPr>
          <w:highlight w:val="none"/>
        </w:rPr>
      </w:pPr>
      <w:bookmarkStart w:id="22" w:name="_Toc12650"/>
      <w:r>
        <w:rPr>
          <w:rFonts w:hint="eastAsia"/>
          <w:highlight w:val="none"/>
        </w:rPr>
        <w:t>附件</w:t>
      </w:r>
      <w:r>
        <w:rPr>
          <w:highlight w:val="none"/>
        </w:rPr>
        <w:t>4</w:t>
      </w:r>
      <w:r>
        <w:rPr>
          <w:rFonts w:hint="eastAsia"/>
          <w:highlight w:val="none"/>
        </w:rPr>
        <w:t>近</w:t>
      </w:r>
      <w:r>
        <w:rPr>
          <w:rFonts w:hint="eastAsia"/>
          <w:highlight w:val="none"/>
          <w:lang w:val="en-US" w:eastAsia="zh-CN"/>
        </w:rPr>
        <w:t>×</w:t>
      </w:r>
      <w:r>
        <w:rPr>
          <w:rFonts w:hint="eastAsia"/>
          <w:highlight w:val="none"/>
        </w:rPr>
        <w:t>年同类项目业绩一览表及有效合同复印件</w:t>
      </w:r>
      <w:bookmarkEnd w:id="22"/>
    </w:p>
    <w:p>
      <w:pPr>
        <w:pStyle w:val="54"/>
        <w:rPr>
          <w:rFonts w:hint="eastAsia" w:eastAsia="仿宋"/>
          <w:highlight w:val="none"/>
          <w:lang w:eastAsia="zh-CN"/>
        </w:rPr>
      </w:pPr>
      <w:r>
        <w:rPr>
          <w:rFonts w:hint="eastAsia"/>
          <w:highlight w:val="none"/>
        </w:rPr>
        <w:t>项目名称：</w:t>
      </w:r>
      <w:r>
        <w:rPr>
          <w:rFonts w:hint="eastAsia"/>
          <w:highlight w:val="none"/>
          <w:lang w:eastAsia="zh-CN"/>
        </w:rPr>
        <w:t>整车性能及可靠性试验场地技术服务项目</w:t>
      </w:r>
    </w:p>
    <w:tbl>
      <w:tblPr>
        <w:tblStyle w:val="32"/>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991"/>
        <w:gridCol w:w="1678"/>
        <w:gridCol w:w="714"/>
        <w:gridCol w:w="1188"/>
        <w:gridCol w:w="1149"/>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vAlign w:val="center"/>
          </w:tcPr>
          <w:p>
            <w:pPr>
              <w:pStyle w:val="23"/>
              <w:jc w:val="center"/>
              <w:rPr>
                <w:rFonts w:ascii="宋体" w:hAnsi="宋体"/>
                <w:b/>
                <w:szCs w:val="21"/>
                <w:highlight w:val="none"/>
              </w:rPr>
            </w:pPr>
            <w:r>
              <w:rPr>
                <w:rFonts w:hint="eastAsia" w:ascii="宋体" w:hAnsi="宋体"/>
                <w:b/>
                <w:szCs w:val="21"/>
                <w:highlight w:val="none"/>
              </w:rPr>
              <w:t>序号</w:t>
            </w:r>
          </w:p>
        </w:tc>
        <w:tc>
          <w:tcPr>
            <w:tcW w:w="1991" w:type="dxa"/>
            <w:vAlign w:val="center"/>
          </w:tcPr>
          <w:p>
            <w:pPr>
              <w:pStyle w:val="23"/>
              <w:jc w:val="center"/>
              <w:rPr>
                <w:rFonts w:ascii="宋体" w:hAnsi="宋体"/>
                <w:b/>
                <w:szCs w:val="21"/>
                <w:highlight w:val="none"/>
              </w:rPr>
            </w:pPr>
            <w:r>
              <w:rPr>
                <w:rFonts w:hint="eastAsia" w:ascii="宋体" w:hAnsi="宋体"/>
                <w:b/>
                <w:szCs w:val="21"/>
                <w:highlight w:val="none"/>
              </w:rPr>
              <w:t>采购单位</w:t>
            </w:r>
          </w:p>
        </w:tc>
        <w:tc>
          <w:tcPr>
            <w:tcW w:w="1678" w:type="dxa"/>
            <w:vAlign w:val="center"/>
          </w:tcPr>
          <w:p>
            <w:pPr>
              <w:pStyle w:val="23"/>
              <w:jc w:val="center"/>
              <w:rPr>
                <w:rFonts w:ascii="宋体" w:hAnsi="宋体"/>
                <w:b/>
                <w:szCs w:val="21"/>
                <w:highlight w:val="none"/>
              </w:rPr>
            </w:pPr>
            <w:r>
              <w:rPr>
                <w:rFonts w:hint="eastAsia" w:ascii="宋体" w:hAnsi="宋体"/>
                <w:b/>
                <w:szCs w:val="21"/>
                <w:highlight w:val="none"/>
              </w:rPr>
              <w:t>项目名称</w:t>
            </w:r>
          </w:p>
        </w:tc>
        <w:tc>
          <w:tcPr>
            <w:tcW w:w="714" w:type="dxa"/>
            <w:vAlign w:val="center"/>
          </w:tcPr>
          <w:p>
            <w:pPr>
              <w:pStyle w:val="23"/>
              <w:jc w:val="center"/>
              <w:rPr>
                <w:rFonts w:ascii="宋体" w:hAnsi="宋体"/>
                <w:b/>
                <w:szCs w:val="21"/>
                <w:highlight w:val="none"/>
              </w:rPr>
            </w:pPr>
            <w:r>
              <w:rPr>
                <w:rFonts w:hint="eastAsia" w:ascii="宋体" w:hAnsi="宋体"/>
                <w:b/>
                <w:szCs w:val="21"/>
                <w:highlight w:val="none"/>
              </w:rPr>
              <w:t>数量</w:t>
            </w:r>
          </w:p>
        </w:tc>
        <w:tc>
          <w:tcPr>
            <w:tcW w:w="1188" w:type="dxa"/>
            <w:vAlign w:val="center"/>
          </w:tcPr>
          <w:p>
            <w:pPr>
              <w:pStyle w:val="23"/>
              <w:jc w:val="center"/>
              <w:rPr>
                <w:rFonts w:ascii="宋体" w:hAnsi="宋体"/>
                <w:b/>
                <w:szCs w:val="21"/>
                <w:highlight w:val="none"/>
              </w:rPr>
            </w:pPr>
            <w:r>
              <w:rPr>
                <w:rFonts w:hint="eastAsia" w:ascii="宋体" w:hAnsi="宋体"/>
                <w:b/>
                <w:szCs w:val="21"/>
                <w:highlight w:val="none"/>
              </w:rPr>
              <w:t>合同金额</w:t>
            </w:r>
          </w:p>
        </w:tc>
        <w:tc>
          <w:tcPr>
            <w:tcW w:w="1149" w:type="dxa"/>
            <w:vAlign w:val="center"/>
          </w:tcPr>
          <w:p>
            <w:pPr>
              <w:pStyle w:val="23"/>
              <w:ind w:left="0" w:firstLine="0"/>
              <w:jc w:val="center"/>
              <w:rPr>
                <w:rFonts w:ascii="宋体" w:hAnsi="宋体"/>
                <w:b/>
                <w:szCs w:val="21"/>
                <w:highlight w:val="none"/>
              </w:rPr>
            </w:pPr>
            <w:r>
              <w:rPr>
                <w:rFonts w:hint="eastAsia" w:ascii="宋体" w:hAnsi="宋体"/>
                <w:b/>
                <w:szCs w:val="21"/>
                <w:highlight w:val="none"/>
              </w:rPr>
              <w:t>合同签订时间</w:t>
            </w:r>
          </w:p>
        </w:tc>
        <w:tc>
          <w:tcPr>
            <w:tcW w:w="1587" w:type="dxa"/>
            <w:vAlign w:val="center"/>
          </w:tcPr>
          <w:p>
            <w:pPr>
              <w:pStyle w:val="23"/>
              <w:jc w:val="center"/>
              <w:rPr>
                <w:rFonts w:ascii="宋体" w:hAnsi="宋体"/>
                <w:b/>
                <w:szCs w:val="21"/>
                <w:highlight w:val="none"/>
              </w:rPr>
            </w:pPr>
            <w:r>
              <w:rPr>
                <w:rFonts w:hint="eastAsia" w:ascii="宋体" w:hAnsi="宋体"/>
                <w:b/>
                <w:szCs w:val="21"/>
                <w:highlight w:val="none"/>
              </w:rPr>
              <w:t>联系人及</w:t>
            </w:r>
          </w:p>
          <w:p>
            <w:pPr>
              <w:pStyle w:val="23"/>
              <w:jc w:val="center"/>
              <w:rPr>
                <w:rFonts w:ascii="宋体" w:hAnsi="宋体"/>
                <w:b/>
                <w:szCs w:val="21"/>
                <w:highlight w:val="none"/>
              </w:rPr>
            </w:pPr>
            <w:r>
              <w:rPr>
                <w:rFonts w:hint="eastAsia" w:ascii="宋体" w:hAnsi="宋体"/>
                <w:b/>
                <w:szCs w:val="21"/>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vAlign w:val="center"/>
          </w:tcPr>
          <w:p>
            <w:pPr>
              <w:widowControl/>
              <w:jc w:val="center"/>
              <w:textAlignment w:val="center"/>
              <w:rPr>
                <w:rFonts w:ascii="仿宋" w:hAnsi="仿宋" w:eastAsia="仿宋" w:cs="仿宋"/>
                <w:b/>
                <w:sz w:val="24"/>
                <w:szCs w:val="24"/>
                <w:highlight w:val="none"/>
              </w:rPr>
            </w:pPr>
          </w:p>
        </w:tc>
        <w:tc>
          <w:tcPr>
            <w:tcW w:w="1991" w:type="dxa"/>
            <w:vAlign w:val="center"/>
          </w:tcPr>
          <w:p>
            <w:pPr>
              <w:widowControl/>
              <w:jc w:val="left"/>
              <w:textAlignment w:val="center"/>
              <w:rPr>
                <w:rFonts w:ascii="仿宋" w:hAnsi="仿宋" w:eastAsia="仿宋" w:cs="仿宋"/>
                <w:b/>
                <w:sz w:val="24"/>
                <w:szCs w:val="24"/>
                <w:highlight w:val="none"/>
              </w:rPr>
            </w:pPr>
          </w:p>
        </w:tc>
        <w:tc>
          <w:tcPr>
            <w:tcW w:w="1678" w:type="dxa"/>
            <w:vAlign w:val="center"/>
          </w:tcPr>
          <w:p>
            <w:pPr>
              <w:widowControl/>
              <w:jc w:val="left"/>
              <w:textAlignment w:val="center"/>
              <w:rPr>
                <w:rFonts w:ascii="仿宋" w:hAnsi="仿宋" w:eastAsia="仿宋" w:cs="仿宋"/>
                <w:b/>
                <w:sz w:val="24"/>
                <w:szCs w:val="24"/>
                <w:highlight w:val="none"/>
              </w:rPr>
            </w:pPr>
          </w:p>
        </w:tc>
        <w:tc>
          <w:tcPr>
            <w:tcW w:w="714" w:type="dxa"/>
            <w:vAlign w:val="center"/>
          </w:tcPr>
          <w:p>
            <w:pPr>
              <w:widowControl/>
              <w:jc w:val="center"/>
              <w:textAlignment w:val="center"/>
              <w:rPr>
                <w:rFonts w:ascii="仿宋" w:hAnsi="仿宋" w:eastAsia="仿宋" w:cs="仿宋"/>
                <w:b/>
                <w:sz w:val="24"/>
                <w:szCs w:val="24"/>
                <w:highlight w:val="none"/>
              </w:rPr>
            </w:pPr>
          </w:p>
        </w:tc>
        <w:tc>
          <w:tcPr>
            <w:tcW w:w="1188" w:type="dxa"/>
            <w:vAlign w:val="center"/>
          </w:tcPr>
          <w:p>
            <w:pPr>
              <w:widowControl/>
              <w:jc w:val="center"/>
              <w:textAlignment w:val="center"/>
              <w:rPr>
                <w:rFonts w:ascii="仿宋" w:hAnsi="仿宋" w:eastAsia="仿宋" w:cs="仿宋"/>
                <w:b/>
                <w:sz w:val="24"/>
                <w:szCs w:val="24"/>
                <w:highlight w:val="none"/>
              </w:rPr>
            </w:pPr>
          </w:p>
        </w:tc>
        <w:tc>
          <w:tcPr>
            <w:tcW w:w="1149" w:type="dxa"/>
            <w:vAlign w:val="center"/>
          </w:tcPr>
          <w:p>
            <w:pPr>
              <w:jc w:val="center"/>
              <w:rPr>
                <w:rFonts w:ascii="仿宋" w:hAnsi="仿宋" w:eastAsia="仿宋" w:cs="仿宋"/>
                <w:b/>
                <w:sz w:val="24"/>
                <w:szCs w:val="24"/>
                <w:highlight w:val="none"/>
              </w:rPr>
            </w:pPr>
          </w:p>
        </w:tc>
        <w:tc>
          <w:tcPr>
            <w:tcW w:w="1587" w:type="dxa"/>
            <w:vAlign w:val="center"/>
          </w:tcPr>
          <w:p>
            <w:pPr>
              <w:jc w:val="center"/>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vAlign w:val="center"/>
          </w:tcPr>
          <w:p>
            <w:pPr>
              <w:widowControl/>
              <w:jc w:val="center"/>
              <w:textAlignment w:val="center"/>
              <w:rPr>
                <w:rFonts w:ascii="仿宋" w:hAnsi="仿宋" w:eastAsia="仿宋" w:cs="仿宋"/>
                <w:b/>
                <w:sz w:val="24"/>
                <w:szCs w:val="24"/>
                <w:highlight w:val="none"/>
              </w:rPr>
            </w:pPr>
          </w:p>
        </w:tc>
        <w:tc>
          <w:tcPr>
            <w:tcW w:w="1991" w:type="dxa"/>
            <w:vAlign w:val="center"/>
          </w:tcPr>
          <w:p>
            <w:pPr>
              <w:widowControl/>
              <w:jc w:val="left"/>
              <w:textAlignment w:val="center"/>
              <w:rPr>
                <w:rFonts w:ascii="仿宋" w:hAnsi="仿宋" w:eastAsia="仿宋" w:cs="仿宋"/>
                <w:b/>
                <w:sz w:val="24"/>
                <w:szCs w:val="24"/>
                <w:highlight w:val="none"/>
              </w:rPr>
            </w:pPr>
          </w:p>
        </w:tc>
        <w:tc>
          <w:tcPr>
            <w:tcW w:w="1678" w:type="dxa"/>
            <w:vAlign w:val="center"/>
          </w:tcPr>
          <w:p>
            <w:pPr>
              <w:widowControl/>
              <w:jc w:val="left"/>
              <w:textAlignment w:val="center"/>
              <w:rPr>
                <w:rFonts w:ascii="仿宋" w:hAnsi="仿宋" w:eastAsia="仿宋" w:cs="仿宋"/>
                <w:b/>
                <w:sz w:val="24"/>
                <w:szCs w:val="24"/>
                <w:highlight w:val="none"/>
              </w:rPr>
            </w:pPr>
          </w:p>
        </w:tc>
        <w:tc>
          <w:tcPr>
            <w:tcW w:w="714" w:type="dxa"/>
            <w:vAlign w:val="center"/>
          </w:tcPr>
          <w:p>
            <w:pPr>
              <w:widowControl/>
              <w:jc w:val="center"/>
              <w:textAlignment w:val="center"/>
              <w:rPr>
                <w:rFonts w:ascii="仿宋" w:hAnsi="仿宋" w:eastAsia="仿宋" w:cs="仿宋"/>
                <w:b/>
                <w:sz w:val="24"/>
                <w:szCs w:val="24"/>
                <w:highlight w:val="none"/>
              </w:rPr>
            </w:pPr>
          </w:p>
        </w:tc>
        <w:tc>
          <w:tcPr>
            <w:tcW w:w="1188" w:type="dxa"/>
            <w:vAlign w:val="center"/>
          </w:tcPr>
          <w:p>
            <w:pPr>
              <w:widowControl/>
              <w:jc w:val="center"/>
              <w:textAlignment w:val="center"/>
              <w:rPr>
                <w:rFonts w:ascii="仿宋" w:hAnsi="仿宋" w:eastAsia="仿宋" w:cs="仿宋"/>
                <w:b/>
                <w:sz w:val="24"/>
                <w:szCs w:val="24"/>
                <w:highlight w:val="none"/>
              </w:rPr>
            </w:pPr>
          </w:p>
        </w:tc>
        <w:tc>
          <w:tcPr>
            <w:tcW w:w="1149" w:type="dxa"/>
            <w:vAlign w:val="center"/>
          </w:tcPr>
          <w:p>
            <w:pPr>
              <w:widowControl/>
              <w:jc w:val="center"/>
              <w:textAlignment w:val="center"/>
              <w:rPr>
                <w:rFonts w:ascii="仿宋" w:hAnsi="仿宋" w:eastAsia="仿宋" w:cs="仿宋"/>
                <w:b/>
                <w:sz w:val="24"/>
                <w:szCs w:val="24"/>
                <w:highlight w:val="none"/>
              </w:rPr>
            </w:pPr>
          </w:p>
        </w:tc>
        <w:tc>
          <w:tcPr>
            <w:tcW w:w="1587" w:type="dxa"/>
            <w:vAlign w:val="center"/>
          </w:tcPr>
          <w:p>
            <w:pPr>
              <w:jc w:val="center"/>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vAlign w:val="center"/>
          </w:tcPr>
          <w:p>
            <w:pPr>
              <w:widowControl/>
              <w:jc w:val="center"/>
              <w:textAlignment w:val="center"/>
              <w:rPr>
                <w:rFonts w:ascii="仿宋" w:hAnsi="仿宋" w:eastAsia="仿宋" w:cs="仿宋"/>
                <w:b/>
                <w:sz w:val="24"/>
                <w:szCs w:val="24"/>
                <w:highlight w:val="none"/>
              </w:rPr>
            </w:pPr>
          </w:p>
        </w:tc>
        <w:tc>
          <w:tcPr>
            <w:tcW w:w="1991" w:type="dxa"/>
            <w:vAlign w:val="center"/>
          </w:tcPr>
          <w:p>
            <w:pPr>
              <w:widowControl/>
              <w:jc w:val="left"/>
              <w:textAlignment w:val="center"/>
              <w:rPr>
                <w:rFonts w:ascii="仿宋" w:hAnsi="仿宋" w:eastAsia="仿宋" w:cs="仿宋"/>
                <w:b/>
                <w:sz w:val="24"/>
                <w:szCs w:val="24"/>
                <w:highlight w:val="none"/>
              </w:rPr>
            </w:pPr>
          </w:p>
        </w:tc>
        <w:tc>
          <w:tcPr>
            <w:tcW w:w="1678" w:type="dxa"/>
            <w:vAlign w:val="center"/>
          </w:tcPr>
          <w:p>
            <w:pPr>
              <w:widowControl/>
              <w:jc w:val="left"/>
              <w:textAlignment w:val="center"/>
              <w:rPr>
                <w:rFonts w:ascii="仿宋" w:hAnsi="仿宋" w:eastAsia="仿宋" w:cs="仿宋"/>
                <w:b/>
                <w:sz w:val="24"/>
                <w:szCs w:val="24"/>
                <w:highlight w:val="none"/>
              </w:rPr>
            </w:pPr>
          </w:p>
        </w:tc>
        <w:tc>
          <w:tcPr>
            <w:tcW w:w="714" w:type="dxa"/>
            <w:vAlign w:val="center"/>
          </w:tcPr>
          <w:p>
            <w:pPr>
              <w:widowControl/>
              <w:jc w:val="center"/>
              <w:textAlignment w:val="center"/>
              <w:rPr>
                <w:rFonts w:ascii="仿宋" w:hAnsi="仿宋" w:eastAsia="仿宋" w:cs="仿宋"/>
                <w:b/>
                <w:sz w:val="24"/>
                <w:szCs w:val="24"/>
                <w:highlight w:val="none"/>
              </w:rPr>
            </w:pPr>
          </w:p>
        </w:tc>
        <w:tc>
          <w:tcPr>
            <w:tcW w:w="1188" w:type="dxa"/>
            <w:vAlign w:val="center"/>
          </w:tcPr>
          <w:p>
            <w:pPr>
              <w:widowControl/>
              <w:jc w:val="center"/>
              <w:textAlignment w:val="center"/>
              <w:rPr>
                <w:rFonts w:ascii="仿宋" w:hAnsi="仿宋" w:eastAsia="仿宋" w:cs="仿宋"/>
                <w:b/>
                <w:sz w:val="24"/>
                <w:szCs w:val="24"/>
                <w:highlight w:val="none"/>
              </w:rPr>
            </w:pPr>
          </w:p>
        </w:tc>
        <w:tc>
          <w:tcPr>
            <w:tcW w:w="1149" w:type="dxa"/>
            <w:vAlign w:val="center"/>
          </w:tcPr>
          <w:p>
            <w:pPr>
              <w:widowControl/>
              <w:jc w:val="center"/>
              <w:textAlignment w:val="center"/>
              <w:rPr>
                <w:rFonts w:ascii="仿宋" w:hAnsi="仿宋" w:eastAsia="仿宋" w:cs="仿宋"/>
                <w:b/>
                <w:sz w:val="24"/>
                <w:szCs w:val="24"/>
                <w:highlight w:val="none"/>
              </w:rPr>
            </w:pPr>
          </w:p>
        </w:tc>
        <w:tc>
          <w:tcPr>
            <w:tcW w:w="1587" w:type="dxa"/>
            <w:vAlign w:val="center"/>
          </w:tcPr>
          <w:p>
            <w:pPr>
              <w:jc w:val="center"/>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pPr>
              <w:pStyle w:val="23"/>
              <w:rPr>
                <w:rFonts w:ascii="宋体" w:hAnsi="宋体"/>
                <w:b/>
                <w:highlight w:val="none"/>
              </w:rPr>
            </w:pPr>
          </w:p>
        </w:tc>
        <w:tc>
          <w:tcPr>
            <w:tcW w:w="1991" w:type="dxa"/>
          </w:tcPr>
          <w:p>
            <w:pPr>
              <w:pStyle w:val="23"/>
              <w:rPr>
                <w:rFonts w:ascii="宋体" w:hAnsi="宋体"/>
                <w:b/>
                <w:highlight w:val="none"/>
              </w:rPr>
            </w:pPr>
          </w:p>
        </w:tc>
        <w:tc>
          <w:tcPr>
            <w:tcW w:w="1678" w:type="dxa"/>
          </w:tcPr>
          <w:p>
            <w:pPr>
              <w:pStyle w:val="23"/>
              <w:rPr>
                <w:rFonts w:ascii="宋体" w:hAnsi="宋体"/>
                <w:b/>
                <w:highlight w:val="none"/>
              </w:rPr>
            </w:pPr>
          </w:p>
        </w:tc>
        <w:tc>
          <w:tcPr>
            <w:tcW w:w="714" w:type="dxa"/>
          </w:tcPr>
          <w:p>
            <w:pPr>
              <w:pStyle w:val="23"/>
              <w:rPr>
                <w:rFonts w:ascii="宋体" w:hAnsi="宋体"/>
                <w:b/>
                <w:highlight w:val="none"/>
              </w:rPr>
            </w:pPr>
          </w:p>
        </w:tc>
        <w:tc>
          <w:tcPr>
            <w:tcW w:w="1188" w:type="dxa"/>
          </w:tcPr>
          <w:p>
            <w:pPr>
              <w:pStyle w:val="23"/>
              <w:rPr>
                <w:rFonts w:ascii="宋体" w:hAnsi="宋体"/>
                <w:b/>
                <w:highlight w:val="none"/>
              </w:rPr>
            </w:pPr>
          </w:p>
        </w:tc>
        <w:tc>
          <w:tcPr>
            <w:tcW w:w="1149" w:type="dxa"/>
          </w:tcPr>
          <w:p>
            <w:pPr>
              <w:pStyle w:val="23"/>
              <w:rPr>
                <w:rFonts w:ascii="宋体" w:hAnsi="宋体"/>
                <w:b/>
                <w:highlight w:val="none"/>
              </w:rPr>
            </w:pPr>
          </w:p>
        </w:tc>
        <w:tc>
          <w:tcPr>
            <w:tcW w:w="1587" w:type="dxa"/>
          </w:tcPr>
          <w:p>
            <w:pPr>
              <w:pStyle w:val="23"/>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pPr>
              <w:pStyle w:val="23"/>
              <w:rPr>
                <w:rFonts w:ascii="宋体" w:hAnsi="宋体"/>
                <w:b/>
                <w:highlight w:val="none"/>
              </w:rPr>
            </w:pPr>
          </w:p>
        </w:tc>
        <w:tc>
          <w:tcPr>
            <w:tcW w:w="1991" w:type="dxa"/>
          </w:tcPr>
          <w:p>
            <w:pPr>
              <w:pStyle w:val="23"/>
              <w:rPr>
                <w:rFonts w:ascii="宋体" w:hAnsi="宋体"/>
                <w:b/>
                <w:highlight w:val="none"/>
              </w:rPr>
            </w:pPr>
          </w:p>
        </w:tc>
        <w:tc>
          <w:tcPr>
            <w:tcW w:w="1678" w:type="dxa"/>
          </w:tcPr>
          <w:p>
            <w:pPr>
              <w:pStyle w:val="23"/>
              <w:rPr>
                <w:rFonts w:ascii="宋体" w:hAnsi="宋体"/>
                <w:b/>
                <w:highlight w:val="none"/>
              </w:rPr>
            </w:pPr>
          </w:p>
        </w:tc>
        <w:tc>
          <w:tcPr>
            <w:tcW w:w="714" w:type="dxa"/>
          </w:tcPr>
          <w:p>
            <w:pPr>
              <w:pStyle w:val="23"/>
              <w:rPr>
                <w:rFonts w:ascii="宋体" w:hAnsi="宋体"/>
                <w:b/>
                <w:highlight w:val="none"/>
              </w:rPr>
            </w:pPr>
          </w:p>
        </w:tc>
        <w:tc>
          <w:tcPr>
            <w:tcW w:w="1188" w:type="dxa"/>
          </w:tcPr>
          <w:p>
            <w:pPr>
              <w:pStyle w:val="23"/>
              <w:rPr>
                <w:rFonts w:ascii="宋体" w:hAnsi="宋体"/>
                <w:b/>
                <w:highlight w:val="none"/>
              </w:rPr>
            </w:pPr>
          </w:p>
        </w:tc>
        <w:tc>
          <w:tcPr>
            <w:tcW w:w="1149" w:type="dxa"/>
          </w:tcPr>
          <w:p>
            <w:pPr>
              <w:pStyle w:val="23"/>
              <w:rPr>
                <w:rFonts w:ascii="宋体" w:hAnsi="宋体"/>
                <w:b/>
                <w:highlight w:val="none"/>
              </w:rPr>
            </w:pPr>
          </w:p>
        </w:tc>
        <w:tc>
          <w:tcPr>
            <w:tcW w:w="1587" w:type="dxa"/>
          </w:tcPr>
          <w:p>
            <w:pPr>
              <w:pStyle w:val="23"/>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pPr>
              <w:pStyle w:val="23"/>
              <w:rPr>
                <w:rFonts w:ascii="宋体" w:hAnsi="宋体"/>
                <w:b/>
                <w:highlight w:val="none"/>
              </w:rPr>
            </w:pPr>
          </w:p>
        </w:tc>
        <w:tc>
          <w:tcPr>
            <w:tcW w:w="1991" w:type="dxa"/>
          </w:tcPr>
          <w:p>
            <w:pPr>
              <w:pStyle w:val="23"/>
              <w:rPr>
                <w:rFonts w:ascii="宋体" w:hAnsi="宋体"/>
                <w:b/>
                <w:highlight w:val="none"/>
              </w:rPr>
            </w:pPr>
          </w:p>
        </w:tc>
        <w:tc>
          <w:tcPr>
            <w:tcW w:w="1678" w:type="dxa"/>
          </w:tcPr>
          <w:p>
            <w:pPr>
              <w:pStyle w:val="23"/>
              <w:rPr>
                <w:rFonts w:ascii="宋体" w:hAnsi="宋体"/>
                <w:b/>
                <w:highlight w:val="none"/>
              </w:rPr>
            </w:pPr>
          </w:p>
        </w:tc>
        <w:tc>
          <w:tcPr>
            <w:tcW w:w="714" w:type="dxa"/>
          </w:tcPr>
          <w:p>
            <w:pPr>
              <w:pStyle w:val="23"/>
              <w:rPr>
                <w:rFonts w:ascii="宋体" w:hAnsi="宋体"/>
                <w:b/>
                <w:highlight w:val="none"/>
              </w:rPr>
            </w:pPr>
          </w:p>
        </w:tc>
        <w:tc>
          <w:tcPr>
            <w:tcW w:w="1188" w:type="dxa"/>
          </w:tcPr>
          <w:p>
            <w:pPr>
              <w:pStyle w:val="23"/>
              <w:rPr>
                <w:rFonts w:ascii="宋体" w:hAnsi="宋体"/>
                <w:b/>
                <w:highlight w:val="none"/>
              </w:rPr>
            </w:pPr>
          </w:p>
        </w:tc>
        <w:tc>
          <w:tcPr>
            <w:tcW w:w="1149" w:type="dxa"/>
          </w:tcPr>
          <w:p>
            <w:pPr>
              <w:pStyle w:val="23"/>
              <w:rPr>
                <w:rFonts w:ascii="宋体" w:hAnsi="宋体"/>
                <w:b/>
                <w:highlight w:val="none"/>
              </w:rPr>
            </w:pPr>
          </w:p>
        </w:tc>
        <w:tc>
          <w:tcPr>
            <w:tcW w:w="1587" w:type="dxa"/>
          </w:tcPr>
          <w:p>
            <w:pPr>
              <w:pStyle w:val="23"/>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pPr>
              <w:pStyle w:val="23"/>
              <w:rPr>
                <w:rFonts w:ascii="宋体" w:hAnsi="宋体"/>
                <w:b/>
                <w:highlight w:val="none"/>
              </w:rPr>
            </w:pPr>
          </w:p>
        </w:tc>
        <w:tc>
          <w:tcPr>
            <w:tcW w:w="1991" w:type="dxa"/>
          </w:tcPr>
          <w:p>
            <w:pPr>
              <w:pStyle w:val="23"/>
              <w:rPr>
                <w:rFonts w:ascii="宋体" w:hAnsi="宋体"/>
                <w:b/>
                <w:highlight w:val="none"/>
              </w:rPr>
            </w:pPr>
          </w:p>
        </w:tc>
        <w:tc>
          <w:tcPr>
            <w:tcW w:w="1678" w:type="dxa"/>
          </w:tcPr>
          <w:p>
            <w:pPr>
              <w:pStyle w:val="23"/>
              <w:rPr>
                <w:rFonts w:ascii="宋体" w:hAnsi="宋体"/>
                <w:b/>
                <w:highlight w:val="none"/>
              </w:rPr>
            </w:pPr>
          </w:p>
        </w:tc>
        <w:tc>
          <w:tcPr>
            <w:tcW w:w="714" w:type="dxa"/>
          </w:tcPr>
          <w:p>
            <w:pPr>
              <w:pStyle w:val="23"/>
              <w:rPr>
                <w:rFonts w:ascii="宋体" w:hAnsi="宋体"/>
                <w:b/>
                <w:highlight w:val="none"/>
              </w:rPr>
            </w:pPr>
          </w:p>
        </w:tc>
        <w:tc>
          <w:tcPr>
            <w:tcW w:w="1188" w:type="dxa"/>
          </w:tcPr>
          <w:p>
            <w:pPr>
              <w:pStyle w:val="23"/>
              <w:rPr>
                <w:rFonts w:ascii="宋体" w:hAnsi="宋体"/>
                <w:b/>
                <w:highlight w:val="none"/>
              </w:rPr>
            </w:pPr>
          </w:p>
        </w:tc>
        <w:tc>
          <w:tcPr>
            <w:tcW w:w="1149" w:type="dxa"/>
          </w:tcPr>
          <w:p>
            <w:pPr>
              <w:pStyle w:val="23"/>
              <w:rPr>
                <w:rFonts w:ascii="宋体" w:hAnsi="宋体"/>
                <w:b/>
                <w:highlight w:val="none"/>
              </w:rPr>
            </w:pPr>
          </w:p>
        </w:tc>
        <w:tc>
          <w:tcPr>
            <w:tcW w:w="1587" w:type="dxa"/>
          </w:tcPr>
          <w:p>
            <w:pPr>
              <w:pStyle w:val="23"/>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pPr>
              <w:pStyle w:val="23"/>
              <w:rPr>
                <w:rFonts w:ascii="宋体" w:hAnsi="宋体"/>
                <w:b/>
                <w:highlight w:val="none"/>
              </w:rPr>
            </w:pPr>
          </w:p>
        </w:tc>
        <w:tc>
          <w:tcPr>
            <w:tcW w:w="1991" w:type="dxa"/>
          </w:tcPr>
          <w:p>
            <w:pPr>
              <w:pStyle w:val="23"/>
              <w:rPr>
                <w:rFonts w:ascii="宋体" w:hAnsi="宋体"/>
                <w:b/>
                <w:highlight w:val="none"/>
              </w:rPr>
            </w:pPr>
          </w:p>
        </w:tc>
        <w:tc>
          <w:tcPr>
            <w:tcW w:w="1678" w:type="dxa"/>
          </w:tcPr>
          <w:p>
            <w:pPr>
              <w:pStyle w:val="23"/>
              <w:rPr>
                <w:rFonts w:ascii="宋体" w:hAnsi="宋体"/>
                <w:b/>
                <w:highlight w:val="none"/>
              </w:rPr>
            </w:pPr>
          </w:p>
        </w:tc>
        <w:tc>
          <w:tcPr>
            <w:tcW w:w="714" w:type="dxa"/>
          </w:tcPr>
          <w:p>
            <w:pPr>
              <w:pStyle w:val="23"/>
              <w:rPr>
                <w:rFonts w:ascii="宋体" w:hAnsi="宋体"/>
                <w:b/>
                <w:highlight w:val="none"/>
              </w:rPr>
            </w:pPr>
          </w:p>
        </w:tc>
        <w:tc>
          <w:tcPr>
            <w:tcW w:w="1188" w:type="dxa"/>
          </w:tcPr>
          <w:p>
            <w:pPr>
              <w:pStyle w:val="23"/>
              <w:rPr>
                <w:rFonts w:ascii="宋体" w:hAnsi="宋体"/>
                <w:b/>
                <w:highlight w:val="none"/>
              </w:rPr>
            </w:pPr>
          </w:p>
        </w:tc>
        <w:tc>
          <w:tcPr>
            <w:tcW w:w="1149" w:type="dxa"/>
          </w:tcPr>
          <w:p>
            <w:pPr>
              <w:pStyle w:val="23"/>
              <w:rPr>
                <w:rFonts w:ascii="宋体" w:hAnsi="宋体"/>
                <w:b/>
                <w:highlight w:val="none"/>
              </w:rPr>
            </w:pPr>
          </w:p>
        </w:tc>
        <w:tc>
          <w:tcPr>
            <w:tcW w:w="1587" w:type="dxa"/>
          </w:tcPr>
          <w:p>
            <w:pPr>
              <w:pStyle w:val="23"/>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pPr>
              <w:pStyle w:val="23"/>
              <w:rPr>
                <w:rFonts w:ascii="宋体" w:hAnsi="宋体"/>
                <w:b/>
                <w:highlight w:val="none"/>
              </w:rPr>
            </w:pPr>
          </w:p>
        </w:tc>
        <w:tc>
          <w:tcPr>
            <w:tcW w:w="1991" w:type="dxa"/>
          </w:tcPr>
          <w:p>
            <w:pPr>
              <w:pStyle w:val="23"/>
              <w:rPr>
                <w:rFonts w:ascii="宋体" w:hAnsi="宋体"/>
                <w:b/>
                <w:highlight w:val="none"/>
              </w:rPr>
            </w:pPr>
          </w:p>
        </w:tc>
        <w:tc>
          <w:tcPr>
            <w:tcW w:w="1678" w:type="dxa"/>
          </w:tcPr>
          <w:p>
            <w:pPr>
              <w:pStyle w:val="23"/>
              <w:rPr>
                <w:rFonts w:ascii="宋体" w:hAnsi="宋体"/>
                <w:b/>
                <w:highlight w:val="none"/>
              </w:rPr>
            </w:pPr>
          </w:p>
        </w:tc>
        <w:tc>
          <w:tcPr>
            <w:tcW w:w="714" w:type="dxa"/>
          </w:tcPr>
          <w:p>
            <w:pPr>
              <w:pStyle w:val="23"/>
              <w:rPr>
                <w:rFonts w:ascii="宋体" w:hAnsi="宋体"/>
                <w:b/>
                <w:highlight w:val="none"/>
              </w:rPr>
            </w:pPr>
          </w:p>
        </w:tc>
        <w:tc>
          <w:tcPr>
            <w:tcW w:w="1188" w:type="dxa"/>
          </w:tcPr>
          <w:p>
            <w:pPr>
              <w:pStyle w:val="23"/>
              <w:rPr>
                <w:rFonts w:ascii="宋体" w:hAnsi="宋体"/>
                <w:b/>
                <w:highlight w:val="none"/>
              </w:rPr>
            </w:pPr>
          </w:p>
        </w:tc>
        <w:tc>
          <w:tcPr>
            <w:tcW w:w="1149" w:type="dxa"/>
          </w:tcPr>
          <w:p>
            <w:pPr>
              <w:pStyle w:val="23"/>
              <w:rPr>
                <w:rFonts w:ascii="宋体" w:hAnsi="宋体"/>
                <w:b/>
                <w:highlight w:val="none"/>
              </w:rPr>
            </w:pPr>
          </w:p>
        </w:tc>
        <w:tc>
          <w:tcPr>
            <w:tcW w:w="1587" w:type="dxa"/>
          </w:tcPr>
          <w:p>
            <w:pPr>
              <w:pStyle w:val="23"/>
              <w:rPr>
                <w:rFonts w:ascii="宋体" w:hAnsi="宋体"/>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49" w:type="dxa"/>
          </w:tcPr>
          <w:p>
            <w:pPr>
              <w:pStyle w:val="23"/>
              <w:rPr>
                <w:rFonts w:ascii="宋体" w:hAnsi="宋体"/>
                <w:b/>
                <w:highlight w:val="none"/>
              </w:rPr>
            </w:pPr>
          </w:p>
        </w:tc>
        <w:tc>
          <w:tcPr>
            <w:tcW w:w="1991" w:type="dxa"/>
          </w:tcPr>
          <w:p>
            <w:pPr>
              <w:pStyle w:val="23"/>
              <w:rPr>
                <w:rFonts w:ascii="宋体" w:hAnsi="宋体"/>
                <w:b/>
                <w:highlight w:val="none"/>
              </w:rPr>
            </w:pPr>
          </w:p>
        </w:tc>
        <w:tc>
          <w:tcPr>
            <w:tcW w:w="1678" w:type="dxa"/>
          </w:tcPr>
          <w:p>
            <w:pPr>
              <w:pStyle w:val="23"/>
              <w:rPr>
                <w:rFonts w:ascii="宋体" w:hAnsi="宋体"/>
                <w:b/>
                <w:highlight w:val="none"/>
              </w:rPr>
            </w:pPr>
          </w:p>
        </w:tc>
        <w:tc>
          <w:tcPr>
            <w:tcW w:w="714" w:type="dxa"/>
          </w:tcPr>
          <w:p>
            <w:pPr>
              <w:pStyle w:val="23"/>
              <w:rPr>
                <w:rFonts w:ascii="宋体" w:hAnsi="宋体"/>
                <w:b/>
                <w:highlight w:val="none"/>
              </w:rPr>
            </w:pPr>
          </w:p>
        </w:tc>
        <w:tc>
          <w:tcPr>
            <w:tcW w:w="1188" w:type="dxa"/>
          </w:tcPr>
          <w:p>
            <w:pPr>
              <w:pStyle w:val="23"/>
              <w:rPr>
                <w:rFonts w:ascii="宋体" w:hAnsi="宋体"/>
                <w:b/>
                <w:highlight w:val="none"/>
              </w:rPr>
            </w:pPr>
          </w:p>
        </w:tc>
        <w:tc>
          <w:tcPr>
            <w:tcW w:w="1149" w:type="dxa"/>
          </w:tcPr>
          <w:p>
            <w:pPr>
              <w:pStyle w:val="23"/>
              <w:rPr>
                <w:rFonts w:ascii="宋体" w:hAnsi="宋体"/>
                <w:b/>
                <w:highlight w:val="none"/>
              </w:rPr>
            </w:pPr>
          </w:p>
        </w:tc>
        <w:tc>
          <w:tcPr>
            <w:tcW w:w="1587" w:type="dxa"/>
          </w:tcPr>
          <w:p>
            <w:pPr>
              <w:pStyle w:val="23"/>
              <w:rPr>
                <w:rFonts w:ascii="宋体" w:hAnsi="宋体"/>
                <w:b/>
                <w:highlight w:val="none"/>
              </w:rPr>
            </w:pPr>
          </w:p>
        </w:tc>
      </w:tr>
    </w:tbl>
    <w:p>
      <w:pPr>
        <w:spacing w:line="0" w:lineRule="atLeast"/>
        <w:rPr>
          <w:rFonts w:ascii="仿宋" w:hAnsi="仿宋" w:eastAsia="仿宋" w:cs="仿宋"/>
          <w:sz w:val="24"/>
          <w:highlight w:val="none"/>
        </w:rPr>
      </w:pPr>
      <w:r>
        <w:rPr>
          <w:rFonts w:hint="eastAsia" w:ascii="仿宋" w:hAnsi="仿宋" w:eastAsia="仿宋" w:cs="仿宋"/>
          <w:sz w:val="24"/>
          <w:highlight w:val="none"/>
        </w:rPr>
        <w:t>注：</w:t>
      </w:r>
      <w:r>
        <w:rPr>
          <w:rFonts w:hint="eastAsia" w:ascii="仿宋" w:hAnsi="仿宋" w:eastAsia="仿宋" w:cs="仿宋"/>
          <w:kern w:val="0"/>
          <w:sz w:val="24"/>
          <w:highlight w:val="none"/>
        </w:rPr>
        <w:t>提供近三年（不足3年的，从公司成立起）同类产品的制造销售业绩（用户名单、联系方式）</w:t>
      </w:r>
      <w:r>
        <w:rPr>
          <w:rFonts w:hint="eastAsia" w:ascii="仿宋" w:hAnsi="仿宋" w:eastAsia="仿宋" w:cs="仿宋"/>
          <w:sz w:val="24"/>
          <w:highlight w:val="none"/>
        </w:rPr>
        <w:t>，并附合同复印件。</w:t>
      </w:r>
    </w:p>
    <w:p>
      <w:pPr>
        <w:tabs>
          <w:tab w:val="left" w:pos="1578"/>
          <w:tab w:val="left" w:pos="10083"/>
        </w:tabs>
        <w:spacing w:line="500" w:lineRule="exact"/>
        <w:rPr>
          <w:rFonts w:ascii="仿宋" w:hAnsi="仿宋" w:eastAsia="仿宋" w:cs="仿宋"/>
          <w:sz w:val="24"/>
          <w:highlight w:val="none"/>
        </w:rPr>
      </w:pPr>
    </w:p>
    <w:p>
      <w:pPr>
        <w:spacing w:line="0" w:lineRule="atLeast"/>
        <w:rPr>
          <w:rFonts w:ascii="仿宋" w:hAnsi="仿宋" w:eastAsia="仿宋" w:cs="仿宋"/>
          <w:kern w:val="0"/>
          <w:sz w:val="24"/>
          <w:highlight w:val="none"/>
        </w:rPr>
      </w:pPr>
    </w:p>
    <w:p>
      <w:pPr>
        <w:spacing w:line="0" w:lineRule="atLeast"/>
        <w:rPr>
          <w:rFonts w:ascii="仿宋" w:hAnsi="仿宋" w:eastAsia="仿宋" w:cs="仿宋"/>
          <w:kern w:val="0"/>
          <w:sz w:val="24"/>
          <w:highlight w:val="none"/>
        </w:rPr>
      </w:pPr>
      <w:r>
        <w:rPr>
          <w:rFonts w:hint="eastAsia" w:ascii="仿宋" w:hAnsi="仿宋" w:eastAsia="仿宋" w:cs="仿宋"/>
          <w:kern w:val="0"/>
          <w:sz w:val="24"/>
          <w:highlight w:val="none"/>
        </w:rPr>
        <w:t>投标人：（盖章）</w:t>
      </w:r>
    </w:p>
    <w:p>
      <w:pPr>
        <w:spacing w:line="0" w:lineRule="atLeast"/>
        <w:rPr>
          <w:rFonts w:ascii="仿宋" w:hAnsi="仿宋" w:eastAsia="仿宋" w:cs="仿宋"/>
          <w:kern w:val="0"/>
          <w:sz w:val="24"/>
          <w:highlight w:val="none"/>
        </w:rPr>
      </w:pPr>
    </w:p>
    <w:p>
      <w:pPr>
        <w:spacing w:line="0" w:lineRule="atLeast"/>
        <w:rPr>
          <w:rFonts w:ascii="仿宋" w:hAnsi="仿宋" w:eastAsia="仿宋" w:cs="仿宋"/>
          <w:kern w:val="0"/>
          <w:sz w:val="24"/>
          <w:highlight w:val="none"/>
        </w:rPr>
      </w:pPr>
      <w:r>
        <w:rPr>
          <w:rFonts w:hint="eastAsia" w:ascii="仿宋" w:hAnsi="仿宋" w:eastAsia="仿宋" w:cs="仿宋"/>
          <w:kern w:val="0"/>
          <w:sz w:val="24"/>
          <w:highlight w:val="none"/>
        </w:rPr>
        <w:t>法定代表人（委托代理人）：（签字）</w:t>
      </w:r>
    </w:p>
    <w:p>
      <w:pPr>
        <w:spacing w:line="0" w:lineRule="atLeast"/>
        <w:rPr>
          <w:rFonts w:ascii="仿宋" w:hAnsi="仿宋" w:eastAsia="仿宋" w:cs="仿宋"/>
          <w:kern w:val="0"/>
          <w:sz w:val="24"/>
          <w:highlight w:val="none"/>
        </w:rPr>
      </w:pPr>
    </w:p>
    <w:p>
      <w:pPr>
        <w:spacing w:line="0" w:lineRule="atLeast"/>
        <w:rPr>
          <w:rFonts w:ascii="仿宋" w:hAnsi="仿宋" w:eastAsia="仿宋" w:cs="仿宋"/>
          <w:kern w:val="0"/>
          <w:sz w:val="24"/>
          <w:highlight w:val="none"/>
        </w:rPr>
      </w:pPr>
      <w:r>
        <w:rPr>
          <w:rFonts w:hint="eastAsia" w:ascii="仿宋" w:hAnsi="仿宋" w:eastAsia="仿宋" w:cs="仿宋"/>
          <w:kern w:val="0"/>
          <w:sz w:val="24"/>
          <w:highlight w:val="none"/>
        </w:rPr>
        <w:t>日  期：       年    月    日</w:t>
      </w:r>
    </w:p>
    <w:p>
      <w:pPr>
        <w:spacing w:line="0" w:lineRule="atLeast"/>
        <w:rPr>
          <w:rFonts w:ascii="仿宋" w:hAnsi="仿宋" w:eastAsia="仿宋" w:cs="仿宋"/>
          <w:kern w:val="0"/>
          <w:sz w:val="24"/>
          <w:highlight w:val="none"/>
        </w:rPr>
      </w:pPr>
    </w:p>
    <w:p>
      <w:pPr>
        <w:spacing w:line="0" w:lineRule="atLeast"/>
        <w:rPr>
          <w:rFonts w:ascii="仿宋" w:hAnsi="仿宋" w:eastAsia="仿宋" w:cs="仿宋"/>
          <w:kern w:val="0"/>
          <w:sz w:val="24"/>
          <w:highlight w:val="none"/>
        </w:rPr>
      </w:pPr>
    </w:p>
    <w:p>
      <w:pPr>
        <w:spacing w:line="0" w:lineRule="atLeast"/>
        <w:rPr>
          <w:rFonts w:ascii="仿宋" w:hAnsi="仿宋" w:eastAsia="仿宋" w:cs="仿宋"/>
          <w:kern w:val="0"/>
          <w:sz w:val="24"/>
          <w:highlight w:val="none"/>
        </w:rPr>
      </w:pPr>
    </w:p>
    <w:p>
      <w:pPr>
        <w:spacing w:line="0" w:lineRule="atLeast"/>
        <w:rPr>
          <w:rFonts w:ascii="仿宋" w:hAnsi="仿宋" w:eastAsia="仿宋" w:cs="仿宋"/>
          <w:kern w:val="0"/>
          <w:sz w:val="24"/>
          <w:highlight w:val="none"/>
        </w:rPr>
      </w:pPr>
    </w:p>
    <w:p>
      <w:pPr>
        <w:spacing w:line="0" w:lineRule="atLeast"/>
        <w:rPr>
          <w:rFonts w:ascii="仿宋" w:hAnsi="仿宋" w:eastAsia="仿宋" w:cs="仿宋"/>
          <w:kern w:val="0"/>
          <w:sz w:val="24"/>
          <w:highlight w:val="none"/>
        </w:rPr>
      </w:pPr>
    </w:p>
    <w:p>
      <w:pPr>
        <w:spacing w:line="0" w:lineRule="atLeast"/>
        <w:rPr>
          <w:rFonts w:ascii="仿宋" w:hAnsi="仿宋" w:eastAsia="仿宋" w:cs="仿宋"/>
          <w:kern w:val="0"/>
          <w:sz w:val="24"/>
          <w:highlight w:val="none"/>
        </w:rPr>
      </w:pPr>
    </w:p>
    <w:p>
      <w:pPr>
        <w:spacing w:line="0" w:lineRule="atLeast"/>
        <w:rPr>
          <w:rFonts w:ascii="仿宋" w:hAnsi="仿宋" w:eastAsia="仿宋" w:cs="仿宋"/>
          <w:kern w:val="0"/>
          <w:sz w:val="24"/>
          <w:highlight w:val="none"/>
        </w:rPr>
      </w:pPr>
    </w:p>
    <w:p>
      <w:pPr>
        <w:spacing w:line="0" w:lineRule="atLeast"/>
        <w:rPr>
          <w:rFonts w:ascii="仿宋" w:hAnsi="仿宋" w:eastAsia="仿宋" w:cs="仿宋"/>
          <w:kern w:val="0"/>
          <w:sz w:val="24"/>
          <w:highlight w:val="none"/>
        </w:rPr>
      </w:pPr>
    </w:p>
    <w:p>
      <w:pPr>
        <w:spacing w:line="0" w:lineRule="atLeast"/>
        <w:rPr>
          <w:rFonts w:ascii="仿宋" w:hAnsi="仿宋" w:eastAsia="仿宋" w:cs="仿宋"/>
          <w:kern w:val="0"/>
          <w:sz w:val="24"/>
          <w:highlight w:val="none"/>
        </w:rPr>
      </w:pPr>
    </w:p>
    <w:p>
      <w:pPr>
        <w:pStyle w:val="50"/>
        <w:ind w:firstLine="0" w:firstLineChars="0"/>
        <w:rPr>
          <w:rFonts w:ascii="宋体" w:hAnsi="宋体"/>
          <w:highlight w:val="none"/>
        </w:rPr>
      </w:pPr>
      <w:bookmarkStart w:id="23" w:name="_Toc17646"/>
      <w:r>
        <w:rPr>
          <w:rFonts w:hint="eastAsia"/>
          <w:highlight w:val="none"/>
        </w:rPr>
        <w:t>附件</w:t>
      </w:r>
      <w:r>
        <w:rPr>
          <w:highlight w:val="none"/>
        </w:rPr>
        <w:t>5</w:t>
      </w:r>
      <w:r>
        <w:rPr>
          <w:rFonts w:hint="eastAsia"/>
          <w:highlight w:val="none"/>
        </w:rPr>
        <w:t>服务承诺函</w:t>
      </w:r>
      <w:bookmarkEnd w:id="23"/>
    </w:p>
    <w:p>
      <w:pPr>
        <w:spacing w:line="360" w:lineRule="auto"/>
        <w:rPr>
          <w:rFonts w:hint="eastAsia" w:ascii="仿宋" w:hAnsi="仿宋" w:eastAsia="宋体" w:cs="仿宋"/>
          <w:b/>
          <w:bCs/>
          <w:spacing w:val="-8"/>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highlight w:val="none"/>
        </w:rPr>
        <w:t xml:space="preserve"> </w:t>
      </w:r>
      <w:r>
        <w:rPr>
          <w:rFonts w:hint="eastAsia" w:ascii="仿宋" w:hAnsi="仿宋" w:eastAsia="仿宋" w:cs="仿宋"/>
          <w:sz w:val="24"/>
          <w:szCs w:val="24"/>
          <w:highlight w:val="none"/>
          <w:lang w:eastAsia="zh-CN"/>
        </w:rPr>
        <w:t>整车性能及可靠性试验场地技术服务项目</w:t>
      </w:r>
    </w:p>
    <w:p>
      <w:pPr>
        <w:spacing w:line="360" w:lineRule="auto"/>
        <w:rPr>
          <w:rFonts w:ascii="宋体" w:hAnsi="宋体"/>
          <w:b/>
          <w:bCs/>
          <w:sz w:val="24"/>
          <w:highlight w:val="none"/>
        </w:rPr>
      </w:pPr>
      <w:r>
        <w:rPr>
          <w:rFonts w:hint="eastAsia" w:ascii="宋体" w:hAnsi="宋体"/>
          <w:b/>
          <w:bCs/>
          <w:sz w:val="24"/>
          <w:highlight w:val="none"/>
        </w:rPr>
        <w:t>中国重汽集团济南动力有限公司：</w:t>
      </w:r>
    </w:p>
    <w:p>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我代表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rPr>
        <w:t>投标单位名称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为保证中标产品的技术服务特</w:t>
      </w:r>
      <w:r>
        <w:rPr>
          <w:rFonts w:hint="eastAsia" w:ascii="仿宋" w:hAnsi="仿宋" w:eastAsia="仿宋" w:cs="仿宋"/>
          <w:sz w:val="24"/>
          <w:szCs w:val="24"/>
          <w:highlight w:val="none"/>
          <w:lang w:eastAsia="zh-CN"/>
        </w:rPr>
        <w:t>做如下</w:t>
      </w:r>
      <w:r>
        <w:rPr>
          <w:rFonts w:hint="eastAsia" w:ascii="仿宋" w:hAnsi="仿宋" w:eastAsia="仿宋" w:cs="仿宋"/>
          <w:sz w:val="24"/>
          <w:szCs w:val="24"/>
          <w:highlight w:val="none"/>
        </w:rPr>
        <w:t>承诺：</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宋体" w:hAnsi="宋体"/>
          <w:sz w:val="24"/>
          <w:highlight w:val="none"/>
          <w:u w:val="single"/>
        </w:rPr>
      </w:pPr>
      <w:r>
        <w:rPr>
          <w:rFonts w:hint="eastAsia" w:ascii="宋体" w:hAnsi="宋体"/>
          <w:sz w:val="24"/>
          <w:highlight w:val="none"/>
          <w:u w:val="single"/>
        </w:rPr>
        <w:t xml:space="preserve">                                                                       </w:t>
      </w:r>
    </w:p>
    <w:p>
      <w:pPr>
        <w:spacing w:line="360" w:lineRule="auto"/>
        <w:ind w:firstLine="480" w:firstLineChars="200"/>
        <w:rPr>
          <w:rFonts w:ascii="仿宋" w:hAnsi="仿宋" w:eastAsia="仿宋" w:cs="仿宋"/>
          <w:sz w:val="24"/>
          <w:szCs w:val="24"/>
          <w:highlight w:val="none"/>
        </w:rPr>
      </w:pPr>
      <w:r>
        <w:rPr>
          <w:rFonts w:hint="eastAsia" w:ascii="宋体" w:hAnsi="宋体"/>
          <w:sz w:val="24"/>
          <w:highlight w:val="none"/>
          <w:u w:val="single"/>
        </w:rPr>
        <w:t xml:space="preserve">                                                                       </w:t>
      </w:r>
    </w:p>
    <w:p>
      <w:pPr>
        <w:spacing w:line="360" w:lineRule="auto"/>
        <w:rPr>
          <w:rFonts w:ascii="仿宋" w:hAnsi="仿宋" w:eastAsia="仿宋" w:cs="仿宋"/>
          <w:sz w:val="24"/>
          <w:szCs w:val="24"/>
          <w:highlight w:val="none"/>
        </w:rPr>
      </w:pPr>
    </w:p>
    <w:p>
      <w:pPr>
        <w:spacing w:line="660" w:lineRule="exact"/>
        <w:rPr>
          <w:rFonts w:ascii="仿宋" w:hAnsi="仿宋" w:eastAsia="仿宋" w:cs="仿宋"/>
          <w:sz w:val="24"/>
          <w:szCs w:val="24"/>
          <w:highlight w:val="none"/>
        </w:rPr>
      </w:pPr>
      <w:r>
        <w:rPr>
          <w:rFonts w:hint="eastAsia" w:ascii="仿宋" w:hAnsi="仿宋" w:eastAsia="仿宋" w:cs="仿宋"/>
          <w:sz w:val="24"/>
          <w:szCs w:val="24"/>
          <w:highlight w:val="none"/>
        </w:rPr>
        <w:t>投标人：（盖章）</w:t>
      </w:r>
    </w:p>
    <w:p>
      <w:pPr>
        <w:spacing w:line="660" w:lineRule="exact"/>
        <w:rPr>
          <w:rFonts w:ascii="仿宋" w:hAnsi="仿宋" w:eastAsia="仿宋" w:cs="仿宋"/>
          <w:sz w:val="24"/>
          <w:szCs w:val="24"/>
          <w:highlight w:val="none"/>
        </w:rPr>
      </w:pPr>
      <w:r>
        <w:rPr>
          <w:rFonts w:hint="eastAsia" w:ascii="仿宋" w:hAnsi="仿宋" w:eastAsia="仿宋" w:cs="仿宋"/>
          <w:sz w:val="24"/>
          <w:szCs w:val="24"/>
          <w:highlight w:val="none"/>
        </w:rPr>
        <w:t>法定代表人（委托代理人）：（签字）</w:t>
      </w:r>
    </w:p>
    <w:p>
      <w:pPr>
        <w:spacing w:line="660" w:lineRule="exact"/>
        <w:rPr>
          <w:rFonts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kern w:val="0"/>
          <w:sz w:val="24"/>
          <w:highlight w:val="none"/>
        </w:rPr>
        <w:t xml:space="preserve">       </w:t>
      </w:r>
      <w:r>
        <w:rPr>
          <w:rFonts w:hint="eastAsia" w:ascii="仿宋" w:hAnsi="仿宋" w:eastAsia="仿宋" w:cs="仿宋"/>
          <w:sz w:val="24"/>
          <w:szCs w:val="24"/>
          <w:highlight w:val="none"/>
        </w:rPr>
        <w:t>年</w:t>
      </w:r>
      <w:r>
        <w:rPr>
          <w:rFonts w:hint="eastAsia" w:ascii="仿宋" w:hAnsi="仿宋" w:eastAsia="仿宋" w:cs="仿宋"/>
          <w:kern w:val="0"/>
          <w:sz w:val="24"/>
          <w:highlight w:val="none"/>
        </w:rPr>
        <w:t xml:space="preserve">    </w:t>
      </w:r>
      <w:r>
        <w:rPr>
          <w:rFonts w:hint="eastAsia" w:ascii="仿宋" w:hAnsi="仿宋" w:eastAsia="仿宋" w:cs="仿宋"/>
          <w:sz w:val="24"/>
          <w:szCs w:val="24"/>
          <w:highlight w:val="none"/>
        </w:rPr>
        <w:t>月</w:t>
      </w:r>
      <w:r>
        <w:rPr>
          <w:rFonts w:hint="eastAsia" w:ascii="仿宋" w:hAnsi="仿宋" w:eastAsia="仿宋" w:cs="仿宋"/>
          <w:kern w:val="0"/>
          <w:sz w:val="24"/>
          <w:highlight w:val="none"/>
        </w:rPr>
        <w:t xml:space="preserve">    </w:t>
      </w:r>
      <w:r>
        <w:rPr>
          <w:rFonts w:hint="eastAsia" w:ascii="仿宋" w:hAnsi="仿宋" w:eastAsia="仿宋" w:cs="仿宋"/>
          <w:sz w:val="24"/>
          <w:szCs w:val="24"/>
          <w:highlight w:val="none"/>
        </w:rPr>
        <w:t>日</w:t>
      </w:r>
    </w:p>
    <w:p>
      <w:pPr>
        <w:rPr>
          <w:rFonts w:ascii="仿宋" w:hAnsi="仿宋" w:eastAsia="仿宋" w:cs="仿宋"/>
          <w:b/>
          <w:bCs/>
          <w:color w:val="000000"/>
          <w:sz w:val="24"/>
          <w:szCs w:val="24"/>
          <w:highlight w:val="none"/>
        </w:rPr>
        <w:sectPr>
          <w:pgSz w:w="11906" w:h="16838"/>
          <w:pgMar w:top="1588" w:right="1418" w:bottom="1134" w:left="1418" w:header="851" w:footer="992" w:gutter="0"/>
          <w:pgNumType w:fmt="numberInDash"/>
          <w:cols w:space="720" w:num="1"/>
          <w:titlePg/>
          <w:docGrid w:type="lines" w:linePitch="312" w:charSpace="0"/>
        </w:sectPr>
      </w:pPr>
    </w:p>
    <w:p>
      <w:pPr>
        <w:pStyle w:val="50"/>
        <w:rPr>
          <w:rFonts w:hint="default" w:eastAsia="宋体"/>
          <w:highlight w:val="none"/>
          <w:lang w:val="en-US" w:eastAsia="zh-CN"/>
        </w:rPr>
      </w:pPr>
      <w:bookmarkStart w:id="24" w:name="_Toc19108"/>
      <w:r>
        <w:rPr>
          <w:rFonts w:hint="eastAsia"/>
          <w:highlight w:val="none"/>
        </w:rPr>
        <w:t>附件</w:t>
      </w:r>
      <w:r>
        <w:rPr>
          <w:highlight w:val="none"/>
        </w:rPr>
        <w:t>6</w:t>
      </w:r>
      <w:r>
        <w:rPr>
          <w:rFonts w:hint="eastAsia"/>
          <w:highlight w:val="none"/>
        </w:rPr>
        <w:t>开标一览表：</w:t>
      </w:r>
      <w:bookmarkEnd w:id="24"/>
      <w:r>
        <w:rPr>
          <w:rFonts w:hint="eastAsia"/>
          <w:highlight w:val="none"/>
          <w:lang w:val="en-US" w:eastAsia="zh-CN"/>
        </w:rPr>
        <w:t>整车性能场地子项目适用</w:t>
      </w:r>
    </w:p>
    <w:p>
      <w:pPr>
        <w:pStyle w:val="54"/>
        <w:rPr>
          <w:highlight w:val="none"/>
        </w:rPr>
      </w:pPr>
      <w:r>
        <w:rPr>
          <w:rFonts w:hint="eastAsia"/>
          <w:highlight w:val="none"/>
        </w:rPr>
        <w:t>《开标一览表》单独封存，以备唱标使用</w:t>
      </w:r>
    </w:p>
    <w:p>
      <w:pPr>
        <w:pStyle w:val="54"/>
        <w:rPr>
          <w:rFonts w:hint="eastAsia" w:eastAsia="仿宋"/>
          <w:highlight w:val="none"/>
          <w:lang w:eastAsia="zh-CN"/>
        </w:rPr>
      </w:pPr>
      <w:r>
        <w:rPr>
          <w:rFonts w:hint="eastAsia"/>
          <w:highlight w:val="none"/>
        </w:rPr>
        <w:t>项目名称：</w:t>
      </w:r>
      <w:r>
        <w:rPr>
          <w:rFonts w:hint="eastAsia"/>
          <w:highlight w:val="none"/>
          <w:lang w:eastAsia="zh-CN"/>
        </w:rPr>
        <w:t>整车性能及可靠性试验场地技术服务项目</w:t>
      </w:r>
    </w:p>
    <w:tbl>
      <w:tblPr>
        <w:tblStyle w:val="32"/>
        <w:tblW w:w="43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696"/>
        <w:gridCol w:w="1195"/>
        <w:gridCol w:w="1405"/>
        <w:gridCol w:w="1522"/>
        <w:gridCol w:w="1934"/>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2" w:hRule="atLeast"/>
          <w:jc w:val="center"/>
        </w:trPr>
        <w:tc>
          <w:tcPr>
            <w:tcW w:w="242" w:type="pct"/>
            <w:vAlign w:val="center"/>
          </w:tcPr>
          <w:p>
            <w:pPr>
              <w:pStyle w:val="84"/>
              <w:rPr>
                <w:b w:val="0"/>
                <w:bCs/>
                <w:sz w:val="18"/>
                <w:szCs w:val="18"/>
                <w:highlight w:val="none"/>
              </w:rPr>
            </w:pPr>
            <w:r>
              <w:rPr>
                <w:rFonts w:hint="eastAsia"/>
                <w:b w:val="0"/>
                <w:bCs/>
                <w:sz w:val="18"/>
                <w:szCs w:val="18"/>
                <w:highlight w:val="none"/>
              </w:rPr>
              <w:t>序号</w:t>
            </w:r>
          </w:p>
        </w:tc>
        <w:tc>
          <w:tcPr>
            <w:tcW w:w="1163" w:type="pct"/>
            <w:gridSpan w:val="2"/>
            <w:vAlign w:val="center"/>
          </w:tcPr>
          <w:p>
            <w:pPr>
              <w:pStyle w:val="84"/>
              <w:rPr>
                <w:rFonts w:hint="default" w:eastAsia="仿宋"/>
                <w:b w:val="0"/>
                <w:bCs/>
                <w:sz w:val="18"/>
                <w:szCs w:val="18"/>
                <w:highlight w:val="none"/>
                <w:lang w:val="en-US" w:eastAsia="zh-CN"/>
              </w:rPr>
            </w:pPr>
            <w:r>
              <w:rPr>
                <w:rFonts w:hint="eastAsia"/>
                <w:b w:val="0"/>
                <w:bCs/>
                <w:sz w:val="18"/>
                <w:szCs w:val="18"/>
                <w:highlight w:val="none"/>
                <w:lang w:val="en-US" w:eastAsia="zh-CN"/>
              </w:rPr>
              <w:t>场地及服务项目</w:t>
            </w:r>
          </w:p>
        </w:tc>
        <w:tc>
          <w:tcPr>
            <w:tcW w:w="863" w:type="pct"/>
            <w:vAlign w:val="center"/>
          </w:tcPr>
          <w:p>
            <w:pPr>
              <w:pStyle w:val="84"/>
              <w:rPr>
                <w:b w:val="0"/>
                <w:bCs/>
                <w:sz w:val="18"/>
                <w:szCs w:val="18"/>
                <w:highlight w:val="none"/>
              </w:rPr>
            </w:pPr>
            <w:r>
              <w:rPr>
                <w:rFonts w:hint="eastAsia"/>
                <w:b w:val="0"/>
                <w:bCs/>
                <w:sz w:val="18"/>
                <w:szCs w:val="18"/>
                <w:highlight w:val="none"/>
              </w:rPr>
              <w:t>单位</w:t>
            </w:r>
          </w:p>
        </w:tc>
        <w:tc>
          <w:tcPr>
            <w:tcW w:w="935" w:type="pct"/>
            <w:vAlign w:val="center"/>
          </w:tcPr>
          <w:p>
            <w:pPr>
              <w:pStyle w:val="84"/>
              <w:rPr>
                <w:rFonts w:hint="eastAsia"/>
                <w:b w:val="0"/>
                <w:bCs/>
                <w:sz w:val="18"/>
                <w:szCs w:val="18"/>
                <w:highlight w:val="none"/>
              </w:rPr>
            </w:pPr>
            <w:r>
              <w:rPr>
                <w:rFonts w:hint="eastAsia"/>
                <w:b w:val="0"/>
                <w:bCs/>
                <w:sz w:val="18"/>
                <w:szCs w:val="18"/>
                <w:highlight w:val="none"/>
              </w:rPr>
              <w:t>价格</w:t>
            </w:r>
          </w:p>
          <w:p>
            <w:pPr>
              <w:pStyle w:val="84"/>
              <w:rPr>
                <w:rFonts w:hint="default"/>
                <w:b w:val="0"/>
                <w:bCs/>
                <w:sz w:val="18"/>
                <w:szCs w:val="18"/>
                <w:highlight w:val="none"/>
                <w:lang w:val="en-US"/>
              </w:rPr>
            </w:pPr>
            <w:r>
              <w:rPr>
                <w:rFonts w:hint="eastAsia"/>
                <w:b w:val="0"/>
                <w:bCs/>
                <w:sz w:val="18"/>
                <w:szCs w:val="18"/>
                <w:highlight w:val="none"/>
                <w:lang w:eastAsia="zh-CN"/>
              </w:rPr>
              <w:t>（</w:t>
            </w:r>
            <w:r>
              <w:rPr>
                <w:rFonts w:hint="eastAsia"/>
                <w:b w:val="0"/>
                <w:bCs/>
                <w:sz w:val="18"/>
                <w:szCs w:val="18"/>
                <w:highlight w:val="none"/>
                <w:lang w:val="en-US" w:eastAsia="zh-CN"/>
              </w:rPr>
              <w:t>注：不含税价，税率：</w:t>
            </w:r>
            <w:r>
              <w:rPr>
                <w:rFonts w:hint="eastAsia"/>
                <w:b w:val="0"/>
                <w:bCs/>
                <w:sz w:val="18"/>
                <w:szCs w:val="18"/>
                <w:highlight w:val="none"/>
                <w:u w:val="single"/>
                <w:lang w:val="en-US" w:eastAsia="zh-CN"/>
              </w:rPr>
              <w:t xml:space="preserve">    </w:t>
            </w:r>
            <w:r>
              <w:rPr>
                <w:rFonts w:hint="eastAsia"/>
                <w:b w:val="0"/>
                <w:bCs/>
                <w:sz w:val="18"/>
                <w:szCs w:val="18"/>
                <w:highlight w:val="none"/>
                <w:lang w:val="en-US" w:eastAsia="zh-CN"/>
              </w:rPr>
              <w:t>%）</w:t>
            </w:r>
          </w:p>
        </w:tc>
        <w:tc>
          <w:tcPr>
            <w:tcW w:w="1188" w:type="pct"/>
            <w:vAlign w:val="center"/>
          </w:tcPr>
          <w:p>
            <w:pPr>
              <w:pStyle w:val="84"/>
              <w:rPr>
                <w:b w:val="0"/>
                <w:bCs/>
                <w:sz w:val="18"/>
                <w:szCs w:val="18"/>
                <w:highlight w:val="none"/>
              </w:rPr>
            </w:pPr>
            <w:r>
              <w:rPr>
                <w:rFonts w:hint="eastAsia"/>
                <w:b w:val="0"/>
                <w:bCs/>
                <w:sz w:val="18"/>
                <w:szCs w:val="18"/>
                <w:highlight w:val="none"/>
              </w:rPr>
              <w:t>付款方式及比例如何响应</w:t>
            </w:r>
          </w:p>
        </w:tc>
        <w:tc>
          <w:tcPr>
            <w:tcW w:w="607" w:type="pct"/>
            <w:vAlign w:val="center"/>
          </w:tcPr>
          <w:p>
            <w:pPr>
              <w:pStyle w:val="84"/>
              <w:rPr>
                <w:b w:val="0"/>
                <w:bCs/>
                <w:sz w:val="18"/>
                <w:szCs w:val="18"/>
                <w:highlight w:val="none"/>
              </w:rPr>
            </w:pPr>
            <w:r>
              <w:rPr>
                <w:rFonts w:hint="eastAsia"/>
                <w:b w:val="0"/>
                <w:bCs/>
                <w:sz w:val="18"/>
                <w:szCs w:val="18"/>
                <w:highlight w:val="none"/>
              </w:rPr>
              <w:t>付款方式是否偏离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242" w:type="pct"/>
            <w:vAlign w:val="center"/>
          </w:tcPr>
          <w:p>
            <w:pPr>
              <w:pStyle w:val="84"/>
              <w:rPr>
                <w:b w:val="0"/>
                <w:bCs/>
                <w:sz w:val="18"/>
                <w:szCs w:val="18"/>
                <w:highlight w:val="none"/>
              </w:rPr>
            </w:pPr>
            <w:r>
              <w:rPr>
                <w:rFonts w:hint="eastAsia"/>
                <w:b w:val="0"/>
                <w:bCs/>
                <w:sz w:val="18"/>
                <w:szCs w:val="18"/>
                <w:highlight w:val="none"/>
              </w:rPr>
              <w:t>1</w:t>
            </w:r>
          </w:p>
        </w:tc>
        <w:tc>
          <w:tcPr>
            <w:tcW w:w="428" w:type="pct"/>
            <w:vMerge w:val="restart"/>
            <w:vAlign w:val="center"/>
          </w:tcPr>
          <w:p>
            <w:pPr>
              <w:pStyle w:val="84"/>
              <w:rPr>
                <w:rFonts w:hint="default" w:ascii="等线" w:hAnsi="等线" w:eastAsia="等线"/>
                <w:b w:val="0"/>
                <w:bCs/>
                <w:sz w:val="18"/>
                <w:szCs w:val="18"/>
                <w:highlight w:val="none"/>
                <w:lang w:val="en-US" w:eastAsia="zh-CN"/>
              </w:rPr>
            </w:pPr>
            <w:r>
              <w:rPr>
                <w:rFonts w:hint="eastAsia" w:ascii="等线" w:hAnsi="等线" w:eastAsia="等线"/>
                <w:b w:val="0"/>
                <w:bCs/>
                <w:sz w:val="18"/>
                <w:szCs w:val="18"/>
                <w:highlight w:val="none"/>
                <w:lang w:val="en-US" w:eastAsia="zh-CN"/>
              </w:rPr>
              <w:t>整车性能路</w:t>
            </w:r>
          </w:p>
        </w:tc>
        <w:tc>
          <w:tcPr>
            <w:tcW w:w="734" w:type="pct"/>
            <w:vAlign w:val="center"/>
          </w:tcPr>
          <w:p>
            <w:pPr>
              <w:pStyle w:val="84"/>
              <w:rPr>
                <w:b w:val="0"/>
                <w:bCs/>
                <w:sz w:val="18"/>
                <w:szCs w:val="18"/>
                <w:highlight w:val="none"/>
              </w:rPr>
            </w:pPr>
            <w:r>
              <w:rPr>
                <w:rFonts w:hint="eastAsia" w:ascii="等线" w:hAnsi="等线" w:eastAsia="等线"/>
                <w:b w:val="0"/>
                <w:bCs/>
                <w:sz w:val="18"/>
                <w:szCs w:val="18"/>
                <w:highlight w:val="none"/>
                <w:lang w:val="en-US" w:eastAsia="zh-CN"/>
              </w:rPr>
              <w:t>直线</w:t>
            </w:r>
            <w:r>
              <w:rPr>
                <w:rFonts w:hint="eastAsia" w:ascii="等线" w:hAnsi="等线" w:eastAsia="等线"/>
                <w:b w:val="0"/>
                <w:bCs/>
                <w:sz w:val="18"/>
                <w:szCs w:val="18"/>
                <w:highlight w:val="none"/>
              </w:rPr>
              <w:t>性能路</w:t>
            </w:r>
          </w:p>
        </w:tc>
        <w:tc>
          <w:tcPr>
            <w:tcW w:w="863" w:type="pct"/>
            <w:vMerge w:val="restart"/>
            <w:vAlign w:val="center"/>
          </w:tcPr>
          <w:p>
            <w:pPr>
              <w:pStyle w:val="84"/>
              <w:rPr>
                <w:b w:val="0"/>
                <w:bCs/>
                <w:sz w:val="18"/>
                <w:szCs w:val="18"/>
                <w:highlight w:val="none"/>
              </w:rPr>
            </w:pPr>
            <w:r>
              <w:rPr>
                <w:rFonts w:hint="eastAsia" w:ascii="等线" w:hAnsi="等线" w:eastAsia="等线"/>
                <w:b w:val="0"/>
                <w:bCs/>
                <w:sz w:val="18"/>
                <w:szCs w:val="18"/>
                <w:highlight w:val="none"/>
              </w:rPr>
              <w:t>元/分钟</w:t>
            </w:r>
          </w:p>
        </w:tc>
        <w:tc>
          <w:tcPr>
            <w:tcW w:w="935" w:type="pct"/>
            <w:vAlign w:val="center"/>
          </w:tcPr>
          <w:p>
            <w:pPr>
              <w:pStyle w:val="84"/>
              <w:rPr>
                <w:rFonts w:ascii="仿宋" w:hAnsi="仿宋" w:cs="仿宋"/>
                <w:b w:val="0"/>
                <w:bCs/>
                <w:i/>
                <w:sz w:val="18"/>
                <w:szCs w:val="18"/>
                <w:highlight w:val="none"/>
              </w:rPr>
            </w:pPr>
          </w:p>
        </w:tc>
        <w:tc>
          <w:tcPr>
            <w:tcW w:w="1188" w:type="pct"/>
            <w:vMerge w:val="restart"/>
            <w:vAlign w:val="center"/>
          </w:tcPr>
          <w:p>
            <w:pPr>
              <w:pStyle w:val="84"/>
              <w:rPr>
                <w:rFonts w:ascii="仿宋" w:hAnsi="仿宋" w:cs="仿宋"/>
                <w:b w:val="0"/>
                <w:bCs/>
                <w:sz w:val="18"/>
                <w:szCs w:val="18"/>
                <w:highlight w:val="none"/>
              </w:rPr>
            </w:pPr>
            <w:r>
              <w:rPr>
                <w:rFonts w:hint="eastAsia" w:ascii="仿宋" w:hAnsi="仿宋" w:cs="仿宋"/>
                <w:b w:val="0"/>
                <w:bCs/>
                <w:sz w:val="18"/>
                <w:szCs w:val="18"/>
                <w:highlight w:val="none"/>
                <w:lang w:val="en-US" w:eastAsia="zh-CN"/>
              </w:rPr>
              <w:t>银行承兑汇票或商业承兑汇票</w:t>
            </w:r>
            <w:r>
              <w:rPr>
                <w:rFonts w:hint="eastAsia" w:ascii="仿宋" w:hAnsi="仿宋" w:cs="仿宋"/>
                <w:b w:val="0"/>
                <w:bCs/>
                <w:sz w:val="18"/>
                <w:szCs w:val="18"/>
                <w:highlight w:val="none"/>
              </w:rPr>
              <w:t>。</w:t>
            </w:r>
          </w:p>
          <w:p>
            <w:pPr>
              <w:pStyle w:val="84"/>
              <w:rPr>
                <w:rFonts w:ascii="仿宋" w:hAnsi="仿宋" w:cs="仿宋"/>
                <w:b w:val="0"/>
                <w:bCs/>
                <w:sz w:val="18"/>
                <w:szCs w:val="18"/>
                <w:highlight w:val="none"/>
              </w:rPr>
            </w:pPr>
            <w:r>
              <w:rPr>
                <w:rFonts w:hint="eastAsia" w:ascii="仿宋" w:hAnsi="仿宋" w:cs="仿宋"/>
                <w:b w:val="0"/>
                <w:bCs/>
                <w:sz w:val="18"/>
                <w:szCs w:val="18"/>
                <w:highlight w:val="none"/>
              </w:rPr>
              <w:t>每季度结算。乙方每月度汇总场地租用等费用通知单，甲方对费用进行确认；</w:t>
            </w:r>
          </w:p>
          <w:p>
            <w:pPr>
              <w:pStyle w:val="84"/>
              <w:rPr>
                <w:rFonts w:ascii="仿宋" w:hAnsi="仿宋" w:cs="仿宋"/>
                <w:b w:val="0"/>
                <w:bCs/>
                <w:sz w:val="18"/>
                <w:szCs w:val="18"/>
                <w:highlight w:val="none"/>
              </w:rPr>
            </w:pPr>
            <w:r>
              <w:rPr>
                <w:rFonts w:hint="eastAsia" w:ascii="仿宋" w:hAnsi="仿宋" w:cs="仿宋"/>
                <w:b w:val="0"/>
                <w:bCs/>
                <w:sz w:val="18"/>
                <w:szCs w:val="18"/>
                <w:highlight w:val="none"/>
              </w:rPr>
              <w:t>乙方在甲方费用通知单确认后5个工作日开具全额增值税专用发票，甲方在收到乙方发票30日内一次性支付。</w:t>
            </w:r>
          </w:p>
        </w:tc>
        <w:tc>
          <w:tcPr>
            <w:tcW w:w="607" w:type="pct"/>
            <w:vMerge w:val="restart"/>
            <w:vAlign w:val="center"/>
          </w:tcPr>
          <w:p>
            <w:pPr>
              <w:pStyle w:val="84"/>
              <w:rPr>
                <w:rFonts w:ascii="仿宋" w:hAnsi="仿宋" w:cs="仿宋"/>
                <w:b w:val="0"/>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242" w:type="pct"/>
            <w:vAlign w:val="center"/>
          </w:tcPr>
          <w:p>
            <w:pPr>
              <w:pStyle w:val="84"/>
              <w:rPr>
                <w:b w:val="0"/>
                <w:bCs/>
                <w:sz w:val="18"/>
                <w:szCs w:val="18"/>
                <w:highlight w:val="none"/>
              </w:rPr>
            </w:pPr>
            <w:r>
              <w:rPr>
                <w:rFonts w:hint="eastAsia"/>
                <w:b w:val="0"/>
                <w:bCs/>
                <w:sz w:val="18"/>
                <w:szCs w:val="18"/>
                <w:highlight w:val="none"/>
              </w:rPr>
              <w:t>2</w:t>
            </w:r>
          </w:p>
        </w:tc>
        <w:tc>
          <w:tcPr>
            <w:tcW w:w="428" w:type="pct"/>
            <w:vMerge w:val="continue"/>
            <w:vAlign w:val="center"/>
          </w:tcPr>
          <w:p>
            <w:pPr>
              <w:pStyle w:val="84"/>
              <w:rPr>
                <w:rFonts w:hint="eastAsia" w:ascii="等线" w:hAnsi="等线" w:eastAsia="等线"/>
                <w:b w:val="0"/>
                <w:bCs/>
                <w:sz w:val="18"/>
                <w:szCs w:val="18"/>
                <w:highlight w:val="none"/>
              </w:rPr>
            </w:pPr>
          </w:p>
        </w:tc>
        <w:tc>
          <w:tcPr>
            <w:tcW w:w="734" w:type="pct"/>
            <w:vAlign w:val="center"/>
          </w:tcPr>
          <w:p>
            <w:pPr>
              <w:pStyle w:val="84"/>
              <w:rPr>
                <w:b w:val="0"/>
                <w:bCs/>
                <w:sz w:val="18"/>
                <w:szCs w:val="18"/>
                <w:highlight w:val="none"/>
              </w:rPr>
            </w:pPr>
            <w:r>
              <w:rPr>
                <w:rFonts w:hint="eastAsia" w:ascii="等线" w:hAnsi="等线" w:eastAsia="等线"/>
                <w:b w:val="0"/>
                <w:bCs/>
                <w:sz w:val="18"/>
                <w:szCs w:val="18"/>
                <w:highlight w:val="none"/>
              </w:rPr>
              <w:t>动态广场</w:t>
            </w:r>
          </w:p>
        </w:tc>
        <w:tc>
          <w:tcPr>
            <w:tcW w:w="863" w:type="pct"/>
            <w:vMerge w:val="continue"/>
            <w:vAlign w:val="center"/>
          </w:tcPr>
          <w:p>
            <w:pPr>
              <w:pStyle w:val="84"/>
              <w:rPr>
                <w:b w:val="0"/>
                <w:bCs/>
                <w:sz w:val="18"/>
                <w:szCs w:val="18"/>
                <w:highlight w:val="none"/>
              </w:rPr>
            </w:pPr>
          </w:p>
        </w:tc>
        <w:tc>
          <w:tcPr>
            <w:tcW w:w="935" w:type="pct"/>
            <w:vAlign w:val="center"/>
          </w:tcPr>
          <w:p>
            <w:pPr>
              <w:pStyle w:val="84"/>
              <w:rPr>
                <w:rFonts w:ascii="仿宋" w:hAnsi="仿宋" w:cs="仿宋"/>
                <w:b w:val="0"/>
                <w:bCs/>
                <w:i/>
                <w:sz w:val="18"/>
                <w:szCs w:val="18"/>
                <w:highlight w:val="none"/>
              </w:rPr>
            </w:pPr>
          </w:p>
        </w:tc>
        <w:tc>
          <w:tcPr>
            <w:tcW w:w="1188" w:type="pct"/>
            <w:vMerge w:val="continue"/>
            <w:vAlign w:val="center"/>
          </w:tcPr>
          <w:p>
            <w:pPr>
              <w:pStyle w:val="84"/>
              <w:rPr>
                <w:rFonts w:ascii="仿宋" w:hAnsi="仿宋" w:cs="仿宋"/>
                <w:b w:val="0"/>
                <w:bCs/>
                <w:sz w:val="18"/>
                <w:szCs w:val="18"/>
                <w:highlight w:val="none"/>
              </w:rPr>
            </w:pPr>
          </w:p>
        </w:tc>
        <w:tc>
          <w:tcPr>
            <w:tcW w:w="607" w:type="pct"/>
            <w:vMerge w:val="continue"/>
            <w:vAlign w:val="center"/>
          </w:tcPr>
          <w:p>
            <w:pPr>
              <w:pStyle w:val="84"/>
              <w:rPr>
                <w:rFonts w:ascii="仿宋" w:hAnsi="仿宋" w:cs="仿宋"/>
                <w:b w:val="0"/>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242" w:type="pct"/>
            <w:vAlign w:val="center"/>
          </w:tcPr>
          <w:p>
            <w:pPr>
              <w:pStyle w:val="84"/>
              <w:rPr>
                <w:rFonts w:ascii="Times New Roman" w:hAnsi="Times New Roman" w:eastAsia="仿宋" w:cs="Times New Roman"/>
                <w:b w:val="0"/>
                <w:bCs/>
                <w:kern w:val="2"/>
                <w:sz w:val="18"/>
                <w:szCs w:val="18"/>
                <w:highlight w:val="none"/>
                <w:lang w:val="en-US" w:eastAsia="zh-CN" w:bidi="ar-SA"/>
              </w:rPr>
            </w:pPr>
            <w:r>
              <w:rPr>
                <w:rFonts w:hint="eastAsia"/>
                <w:b w:val="0"/>
                <w:bCs/>
                <w:sz w:val="18"/>
                <w:szCs w:val="18"/>
                <w:highlight w:val="none"/>
              </w:rPr>
              <w:t>3</w:t>
            </w:r>
          </w:p>
        </w:tc>
        <w:tc>
          <w:tcPr>
            <w:tcW w:w="428" w:type="pct"/>
            <w:vMerge w:val="continue"/>
            <w:vAlign w:val="center"/>
          </w:tcPr>
          <w:p>
            <w:pPr>
              <w:pStyle w:val="84"/>
              <w:rPr>
                <w:rFonts w:hint="eastAsia" w:ascii="等线" w:hAnsi="等线" w:eastAsia="等线"/>
                <w:b w:val="0"/>
                <w:bCs/>
                <w:sz w:val="18"/>
                <w:szCs w:val="18"/>
                <w:highlight w:val="none"/>
              </w:rPr>
            </w:pPr>
          </w:p>
        </w:tc>
        <w:tc>
          <w:tcPr>
            <w:tcW w:w="734" w:type="pct"/>
            <w:vAlign w:val="center"/>
          </w:tcPr>
          <w:p>
            <w:pPr>
              <w:pStyle w:val="84"/>
              <w:rPr>
                <w:b w:val="0"/>
                <w:bCs/>
                <w:sz w:val="18"/>
                <w:szCs w:val="18"/>
                <w:highlight w:val="none"/>
              </w:rPr>
            </w:pPr>
            <w:r>
              <w:rPr>
                <w:rFonts w:hint="eastAsia" w:ascii="等线" w:hAnsi="等线" w:eastAsia="等线"/>
                <w:b w:val="0"/>
                <w:bCs/>
                <w:sz w:val="18"/>
                <w:szCs w:val="18"/>
                <w:highlight w:val="none"/>
              </w:rPr>
              <w:t>ABS路</w:t>
            </w:r>
          </w:p>
        </w:tc>
        <w:tc>
          <w:tcPr>
            <w:tcW w:w="863" w:type="pct"/>
            <w:vMerge w:val="continue"/>
            <w:vAlign w:val="center"/>
          </w:tcPr>
          <w:p>
            <w:pPr>
              <w:pStyle w:val="84"/>
              <w:rPr>
                <w:b w:val="0"/>
                <w:bCs/>
                <w:sz w:val="18"/>
                <w:szCs w:val="18"/>
                <w:highlight w:val="none"/>
              </w:rPr>
            </w:pPr>
          </w:p>
        </w:tc>
        <w:tc>
          <w:tcPr>
            <w:tcW w:w="935" w:type="pct"/>
            <w:vAlign w:val="center"/>
          </w:tcPr>
          <w:p>
            <w:pPr>
              <w:pStyle w:val="84"/>
              <w:rPr>
                <w:rFonts w:ascii="仿宋" w:hAnsi="仿宋" w:cs="仿宋"/>
                <w:b w:val="0"/>
                <w:bCs/>
                <w:i/>
                <w:sz w:val="18"/>
                <w:szCs w:val="18"/>
                <w:highlight w:val="none"/>
              </w:rPr>
            </w:pPr>
          </w:p>
        </w:tc>
        <w:tc>
          <w:tcPr>
            <w:tcW w:w="1188" w:type="pct"/>
            <w:vMerge w:val="continue"/>
            <w:vAlign w:val="center"/>
          </w:tcPr>
          <w:p>
            <w:pPr>
              <w:pStyle w:val="84"/>
              <w:rPr>
                <w:rFonts w:ascii="仿宋" w:hAnsi="仿宋" w:cs="仿宋"/>
                <w:b w:val="0"/>
                <w:bCs/>
                <w:sz w:val="18"/>
                <w:szCs w:val="18"/>
                <w:highlight w:val="none"/>
              </w:rPr>
            </w:pPr>
          </w:p>
        </w:tc>
        <w:tc>
          <w:tcPr>
            <w:tcW w:w="607" w:type="pct"/>
            <w:vMerge w:val="continue"/>
            <w:vAlign w:val="center"/>
          </w:tcPr>
          <w:p>
            <w:pPr>
              <w:pStyle w:val="84"/>
              <w:rPr>
                <w:rFonts w:ascii="仿宋" w:hAnsi="仿宋" w:cs="仿宋"/>
                <w:b w:val="0"/>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242" w:type="pct"/>
            <w:vAlign w:val="center"/>
          </w:tcPr>
          <w:p>
            <w:pPr>
              <w:pStyle w:val="84"/>
              <w:rPr>
                <w:rFonts w:hint="eastAsia" w:ascii="Times New Roman" w:hAnsi="Times New Roman" w:eastAsia="仿宋" w:cs="Times New Roman"/>
                <w:b w:val="0"/>
                <w:bCs/>
                <w:kern w:val="2"/>
                <w:sz w:val="18"/>
                <w:szCs w:val="18"/>
                <w:highlight w:val="none"/>
                <w:lang w:val="en-US" w:eastAsia="zh-CN" w:bidi="ar-SA"/>
              </w:rPr>
            </w:pPr>
            <w:r>
              <w:rPr>
                <w:rFonts w:hint="eastAsia"/>
                <w:b w:val="0"/>
                <w:bCs/>
                <w:sz w:val="18"/>
                <w:szCs w:val="18"/>
                <w:highlight w:val="none"/>
                <w:lang w:val="en-US" w:eastAsia="zh-CN"/>
              </w:rPr>
              <w:t>4</w:t>
            </w:r>
          </w:p>
        </w:tc>
        <w:tc>
          <w:tcPr>
            <w:tcW w:w="428" w:type="pct"/>
            <w:vMerge w:val="restart"/>
            <w:vAlign w:val="center"/>
          </w:tcPr>
          <w:p>
            <w:pPr>
              <w:pStyle w:val="84"/>
              <w:rPr>
                <w:rFonts w:hint="default" w:ascii="等线" w:hAnsi="等线" w:eastAsia="等线"/>
                <w:b w:val="0"/>
                <w:bCs/>
                <w:sz w:val="18"/>
                <w:szCs w:val="18"/>
                <w:highlight w:val="none"/>
                <w:lang w:val="en-US" w:eastAsia="zh-CN"/>
              </w:rPr>
            </w:pPr>
            <w:r>
              <w:rPr>
                <w:rFonts w:hint="eastAsia" w:ascii="等线" w:hAnsi="等线" w:eastAsia="等线"/>
                <w:b w:val="0"/>
                <w:bCs/>
                <w:sz w:val="18"/>
                <w:szCs w:val="18"/>
                <w:highlight w:val="none"/>
                <w:lang w:val="en-US" w:eastAsia="zh-CN"/>
              </w:rPr>
              <w:t>配套服务</w:t>
            </w:r>
          </w:p>
        </w:tc>
        <w:tc>
          <w:tcPr>
            <w:tcW w:w="734" w:type="pct"/>
            <w:vAlign w:val="center"/>
          </w:tcPr>
          <w:p>
            <w:pPr>
              <w:pStyle w:val="84"/>
              <w:rPr>
                <w:rFonts w:hint="eastAsia" w:ascii="Times New Roman" w:hAnsi="Times New Roman" w:eastAsia="仿宋" w:cs="Times New Roman"/>
                <w:b w:val="0"/>
                <w:bCs/>
                <w:kern w:val="2"/>
                <w:sz w:val="18"/>
                <w:szCs w:val="18"/>
                <w:highlight w:val="none"/>
                <w:lang w:val="en-US" w:eastAsia="zh-CN" w:bidi="ar-SA"/>
              </w:rPr>
            </w:pPr>
            <w:r>
              <w:rPr>
                <w:rFonts w:hint="eastAsia" w:ascii="等线" w:hAnsi="等线" w:eastAsia="等线"/>
                <w:b w:val="0"/>
                <w:bCs/>
                <w:sz w:val="18"/>
                <w:szCs w:val="18"/>
                <w:highlight w:val="none"/>
              </w:rPr>
              <w:t>维修服务</w:t>
            </w:r>
          </w:p>
        </w:tc>
        <w:tc>
          <w:tcPr>
            <w:tcW w:w="863" w:type="pct"/>
            <w:vAlign w:val="center"/>
          </w:tcPr>
          <w:p>
            <w:pPr>
              <w:pStyle w:val="84"/>
              <w:rPr>
                <w:rFonts w:hint="eastAsia" w:ascii="Times New Roman" w:hAnsi="Times New Roman" w:eastAsia="仿宋" w:cs="Times New Roman"/>
                <w:b w:val="0"/>
                <w:bCs/>
                <w:kern w:val="2"/>
                <w:sz w:val="18"/>
                <w:szCs w:val="18"/>
                <w:highlight w:val="none"/>
                <w:lang w:val="en-US" w:eastAsia="zh-CN" w:bidi="ar-SA"/>
              </w:rPr>
            </w:pPr>
            <w:r>
              <w:rPr>
                <w:rFonts w:hint="eastAsia" w:ascii="等线" w:hAnsi="等线" w:eastAsia="等线"/>
                <w:b w:val="0"/>
                <w:bCs/>
                <w:sz w:val="18"/>
                <w:szCs w:val="18"/>
                <w:highlight w:val="none"/>
              </w:rPr>
              <w:t>元/工时</w:t>
            </w:r>
          </w:p>
        </w:tc>
        <w:tc>
          <w:tcPr>
            <w:tcW w:w="935" w:type="pct"/>
            <w:vAlign w:val="center"/>
          </w:tcPr>
          <w:p>
            <w:pPr>
              <w:pStyle w:val="84"/>
              <w:rPr>
                <w:rFonts w:ascii="仿宋" w:hAnsi="仿宋" w:cs="仿宋"/>
                <w:b w:val="0"/>
                <w:bCs/>
                <w:i/>
                <w:sz w:val="18"/>
                <w:szCs w:val="18"/>
                <w:highlight w:val="none"/>
              </w:rPr>
            </w:pPr>
          </w:p>
        </w:tc>
        <w:tc>
          <w:tcPr>
            <w:tcW w:w="1188" w:type="pct"/>
            <w:vMerge w:val="continue"/>
            <w:vAlign w:val="center"/>
          </w:tcPr>
          <w:p>
            <w:pPr>
              <w:pStyle w:val="84"/>
              <w:rPr>
                <w:rFonts w:ascii="仿宋" w:hAnsi="仿宋" w:cs="仿宋"/>
                <w:b w:val="0"/>
                <w:bCs/>
                <w:sz w:val="18"/>
                <w:szCs w:val="18"/>
                <w:highlight w:val="none"/>
              </w:rPr>
            </w:pPr>
          </w:p>
        </w:tc>
        <w:tc>
          <w:tcPr>
            <w:tcW w:w="607" w:type="pct"/>
            <w:vMerge w:val="continue"/>
            <w:vAlign w:val="center"/>
          </w:tcPr>
          <w:p>
            <w:pPr>
              <w:pStyle w:val="84"/>
              <w:rPr>
                <w:rFonts w:ascii="仿宋" w:hAnsi="仿宋" w:cs="仿宋"/>
                <w:b w:val="0"/>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242" w:type="pct"/>
            <w:vAlign w:val="center"/>
          </w:tcPr>
          <w:p>
            <w:pPr>
              <w:pStyle w:val="84"/>
              <w:rPr>
                <w:rFonts w:hint="eastAsia" w:ascii="Times New Roman" w:hAnsi="Times New Roman" w:eastAsia="仿宋" w:cs="Times New Roman"/>
                <w:b w:val="0"/>
                <w:bCs/>
                <w:kern w:val="2"/>
                <w:sz w:val="18"/>
                <w:szCs w:val="18"/>
                <w:highlight w:val="none"/>
                <w:lang w:val="en-US" w:eastAsia="zh-CN" w:bidi="ar-SA"/>
              </w:rPr>
            </w:pPr>
            <w:r>
              <w:rPr>
                <w:rFonts w:hint="eastAsia"/>
                <w:b w:val="0"/>
                <w:bCs/>
                <w:sz w:val="18"/>
                <w:szCs w:val="18"/>
                <w:highlight w:val="none"/>
                <w:lang w:val="en-US" w:eastAsia="zh-CN"/>
              </w:rPr>
              <w:t>5</w:t>
            </w:r>
          </w:p>
        </w:tc>
        <w:tc>
          <w:tcPr>
            <w:tcW w:w="428" w:type="pct"/>
            <w:vMerge w:val="continue"/>
            <w:vAlign w:val="center"/>
          </w:tcPr>
          <w:p>
            <w:pPr>
              <w:pStyle w:val="84"/>
              <w:rPr>
                <w:rFonts w:hint="eastAsia" w:ascii="等线" w:hAnsi="等线" w:eastAsia="等线"/>
                <w:b w:val="0"/>
                <w:bCs/>
                <w:sz w:val="18"/>
                <w:szCs w:val="18"/>
                <w:highlight w:val="none"/>
              </w:rPr>
            </w:pPr>
          </w:p>
        </w:tc>
        <w:tc>
          <w:tcPr>
            <w:tcW w:w="734" w:type="pct"/>
            <w:vAlign w:val="center"/>
          </w:tcPr>
          <w:p>
            <w:pPr>
              <w:pStyle w:val="84"/>
              <w:rPr>
                <w:rFonts w:hint="eastAsia" w:ascii="Times New Roman" w:hAnsi="Times New Roman" w:eastAsia="仿宋" w:cs="Times New Roman"/>
                <w:b w:val="0"/>
                <w:bCs/>
                <w:kern w:val="2"/>
                <w:sz w:val="18"/>
                <w:szCs w:val="18"/>
                <w:highlight w:val="none"/>
                <w:lang w:val="en-US" w:eastAsia="zh-CN" w:bidi="ar-SA"/>
              </w:rPr>
            </w:pPr>
            <w:r>
              <w:rPr>
                <w:rFonts w:hint="eastAsia" w:ascii="等线" w:hAnsi="等线" w:eastAsia="等线"/>
                <w:b w:val="0"/>
                <w:bCs/>
                <w:sz w:val="18"/>
                <w:szCs w:val="18"/>
                <w:highlight w:val="none"/>
              </w:rPr>
              <w:t>办公室租赁</w:t>
            </w:r>
          </w:p>
        </w:tc>
        <w:tc>
          <w:tcPr>
            <w:tcW w:w="863" w:type="pct"/>
            <w:vMerge w:val="restart"/>
            <w:vAlign w:val="center"/>
          </w:tcPr>
          <w:p>
            <w:pPr>
              <w:pStyle w:val="84"/>
              <w:rPr>
                <w:rFonts w:hint="eastAsia" w:ascii="等线" w:hAnsi="等线" w:eastAsia="等线" w:cs="Times New Roman"/>
                <w:b w:val="0"/>
                <w:bCs/>
                <w:kern w:val="2"/>
                <w:sz w:val="18"/>
                <w:szCs w:val="18"/>
                <w:highlight w:val="none"/>
                <w:lang w:val="en-US" w:eastAsia="zh-CN" w:bidi="ar-SA"/>
              </w:rPr>
            </w:pPr>
            <w:r>
              <w:rPr>
                <w:rFonts w:hint="eastAsia" w:ascii="等线" w:hAnsi="等线" w:eastAsia="等线"/>
                <w:b w:val="0"/>
                <w:bCs/>
                <w:sz w:val="18"/>
                <w:szCs w:val="18"/>
                <w:highlight w:val="none"/>
              </w:rPr>
              <w:t>元/</w:t>
            </w:r>
            <w:r>
              <w:rPr>
                <w:rFonts w:hint="eastAsia" w:ascii="等线" w:hAnsi="等线" w:eastAsia="等线"/>
                <w:b w:val="0"/>
                <w:bCs/>
                <w:sz w:val="18"/>
                <w:szCs w:val="18"/>
                <w:highlight w:val="none"/>
                <w:lang w:eastAsia="zh-CN"/>
              </w:rPr>
              <w:t>（</w:t>
            </w:r>
            <w:r>
              <w:rPr>
                <w:rFonts w:hint="eastAsia" w:ascii="等线" w:hAnsi="等线" w:eastAsia="等线"/>
                <w:b w:val="0"/>
                <w:bCs/>
                <w:sz w:val="18"/>
                <w:szCs w:val="18"/>
                <w:highlight w:val="none"/>
              </w:rPr>
              <w:t>平方米</w:t>
            </w:r>
            <m:oMath>
              <m:r>
                <m:rPr>
                  <m:sty m:val="p"/>
                </m:rPr>
                <w:rPr>
                  <w:rFonts w:ascii="Cambria Math" w:hAnsi="Cambria Math" w:cs="仿宋"/>
                  <w:sz w:val="18"/>
                  <w:szCs w:val="18"/>
                  <w:highlight w:val="none"/>
                </w:rPr>
                <m:t>∙</m:t>
              </m:r>
            </m:oMath>
            <w:r>
              <w:rPr>
                <w:rFonts w:hint="eastAsia" w:ascii="等线" w:hAnsi="等线" w:eastAsia="等线"/>
                <w:b w:val="0"/>
                <w:bCs/>
                <w:sz w:val="18"/>
                <w:szCs w:val="18"/>
                <w:highlight w:val="none"/>
              </w:rPr>
              <w:t>月</w:t>
            </w:r>
            <w:r>
              <w:rPr>
                <w:rFonts w:hint="eastAsia" w:ascii="等线" w:hAnsi="等线" w:eastAsia="等线"/>
                <w:b w:val="0"/>
                <w:bCs/>
                <w:sz w:val="18"/>
                <w:szCs w:val="18"/>
                <w:highlight w:val="none"/>
                <w:lang w:eastAsia="zh-CN"/>
              </w:rPr>
              <w:t>）</w:t>
            </w:r>
          </w:p>
        </w:tc>
        <w:tc>
          <w:tcPr>
            <w:tcW w:w="935" w:type="pct"/>
            <w:vAlign w:val="center"/>
          </w:tcPr>
          <w:p>
            <w:pPr>
              <w:pStyle w:val="84"/>
              <w:rPr>
                <w:rFonts w:ascii="仿宋" w:hAnsi="仿宋" w:cs="仿宋"/>
                <w:b w:val="0"/>
                <w:bCs/>
                <w:i/>
                <w:sz w:val="18"/>
                <w:szCs w:val="18"/>
                <w:highlight w:val="none"/>
              </w:rPr>
            </w:pPr>
          </w:p>
        </w:tc>
        <w:tc>
          <w:tcPr>
            <w:tcW w:w="1188" w:type="pct"/>
            <w:vMerge w:val="continue"/>
            <w:vAlign w:val="center"/>
          </w:tcPr>
          <w:p>
            <w:pPr>
              <w:pStyle w:val="84"/>
              <w:rPr>
                <w:rFonts w:ascii="仿宋" w:hAnsi="仿宋" w:cs="仿宋"/>
                <w:b w:val="0"/>
                <w:bCs/>
                <w:sz w:val="18"/>
                <w:szCs w:val="18"/>
                <w:highlight w:val="none"/>
              </w:rPr>
            </w:pPr>
          </w:p>
        </w:tc>
        <w:tc>
          <w:tcPr>
            <w:tcW w:w="607" w:type="pct"/>
            <w:vMerge w:val="continue"/>
            <w:vAlign w:val="center"/>
          </w:tcPr>
          <w:p>
            <w:pPr>
              <w:pStyle w:val="84"/>
              <w:rPr>
                <w:rFonts w:ascii="仿宋" w:hAnsi="仿宋" w:cs="仿宋"/>
                <w:b w:val="0"/>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242" w:type="pct"/>
            <w:vAlign w:val="center"/>
          </w:tcPr>
          <w:p>
            <w:pPr>
              <w:pStyle w:val="84"/>
              <w:rPr>
                <w:rFonts w:hint="eastAsia" w:ascii="Times New Roman" w:hAnsi="Times New Roman" w:eastAsia="仿宋" w:cs="Times New Roman"/>
                <w:b w:val="0"/>
                <w:bCs/>
                <w:kern w:val="2"/>
                <w:sz w:val="18"/>
                <w:szCs w:val="18"/>
                <w:highlight w:val="none"/>
                <w:lang w:val="en-US" w:eastAsia="zh-CN" w:bidi="ar-SA"/>
              </w:rPr>
            </w:pPr>
            <w:r>
              <w:rPr>
                <w:rFonts w:hint="eastAsia"/>
                <w:b w:val="0"/>
                <w:bCs/>
                <w:sz w:val="18"/>
                <w:szCs w:val="18"/>
                <w:highlight w:val="none"/>
                <w:lang w:val="en-US" w:eastAsia="zh-CN"/>
              </w:rPr>
              <w:t>6</w:t>
            </w:r>
          </w:p>
        </w:tc>
        <w:tc>
          <w:tcPr>
            <w:tcW w:w="428" w:type="pct"/>
            <w:vMerge w:val="continue"/>
            <w:vAlign w:val="center"/>
          </w:tcPr>
          <w:p>
            <w:pPr>
              <w:pStyle w:val="84"/>
              <w:rPr>
                <w:rFonts w:hint="eastAsia" w:ascii="等线" w:hAnsi="等线" w:eastAsia="等线"/>
                <w:b w:val="0"/>
                <w:bCs/>
                <w:sz w:val="18"/>
                <w:szCs w:val="18"/>
                <w:highlight w:val="none"/>
              </w:rPr>
            </w:pPr>
          </w:p>
        </w:tc>
        <w:tc>
          <w:tcPr>
            <w:tcW w:w="734" w:type="pct"/>
            <w:vAlign w:val="center"/>
          </w:tcPr>
          <w:p>
            <w:pPr>
              <w:pStyle w:val="84"/>
              <w:rPr>
                <w:rFonts w:hint="eastAsia" w:ascii="等线" w:hAnsi="等线" w:eastAsia="等线" w:cs="Times New Roman"/>
                <w:b w:val="0"/>
                <w:bCs/>
                <w:kern w:val="2"/>
                <w:sz w:val="18"/>
                <w:szCs w:val="18"/>
                <w:highlight w:val="none"/>
                <w:lang w:val="en-US" w:eastAsia="zh-CN" w:bidi="ar-SA"/>
              </w:rPr>
            </w:pPr>
            <w:r>
              <w:rPr>
                <w:rFonts w:hint="eastAsia" w:ascii="等线" w:hAnsi="等线" w:eastAsia="等线"/>
                <w:b w:val="0"/>
                <w:bCs/>
                <w:sz w:val="18"/>
                <w:szCs w:val="18"/>
                <w:highlight w:val="none"/>
              </w:rPr>
              <w:t>仓库租赁</w:t>
            </w:r>
          </w:p>
        </w:tc>
        <w:tc>
          <w:tcPr>
            <w:tcW w:w="863" w:type="pct"/>
            <w:vMerge w:val="continue"/>
            <w:vAlign w:val="center"/>
          </w:tcPr>
          <w:p>
            <w:pPr>
              <w:pStyle w:val="84"/>
              <w:rPr>
                <w:rFonts w:hint="eastAsia" w:ascii="等线" w:hAnsi="等线" w:eastAsia="等线" w:cs="Times New Roman"/>
                <w:b w:val="0"/>
                <w:bCs/>
                <w:kern w:val="2"/>
                <w:sz w:val="18"/>
                <w:szCs w:val="18"/>
                <w:highlight w:val="none"/>
                <w:lang w:val="en-US" w:eastAsia="zh-CN" w:bidi="ar-SA"/>
              </w:rPr>
            </w:pPr>
          </w:p>
        </w:tc>
        <w:tc>
          <w:tcPr>
            <w:tcW w:w="935" w:type="pct"/>
            <w:vAlign w:val="center"/>
          </w:tcPr>
          <w:p>
            <w:pPr>
              <w:pStyle w:val="84"/>
              <w:rPr>
                <w:rFonts w:ascii="仿宋" w:hAnsi="仿宋" w:cs="仿宋"/>
                <w:b w:val="0"/>
                <w:bCs/>
                <w:i/>
                <w:sz w:val="18"/>
                <w:szCs w:val="18"/>
                <w:highlight w:val="none"/>
              </w:rPr>
            </w:pPr>
          </w:p>
        </w:tc>
        <w:tc>
          <w:tcPr>
            <w:tcW w:w="1188" w:type="pct"/>
            <w:vMerge w:val="continue"/>
            <w:vAlign w:val="center"/>
          </w:tcPr>
          <w:p>
            <w:pPr>
              <w:pStyle w:val="84"/>
              <w:rPr>
                <w:rFonts w:ascii="仿宋" w:hAnsi="仿宋" w:cs="仿宋"/>
                <w:b w:val="0"/>
                <w:bCs/>
                <w:sz w:val="18"/>
                <w:szCs w:val="18"/>
                <w:highlight w:val="none"/>
              </w:rPr>
            </w:pPr>
          </w:p>
        </w:tc>
        <w:tc>
          <w:tcPr>
            <w:tcW w:w="607" w:type="pct"/>
            <w:vMerge w:val="continue"/>
            <w:vAlign w:val="center"/>
          </w:tcPr>
          <w:p>
            <w:pPr>
              <w:pStyle w:val="84"/>
              <w:rPr>
                <w:rFonts w:ascii="仿宋" w:hAnsi="仿宋" w:cs="仿宋"/>
                <w:b w:val="0"/>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242" w:type="pct"/>
            <w:vAlign w:val="center"/>
          </w:tcPr>
          <w:p>
            <w:pPr>
              <w:pStyle w:val="84"/>
              <w:rPr>
                <w:rFonts w:hint="default" w:ascii="Times New Roman" w:hAnsi="Times New Roman" w:eastAsia="仿宋" w:cs="Times New Roman"/>
                <w:b w:val="0"/>
                <w:bCs/>
                <w:kern w:val="2"/>
                <w:sz w:val="18"/>
                <w:szCs w:val="18"/>
                <w:highlight w:val="none"/>
                <w:lang w:val="en-US" w:eastAsia="zh-CN" w:bidi="ar-SA"/>
              </w:rPr>
            </w:pPr>
            <w:r>
              <w:rPr>
                <w:rFonts w:hint="eastAsia"/>
                <w:b w:val="0"/>
                <w:bCs/>
                <w:sz w:val="18"/>
                <w:szCs w:val="18"/>
                <w:highlight w:val="none"/>
                <w:lang w:val="en-US" w:eastAsia="zh-CN"/>
              </w:rPr>
              <w:t>7</w:t>
            </w:r>
          </w:p>
        </w:tc>
        <w:tc>
          <w:tcPr>
            <w:tcW w:w="428" w:type="pct"/>
            <w:vMerge w:val="continue"/>
            <w:vAlign w:val="center"/>
          </w:tcPr>
          <w:p>
            <w:pPr>
              <w:pStyle w:val="84"/>
              <w:rPr>
                <w:rFonts w:hint="eastAsia" w:ascii="等线" w:hAnsi="等线" w:eastAsia="等线"/>
                <w:b w:val="0"/>
                <w:bCs/>
                <w:sz w:val="18"/>
                <w:szCs w:val="18"/>
                <w:highlight w:val="none"/>
              </w:rPr>
            </w:pPr>
          </w:p>
        </w:tc>
        <w:tc>
          <w:tcPr>
            <w:tcW w:w="734" w:type="pct"/>
            <w:vAlign w:val="center"/>
          </w:tcPr>
          <w:p>
            <w:pPr>
              <w:pStyle w:val="84"/>
              <w:rPr>
                <w:rFonts w:hint="eastAsia" w:ascii="等线" w:hAnsi="等线" w:eastAsia="等线" w:cs="Times New Roman"/>
                <w:b w:val="0"/>
                <w:bCs/>
                <w:kern w:val="2"/>
                <w:sz w:val="18"/>
                <w:szCs w:val="18"/>
                <w:highlight w:val="none"/>
                <w:lang w:val="en-US" w:eastAsia="zh-CN" w:bidi="ar-SA"/>
              </w:rPr>
            </w:pPr>
            <w:r>
              <w:rPr>
                <w:rFonts w:hint="eastAsia" w:ascii="等线" w:hAnsi="等线" w:eastAsia="等线"/>
                <w:b w:val="0"/>
                <w:bCs/>
                <w:sz w:val="18"/>
                <w:szCs w:val="18"/>
                <w:highlight w:val="none"/>
              </w:rPr>
              <w:t>燃料费</w:t>
            </w:r>
          </w:p>
        </w:tc>
        <w:tc>
          <w:tcPr>
            <w:tcW w:w="863" w:type="pct"/>
            <w:vAlign w:val="center"/>
          </w:tcPr>
          <w:p>
            <w:pPr>
              <w:pStyle w:val="84"/>
              <w:rPr>
                <w:rFonts w:hint="eastAsia" w:ascii="等线" w:hAnsi="等线" w:eastAsia="等线" w:cs="Times New Roman"/>
                <w:b w:val="0"/>
                <w:bCs/>
                <w:kern w:val="2"/>
                <w:sz w:val="18"/>
                <w:szCs w:val="18"/>
                <w:highlight w:val="none"/>
                <w:lang w:val="en-US" w:eastAsia="zh-CN" w:bidi="ar-SA"/>
              </w:rPr>
            </w:pPr>
            <w:r>
              <w:rPr>
                <w:rFonts w:hint="eastAsia" w:ascii="等线" w:hAnsi="等线" w:eastAsia="等线"/>
                <w:b w:val="0"/>
                <w:bCs/>
                <w:sz w:val="18"/>
                <w:szCs w:val="18"/>
                <w:highlight w:val="none"/>
              </w:rPr>
              <w:t>折扣</w:t>
            </w:r>
          </w:p>
        </w:tc>
        <w:tc>
          <w:tcPr>
            <w:tcW w:w="935" w:type="pct"/>
            <w:vAlign w:val="center"/>
          </w:tcPr>
          <w:p>
            <w:pPr>
              <w:pStyle w:val="84"/>
              <w:rPr>
                <w:rFonts w:ascii="仿宋" w:hAnsi="仿宋" w:cs="仿宋"/>
                <w:b w:val="0"/>
                <w:bCs/>
                <w:i/>
                <w:sz w:val="18"/>
                <w:szCs w:val="18"/>
                <w:highlight w:val="none"/>
              </w:rPr>
            </w:pPr>
          </w:p>
        </w:tc>
        <w:tc>
          <w:tcPr>
            <w:tcW w:w="1188" w:type="pct"/>
            <w:vMerge w:val="continue"/>
            <w:vAlign w:val="center"/>
          </w:tcPr>
          <w:p>
            <w:pPr>
              <w:pStyle w:val="84"/>
              <w:rPr>
                <w:rFonts w:ascii="仿宋" w:hAnsi="仿宋" w:cs="仿宋"/>
                <w:b w:val="0"/>
                <w:bCs/>
                <w:sz w:val="18"/>
                <w:szCs w:val="18"/>
                <w:highlight w:val="none"/>
              </w:rPr>
            </w:pPr>
          </w:p>
        </w:tc>
        <w:tc>
          <w:tcPr>
            <w:tcW w:w="607" w:type="pct"/>
            <w:vMerge w:val="continue"/>
            <w:vAlign w:val="center"/>
          </w:tcPr>
          <w:p>
            <w:pPr>
              <w:pStyle w:val="84"/>
              <w:rPr>
                <w:rFonts w:ascii="仿宋" w:hAnsi="仿宋" w:cs="仿宋"/>
                <w:b w:val="0"/>
                <w:bCs/>
                <w:sz w:val="18"/>
                <w:szCs w:val="18"/>
                <w:highlight w:val="none"/>
              </w:rPr>
            </w:pPr>
          </w:p>
        </w:tc>
      </w:tr>
    </w:tbl>
    <w:p>
      <w:pPr>
        <w:spacing w:line="360" w:lineRule="auto"/>
        <w:rPr>
          <w:rFonts w:ascii="仿宋" w:hAnsi="仿宋" w:eastAsia="仿宋" w:cs="仿宋"/>
          <w:sz w:val="18"/>
          <w:szCs w:val="18"/>
          <w:highlight w:val="none"/>
        </w:rPr>
      </w:pPr>
      <w:r>
        <w:rPr>
          <w:rFonts w:hint="eastAsia" w:ascii="仿宋" w:hAnsi="仿宋" w:eastAsia="仿宋" w:cs="仿宋"/>
          <w:sz w:val="18"/>
          <w:szCs w:val="18"/>
          <w:highlight w:val="none"/>
        </w:rPr>
        <w:t>注：</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 w:hAnsi="仿宋" w:eastAsia="仿宋" w:cs="仿宋"/>
          <w:sz w:val="18"/>
          <w:szCs w:val="18"/>
          <w:highlight w:val="none"/>
        </w:rPr>
      </w:pPr>
      <w:r>
        <w:rPr>
          <w:rFonts w:hint="eastAsia" w:ascii="仿宋" w:hAnsi="仿宋" w:eastAsia="仿宋" w:cs="仿宋"/>
          <w:sz w:val="18"/>
          <w:szCs w:val="18"/>
          <w:highlight w:val="none"/>
        </w:rPr>
        <w:t>1、此表中的报价必须与相应的报价明细表</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lang w:val="en-US" w:eastAsia="zh-CN"/>
        </w:rPr>
        <w:t>附件7</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中的报价一致，投标方提供所能提供的单项报价</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lang w:val="en-US" w:eastAsia="zh-CN"/>
        </w:rPr>
        <w:t>表格内容不可调整</w:t>
      </w:r>
      <w:r>
        <w:rPr>
          <w:rFonts w:hint="eastAsia" w:ascii="仿宋" w:hAnsi="仿宋" w:eastAsia="仿宋" w:cs="仿宋"/>
          <w:sz w:val="18"/>
          <w:szCs w:val="18"/>
          <w:highlight w:val="none"/>
        </w:rPr>
        <w:t>。</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2、报价表中</w:t>
      </w:r>
      <w:r>
        <w:rPr>
          <w:rFonts w:hint="eastAsia" w:ascii="仿宋" w:hAnsi="仿宋" w:eastAsia="仿宋" w:cs="仿宋"/>
          <w:sz w:val="18"/>
          <w:szCs w:val="18"/>
          <w:highlight w:val="none"/>
          <w:lang w:val="en-US" w:eastAsia="zh-CN"/>
        </w:rPr>
        <w:t>性能试验</w:t>
      </w:r>
      <w:r>
        <w:rPr>
          <w:rFonts w:hint="eastAsia" w:ascii="仿宋" w:hAnsi="仿宋" w:eastAsia="仿宋" w:cs="仿宋"/>
          <w:sz w:val="18"/>
          <w:szCs w:val="18"/>
          <w:highlight w:val="none"/>
        </w:rPr>
        <w:t>道路租用价格以</w:t>
      </w:r>
      <w:bookmarkStart w:id="58" w:name="_GoBack"/>
      <w:r>
        <w:rPr>
          <w:rFonts w:hint="eastAsia" w:ascii="仿宋" w:hAnsi="仿宋" w:eastAsia="仿宋" w:cs="仿宋"/>
          <w:sz w:val="18"/>
          <w:szCs w:val="18"/>
          <w:highlight w:val="yellow"/>
        </w:rPr>
        <w:t>两轴</w:t>
      </w:r>
      <w:bookmarkEnd w:id="58"/>
      <w:r>
        <w:rPr>
          <w:rFonts w:hint="eastAsia" w:ascii="仿宋" w:hAnsi="仿宋" w:eastAsia="仿宋" w:cs="仿宋"/>
          <w:sz w:val="18"/>
          <w:szCs w:val="18"/>
          <w:highlight w:val="none"/>
        </w:rPr>
        <w:t>车型作为基础报价。</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b/>
          <w:bCs/>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为便于</w:t>
      </w:r>
      <w:r>
        <w:rPr>
          <w:rFonts w:hint="eastAsia" w:ascii="仿宋" w:hAnsi="仿宋" w:eastAsia="仿宋" w:cs="仿宋"/>
          <w:sz w:val="18"/>
          <w:szCs w:val="18"/>
          <w:highlight w:val="none"/>
          <w:lang w:val="en-US" w:eastAsia="zh-CN"/>
        </w:rPr>
        <w:t>评标</w:t>
      </w:r>
      <w:r>
        <w:rPr>
          <w:rFonts w:hint="eastAsia" w:ascii="仿宋" w:hAnsi="仿宋" w:eastAsia="仿宋" w:cs="仿宋"/>
          <w:sz w:val="18"/>
          <w:szCs w:val="18"/>
          <w:highlight w:val="none"/>
        </w:rPr>
        <w:t>横向比较，</w:t>
      </w:r>
      <w:r>
        <w:rPr>
          <w:rFonts w:hint="eastAsia" w:ascii="仿宋" w:hAnsi="仿宋" w:eastAsia="仿宋" w:cs="仿宋"/>
          <w:sz w:val="18"/>
          <w:szCs w:val="18"/>
          <w:highlight w:val="none"/>
          <w:lang w:val="en-US" w:eastAsia="zh-CN"/>
        </w:rPr>
        <w:t>性能试验路路仅报性能直线性能路、动态广场和ABS路3种道路单价，其他道</w:t>
      </w:r>
      <w:r>
        <w:rPr>
          <w:rFonts w:hint="eastAsia" w:ascii="仿宋" w:hAnsi="仿宋" w:eastAsia="仿宋" w:cs="仿宋"/>
          <w:b/>
          <w:bCs/>
          <w:sz w:val="18"/>
          <w:szCs w:val="18"/>
          <w:highlight w:val="none"/>
          <w:lang w:eastAsia="zh-CN"/>
        </w:rPr>
        <w:t>路</w:t>
      </w:r>
      <w:r>
        <w:rPr>
          <w:rFonts w:hint="eastAsia" w:ascii="仿宋" w:hAnsi="仿宋" w:eastAsia="仿宋" w:cs="仿宋"/>
          <w:b/>
          <w:bCs/>
          <w:sz w:val="18"/>
          <w:szCs w:val="18"/>
          <w:highlight w:val="none"/>
        </w:rPr>
        <w:t>价格参照各场地</w:t>
      </w:r>
      <w:r>
        <w:rPr>
          <w:rFonts w:hint="eastAsia" w:ascii="仿宋" w:hAnsi="仿宋" w:eastAsia="仿宋" w:cs="仿宋"/>
          <w:b/>
          <w:bCs/>
          <w:sz w:val="18"/>
          <w:szCs w:val="18"/>
          <w:highlight w:val="none"/>
          <w:lang w:val="en-US" w:eastAsia="zh-CN"/>
        </w:rPr>
        <w:t>向社会公布的服务</w:t>
      </w:r>
      <w:r>
        <w:rPr>
          <w:rFonts w:hint="eastAsia" w:ascii="仿宋" w:hAnsi="仿宋" w:eastAsia="仿宋" w:cs="仿宋"/>
          <w:b/>
          <w:bCs/>
          <w:sz w:val="18"/>
          <w:szCs w:val="18"/>
          <w:highlight w:val="none"/>
        </w:rPr>
        <w:t>价格同比例调整获得，并在投标报价明细</w:t>
      </w:r>
      <w:r>
        <w:rPr>
          <w:rFonts w:hint="eastAsia" w:ascii="仿宋" w:hAnsi="仿宋" w:eastAsia="仿宋" w:cs="仿宋"/>
          <w:b/>
          <w:bCs/>
          <w:sz w:val="18"/>
          <w:szCs w:val="18"/>
          <w:highlight w:val="none"/>
          <w:lang w:val="en-US" w:eastAsia="zh-CN"/>
        </w:rPr>
        <w:t>表</w:t>
      </w:r>
      <w:r>
        <w:rPr>
          <w:rFonts w:hint="eastAsia" w:ascii="仿宋" w:hAnsi="仿宋" w:eastAsia="仿宋" w:cs="仿宋"/>
          <w:b/>
          <w:bCs/>
          <w:sz w:val="18"/>
          <w:szCs w:val="18"/>
          <w:highlight w:val="none"/>
          <w:lang w:eastAsia="zh-CN"/>
        </w:rPr>
        <w:t>（</w:t>
      </w:r>
      <w:r>
        <w:rPr>
          <w:rFonts w:hint="eastAsia" w:ascii="仿宋" w:hAnsi="仿宋" w:eastAsia="仿宋" w:cs="仿宋"/>
          <w:b/>
          <w:bCs/>
          <w:sz w:val="18"/>
          <w:szCs w:val="18"/>
          <w:highlight w:val="none"/>
          <w:lang w:val="en-US" w:eastAsia="zh-CN"/>
        </w:rPr>
        <w:t>附件7</w:t>
      </w:r>
      <w:r>
        <w:rPr>
          <w:rFonts w:hint="eastAsia" w:ascii="仿宋" w:hAnsi="仿宋" w:eastAsia="仿宋" w:cs="仿宋"/>
          <w:b/>
          <w:bCs/>
          <w:sz w:val="18"/>
          <w:szCs w:val="18"/>
          <w:highlight w:val="none"/>
          <w:lang w:eastAsia="zh-CN"/>
        </w:rPr>
        <w:t>）</w:t>
      </w:r>
      <w:r>
        <w:rPr>
          <w:rFonts w:hint="eastAsia" w:ascii="仿宋" w:hAnsi="仿宋" w:eastAsia="仿宋" w:cs="仿宋"/>
          <w:b/>
          <w:bCs/>
          <w:sz w:val="18"/>
          <w:szCs w:val="18"/>
          <w:highlight w:val="none"/>
        </w:rPr>
        <w:t>中详细列出。</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4</w:t>
      </w:r>
      <w:r>
        <w:rPr>
          <w:rFonts w:hint="eastAsia" w:ascii="仿宋" w:hAnsi="仿宋" w:eastAsia="仿宋" w:cs="仿宋"/>
          <w:sz w:val="18"/>
          <w:szCs w:val="18"/>
          <w:highlight w:val="none"/>
        </w:rPr>
        <w:t>、维修服务中</w:t>
      </w:r>
      <w:r>
        <w:rPr>
          <w:rFonts w:hint="eastAsia" w:ascii="仿宋" w:hAnsi="仿宋" w:eastAsia="仿宋" w:cs="仿宋"/>
          <w:sz w:val="18"/>
          <w:szCs w:val="18"/>
          <w:highlight w:val="none"/>
          <w:lang w:val="en-US" w:eastAsia="zh-CN"/>
        </w:rPr>
        <w:t>各维修项目对应</w:t>
      </w:r>
      <w:r>
        <w:rPr>
          <w:rFonts w:hint="eastAsia" w:ascii="仿宋" w:hAnsi="仿宋" w:eastAsia="仿宋" w:cs="仿宋"/>
          <w:sz w:val="18"/>
          <w:szCs w:val="18"/>
          <w:highlight w:val="none"/>
        </w:rPr>
        <w:t>维修工时见附件。</w:t>
      </w:r>
    </w:p>
    <w:p>
      <w:pPr>
        <w:pStyle w:val="2"/>
        <w:rPr>
          <w:highlight w:val="none"/>
        </w:rPr>
      </w:pPr>
      <w:r>
        <w:rPr>
          <w:rFonts w:hint="eastAsia" w:ascii="仿宋" w:hAnsi="仿宋" w:eastAsia="仿宋" w:cs="仿宋"/>
          <w:sz w:val="18"/>
          <w:szCs w:val="18"/>
          <w:highlight w:val="none"/>
          <w:lang w:val="en-US" w:eastAsia="zh-CN"/>
        </w:rPr>
        <w:t>5、燃料费指的是相比当地同期中国石化油价折扣率</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 w:hAnsi="仿宋" w:eastAsia="仿宋" w:cs="仿宋"/>
          <w:sz w:val="18"/>
          <w:szCs w:val="18"/>
          <w:highlight w:val="none"/>
        </w:rPr>
      </w:pPr>
      <w:r>
        <w:rPr>
          <w:rFonts w:hint="eastAsia" w:ascii="仿宋" w:hAnsi="仿宋" w:eastAsia="仿宋" w:cs="仿宋"/>
          <w:sz w:val="18"/>
          <w:szCs w:val="18"/>
          <w:highlight w:val="none"/>
          <w:lang w:val="en-US" w:eastAsia="zh-CN"/>
        </w:rPr>
        <w:t>6</w:t>
      </w:r>
      <w:r>
        <w:rPr>
          <w:rFonts w:ascii="仿宋" w:hAnsi="仿宋" w:eastAsia="仿宋" w:cs="仿宋"/>
          <w:sz w:val="18"/>
          <w:szCs w:val="18"/>
          <w:highlight w:val="none"/>
        </w:rPr>
        <w:t>、</w:t>
      </w:r>
      <w:r>
        <w:rPr>
          <w:rFonts w:hint="eastAsia" w:ascii="仿宋" w:hAnsi="仿宋" w:eastAsia="仿宋" w:cs="仿宋"/>
          <w:sz w:val="18"/>
          <w:szCs w:val="18"/>
          <w:highlight w:val="none"/>
        </w:rPr>
        <w:t>附件</w:t>
      </w:r>
      <w:r>
        <w:rPr>
          <w:rFonts w:ascii="仿宋" w:hAnsi="仿宋" w:eastAsia="仿宋" w:cs="仿宋"/>
          <w:sz w:val="18"/>
          <w:szCs w:val="18"/>
          <w:highlight w:val="none"/>
        </w:rPr>
        <w:t>6、7、8</w:t>
      </w:r>
      <w:r>
        <w:rPr>
          <w:rFonts w:hint="eastAsia" w:ascii="仿宋" w:hAnsi="仿宋" w:eastAsia="仿宋" w:cs="仿宋"/>
          <w:sz w:val="18"/>
          <w:szCs w:val="18"/>
          <w:highlight w:val="none"/>
        </w:rPr>
        <w:t>应在投递标书时单独密封，否则不予唱标。</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 w:hAnsi="仿宋" w:eastAsia="仿宋" w:cs="仿宋"/>
          <w:sz w:val="18"/>
          <w:szCs w:val="18"/>
          <w:highlight w:val="none"/>
        </w:rPr>
      </w:pPr>
      <w:r>
        <w:rPr>
          <w:rFonts w:hint="eastAsia" w:ascii="仿宋" w:hAnsi="仿宋" w:eastAsia="仿宋" w:cs="仿宋"/>
          <w:sz w:val="18"/>
          <w:szCs w:val="18"/>
          <w:highlight w:val="none"/>
          <w:lang w:val="en-US" w:eastAsia="zh-CN"/>
        </w:rPr>
        <w:t>7</w:t>
      </w:r>
      <w:r>
        <w:rPr>
          <w:rFonts w:hint="eastAsia" w:ascii="仿宋" w:hAnsi="仿宋" w:eastAsia="仿宋" w:cs="仿宋"/>
          <w:sz w:val="18"/>
          <w:szCs w:val="18"/>
          <w:highlight w:val="none"/>
        </w:rPr>
        <w:t>、需写明不含税价格、税率。</w:t>
      </w:r>
    </w:p>
    <w:p>
      <w:pPr>
        <w:spacing w:line="360" w:lineRule="auto"/>
        <w:rPr>
          <w:rFonts w:ascii="仿宋" w:hAnsi="仿宋" w:eastAsia="仿宋" w:cs="仿宋"/>
          <w:sz w:val="18"/>
          <w:szCs w:val="18"/>
          <w:highlight w:val="none"/>
        </w:rPr>
      </w:pPr>
      <w:r>
        <w:rPr>
          <w:rFonts w:hint="eastAsia" w:ascii="仿宋" w:hAnsi="仿宋" w:eastAsia="仿宋" w:cs="仿宋"/>
          <w:sz w:val="18"/>
          <w:szCs w:val="18"/>
          <w:highlight w:val="none"/>
        </w:rPr>
        <w:t>投标人：（盖章）</w:t>
      </w:r>
    </w:p>
    <w:p>
      <w:pPr>
        <w:spacing w:line="360" w:lineRule="auto"/>
        <w:rPr>
          <w:rFonts w:ascii="仿宋" w:hAnsi="仿宋" w:eastAsia="仿宋" w:cs="仿宋"/>
          <w:sz w:val="18"/>
          <w:szCs w:val="18"/>
          <w:highlight w:val="none"/>
        </w:rPr>
      </w:pPr>
      <w:r>
        <w:rPr>
          <w:rFonts w:hint="eastAsia" w:ascii="仿宋" w:hAnsi="仿宋" w:eastAsia="仿宋" w:cs="仿宋"/>
          <w:sz w:val="18"/>
          <w:szCs w:val="18"/>
          <w:highlight w:val="none"/>
        </w:rPr>
        <w:t>法定代表人（委托代理人）：（签字）</w:t>
      </w:r>
    </w:p>
    <w:p>
      <w:pPr>
        <w:spacing w:line="360" w:lineRule="auto"/>
        <w:rPr>
          <w:highlight w:val="none"/>
        </w:rPr>
      </w:pPr>
      <w:r>
        <w:rPr>
          <w:rFonts w:hint="eastAsia" w:ascii="仿宋" w:hAnsi="仿宋" w:eastAsia="仿宋" w:cs="仿宋"/>
          <w:sz w:val="18"/>
          <w:szCs w:val="18"/>
          <w:highlight w:val="none"/>
        </w:rPr>
        <w:t>日  期：</w:t>
      </w:r>
      <w:r>
        <w:rPr>
          <w:rFonts w:hint="eastAsia" w:ascii="仿宋" w:hAnsi="仿宋" w:eastAsia="仿宋" w:cs="仿宋"/>
          <w:kern w:val="0"/>
          <w:sz w:val="18"/>
          <w:szCs w:val="18"/>
          <w:highlight w:val="none"/>
        </w:rPr>
        <w:t xml:space="preserve">       </w:t>
      </w:r>
      <w:r>
        <w:rPr>
          <w:rFonts w:hint="eastAsia" w:ascii="仿宋" w:hAnsi="仿宋" w:eastAsia="仿宋" w:cs="仿宋"/>
          <w:sz w:val="18"/>
          <w:szCs w:val="18"/>
          <w:highlight w:val="none"/>
        </w:rPr>
        <w:t>年</w:t>
      </w:r>
      <w:r>
        <w:rPr>
          <w:rFonts w:hint="eastAsia" w:ascii="仿宋" w:hAnsi="仿宋" w:eastAsia="仿宋" w:cs="仿宋"/>
          <w:kern w:val="0"/>
          <w:sz w:val="18"/>
          <w:szCs w:val="18"/>
          <w:highlight w:val="none"/>
        </w:rPr>
        <w:t xml:space="preserve">    </w:t>
      </w:r>
      <w:r>
        <w:rPr>
          <w:rFonts w:hint="eastAsia" w:ascii="仿宋" w:hAnsi="仿宋" w:eastAsia="仿宋" w:cs="仿宋"/>
          <w:sz w:val="18"/>
          <w:szCs w:val="18"/>
          <w:highlight w:val="none"/>
        </w:rPr>
        <w:t>月</w:t>
      </w:r>
      <w:r>
        <w:rPr>
          <w:rFonts w:hint="eastAsia" w:ascii="仿宋" w:hAnsi="仿宋" w:eastAsia="仿宋" w:cs="仿宋"/>
          <w:kern w:val="0"/>
          <w:sz w:val="18"/>
          <w:szCs w:val="18"/>
          <w:highlight w:val="none"/>
        </w:rPr>
        <w:t xml:space="preserve">    </w:t>
      </w:r>
      <w:r>
        <w:rPr>
          <w:rFonts w:hint="eastAsia" w:ascii="仿宋" w:hAnsi="仿宋" w:eastAsia="仿宋" w:cs="仿宋"/>
          <w:sz w:val="18"/>
          <w:szCs w:val="18"/>
          <w:highlight w:val="none"/>
        </w:rPr>
        <w:t>日</w:t>
      </w:r>
      <w:r>
        <w:rPr>
          <w:highlight w:val="none"/>
        </w:rPr>
        <w:br w:type="page"/>
      </w:r>
    </w:p>
    <w:p>
      <w:pPr>
        <w:pStyle w:val="50"/>
        <w:rPr>
          <w:rFonts w:hint="default" w:eastAsia="宋体"/>
          <w:highlight w:val="none"/>
          <w:lang w:val="en-US" w:eastAsia="zh-CN"/>
        </w:rPr>
      </w:pPr>
      <w:r>
        <w:rPr>
          <w:rFonts w:hint="eastAsia"/>
          <w:highlight w:val="none"/>
        </w:rPr>
        <w:t>附件</w:t>
      </w:r>
      <w:r>
        <w:rPr>
          <w:highlight w:val="none"/>
        </w:rPr>
        <w:t>6</w:t>
      </w:r>
      <w:r>
        <w:rPr>
          <w:rFonts w:hint="eastAsia"/>
          <w:highlight w:val="none"/>
        </w:rPr>
        <w:t>开标一览表：</w:t>
      </w:r>
      <w:r>
        <w:rPr>
          <w:rFonts w:hint="eastAsia"/>
          <w:highlight w:val="none"/>
          <w:lang w:val="en-US" w:eastAsia="zh-CN"/>
        </w:rPr>
        <w:t>轻卡可靠性场地子项目适用</w:t>
      </w:r>
    </w:p>
    <w:p>
      <w:pPr>
        <w:pStyle w:val="54"/>
        <w:rPr>
          <w:highlight w:val="none"/>
        </w:rPr>
      </w:pPr>
      <w:r>
        <w:rPr>
          <w:rFonts w:hint="eastAsia"/>
          <w:highlight w:val="none"/>
        </w:rPr>
        <w:t>《开标一览表》单独封存，以备唱标使用</w:t>
      </w:r>
    </w:p>
    <w:p>
      <w:pPr>
        <w:pStyle w:val="54"/>
        <w:rPr>
          <w:rFonts w:hint="eastAsia"/>
          <w:highlight w:val="none"/>
          <w:lang w:eastAsia="zh-CN"/>
        </w:rPr>
      </w:pPr>
      <w:r>
        <w:rPr>
          <w:rFonts w:hint="eastAsia"/>
          <w:highlight w:val="none"/>
        </w:rPr>
        <w:t>项目名称：</w:t>
      </w:r>
      <w:r>
        <w:rPr>
          <w:rFonts w:hint="eastAsia"/>
          <w:highlight w:val="none"/>
          <w:lang w:eastAsia="zh-CN"/>
        </w:rPr>
        <w:t>整车性能及可靠性试验场地技术服务项目</w:t>
      </w:r>
    </w:p>
    <w:tbl>
      <w:tblPr>
        <w:tblStyle w:val="32"/>
        <w:tblW w:w="44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692"/>
        <w:gridCol w:w="1482"/>
        <w:gridCol w:w="1314"/>
        <w:gridCol w:w="1579"/>
        <w:gridCol w:w="1718"/>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9" w:hRule="atLeast"/>
          <w:jc w:val="center"/>
        </w:trPr>
        <w:tc>
          <w:tcPr>
            <w:tcW w:w="242" w:type="pct"/>
            <w:vAlign w:val="center"/>
          </w:tcPr>
          <w:p>
            <w:pPr>
              <w:pStyle w:val="84"/>
              <w:rPr>
                <w:b w:val="0"/>
                <w:bCs/>
                <w:sz w:val="18"/>
                <w:szCs w:val="18"/>
                <w:highlight w:val="none"/>
              </w:rPr>
            </w:pPr>
            <w:r>
              <w:rPr>
                <w:rFonts w:hint="eastAsia"/>
                <w:b w:val="0"/>
                <w:bCs/>
                <w:sz w:val="18"/>
                <w:szCs w:val="18"/>
                <w:highlight w:val="none"/>
              </w:rPr>
              <w:t>序号</w:t>
            </w:r>
          </w:p>
        </w:tc>
        <w:tc>
          <w:tcPr>
            <w:tcW w:w="1329" w:type="pct"/>
            <w:gridSpan w:val="2"/>
            <w:vAlign w:val="center"/>
          </w:tcPr>
          <w:p>
            <w:pPr>
              <w:pStyle w:val="84"/>
              <w:rPr>
                <w:rFonts w:hint="default" w:eastAsia="仿宋"/>
                <w:b w:val="0"/>
                <w:bCs/>
                <w:sz w:val="18"/>
                <w:szCs w:val="18"/>
                <w:highlight w:val="none"/>
                <w:lang w:val="en-US" w:eastAsia="zh-CN"/>
              </w:rPr>
            </w:pPr>
            <w:r>
              <w:rPr>
                <w:rFonts w:hint="eastAsia"/>
                <w:b w:val="0"/>
                <w:bCs/>
                <w:sz w:val="18"/>
                <w:szCs w:val="18"/>
                <w:highlight w:val="none"/>
                <w:lang w:val="en-US" w:eastAsia="zh-CN"/>
              </w:rPr>
              <w:t>场地及服务项目</w:t>
            </w:r>
          </w:p>
        </w:tc>
        <w:tc>
          <w:tcPr>
            <w:tcW w:w="803" w:type="pct"/>
            <w:vAlign w:val="center"/>
          </w:tcPr>
          <w:p>
            <w:pPr>
              <w:pStyle w:val="84"/>
              <w:rPr>
                <w:b w:val="0"/>
                <w:bCs/>
                <w:sz w:val="18"/>
                <w:szCs w:val="18"/>
                <w:highlight w:val="none"/>
              </w:rPr>
            </w:pPr>
            <w:r>
              <w:rPr>
                <w:rFonts w:hint="eastAsia"/>
                <w:b w:val="0"/>
                <w:bCs/>
                <w:sz w:val="18"/>
                <w:szCs w:val="18"/>
                <w:highlight w:val="none"/>
              </w:rPr>
              <w:t>单位</w:t>
            </w:r>
          </w:p>
        </w:tc>
        <w:tc>
          <w:tcPr>
            <w:tcW w:w="965" w:type="pct"/>
            <w:vAlign w:val="center"/>
          </w:tcPr>
          <w:p>
            <w:pPr>
              <w:pStyle w:val="84"/>
              <w:rPr>
                <w:rFonts w:hint="eastAsia"/>
                <w:b w:val="0"/>
                <w:bCs/>
                <w:sz w:val="18"/>
                <w:szCs w:val="18"/>
                <w:highlight w:val="none"/>
              </w:rPr>
            </w:pPr>
            <w:r>
              <w:rPr>
                <w:rFonts w:hint="eastAsia"/>
                <w:b w:val="0"/>
                <w:bCs/>
                <w:sz w:val="18"/>
                <w:szCs w:val="18"/>
                <w:highlight w:val="none"/>
              </w:rPr>
              <w:t>价格</w:t>
            </w:r>
          </w:p>
          <w:p>
            <w:pPr>
              <w:pStyle w:val="84"/>
              <w:rPr>
                <w:rFonts w:hint="default"/>
                <w:b w:val="0"/>
                <w:bCs/>
                <w:sz w:val="18"/>
                <w:szCs w:val="18"/>
                <w:highlight w:val="none"/>
                <w:lang w:val="en-US"/>
              </w:rPr>
            </w:pPr>
            <w:r>
              <w:rPr>
                <w:rFonts w:hint="eastAsia"/>
                <w:b w:val="0"/>
                <w:bCs/>
                <w:sz w:val="18"/>
                <w:szCs w:val="18"/>
                <w:highlight w:val="none"/>
                <w:lang w:eastAsia="zh-CN"/>
              </w:rPr>
              <w:t>（</w:t>
            </w:r>
            <w:r>
              <w:rPr>
                <w:rFonts w:hint="eastAsia"/>
                <w:b w:val="0"/>
                <w:bCs/>
                <w:sz w:val="18"/>
                <w:szCs w:val="18"/>
                <w:highlight w:val="none"/>
                <w:lang w:val="en-US" w:eastAsia="zh-CN"/>
              </w:rPr>
              <w:t>注：不含税价，税率：</w:t>
            </w:r>
            <w:r>
              <w:rPr>
                <w:rFonts w:hint="eastAsia"/>
                <w:b w:val="0"/>
                <w:bCs/>
                <w:sz w:val="18"/>
                <w:szCs w:val="18"/>
                <w:highlight w:val="none"/>
                <w:u w:val="single"/>
                <w:lang w:val="en-US" w:eastAsia="zh-CN"/>
              </w:rPr>
              <w:t xml:space="preserve">    </w:t>
            </w:r>
            <w:r>
              <w:rPr>
                <w:rFonts w:hint="eastAsia"/>
                <w:b w:val="0"/>
                <w:bCs/>
                <w:sz w:val="18"/>
                <w:szCs w:val="18"/>
                <w:highlight w:val="none"/>
                <w:lang w:val="en-US" w:eastAsia="zh-CN"/>
              </w:rPr>
              <w:t>%）</w:t>
            </w:r>
          </w:p>
        </w:tc>
        <w:tc>
          <w:tcPr>
            <w:tcW w:w="1050" w:type="pct"/>
            <w:vAlign w:val="center"/>
          </w:tcPr>
          <w:p>
            <w:pPr>
              <w:pStyle w:val="84"/>
              <w:rPr>
                <w:b w:val="0"/>
                <w:bCs/>
                <w:sz w:val="18"/>
                <w:szCs w:val="18"/>
                <w:highlight w:val="none"/>
              </w:rPr>
            </w:pPr>
            <w:r>
              <w:rPr>
                <w:rFonts w:hint="eastAsia"/>
                <w:b w:val="0"/>
                <w:bCs/>
                <w:sz w:val="18"/>
                <w:szCs w:val="18"/>
                <w:highlight w:val="none"/>
              </w:rPr>
              <w:t>付款方式及比例如何响应</w:t>
            </w:r>
          </w:p>
        </w:tc>
        <w:tc>
          <w:tcPr>
            <w:tcW w:w="607" w:type="pct"/>
            <w:vAlign w:val="center"/>
          </w:tcPr>
          <w:p>
            <w:pPr>
              <w:pStyle w:val="84"/>
              <w:rPr>
                <w:b w:val="0"/>
                <w:bCs/>
                <w:sz w:val="18"/>
                <w:szCs w:val="18"/>
                <w:highlight w:val="none"/>
              </w:rPr>
            </w:pPr>
            <w:r>
              <w:rPr>
                <w:rFonts w:hint="eastAsia"/>
                <w:b w:val="0"/>
                <w:bCs/>
                <w:sz w:val="18"/>
                <w:szCs w:val="18"/>
                <w:highlight w:val="none"/>
              </w:rPr>
              <w:t>付款方式是否偏离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242" w:type="pct"/>
            <w:vAlign w:val="center"/>
          </w:tcPr>
          <w:p>
            <w:pPr>
              <w:pStyle w:val="84"/>
              <w:rPr>
                <w:rFonts w:hint="eastAsia" w:eastAsia="仿宋"/>
                <w:b w:val="0"/>
                <w:bCs/>
                <w:sz w:val="18"/>
                <w:szCs w:val="18"/>
                <w:highlight w:val="none"/>
                <w:lang w:val="en-US" w:eastAsia="zh-CN"/>
              </w:rPr>
            </w:pPr>
            <w:r>
              <w:rPr>
                <w:rFonts w:hint="eastAsia"/>
                <w:b w:val="0"/>
                <w:bCs/>
                <w:sz w:val="18"/>
                <w:szCs w:val="18"/>
                <w:highlight w:val="none"/>
                <w:lang w:val="en-US" w:eastAsia="zh-CN"/>
              </w:rPr>
              <w:t>1</w:t>
            </w:r>
          </w:p>
        </w:tc>
        <w:tc>
          <w:tcPr>
            <w:tcW w:w="423" w:type="pct"/>
            <w:vMerge w:val="restart"/>
            <w:vAlign w:val="center"/>
          </w:tcPr>
          <w:p>
            <w:pPr>
              <w:pStyle w:val="84"/>
              <w:rPr>
                <w:rFonts w:hint="default" w:ascii="等线" w:hAnsi="等线" w:eastAsia="等线"/>
                <w:b w:val="0"/>
                <w:bCs/>
                <w:sz w:val="18"/>
                <w:szCs w:val="18"/>
                <w:highlight w:val="none"/>
                <w:lang w:val="en-US" w:eastAsia="zh-CN"/>
              </w:rPr>
            </w:pPr>
            <w:r>
              <w:rPr>
                <w:rFonts w:hint="eastAsia" w:ascii="等线" w:hAnsi="等线" w:eastAsia="等线"/>
                <w:b w:val="0"/>
                <w:bCs/>
                <w:sz w:val="18"/>
                <w:szCs w:val="18"/>
                <w:highlight w:val="none"/>
                <w:lang w:val="en-US" w:eastAsia="zh-CN"/>
              </w:rPr>
              <w:t>轻卡可靠性路</w:t>
            </w:r>
          </w:p>
        </w:tc>
        <w:tc>
          <w:tcPr>
            <w:tcW w:w="906" w:type="pct"/>
            <w:vAlign w:val="center"/>
          </w:tcPr>
          <w:p>
            <w:pPr>
              <w:pStyle w:val="84"/>
              <w:keepNext w:val="0"/>
              <w:keepLines w:val="0"/>
              <w:widowControl/>
              <w:suppressLineNumbers w:val="0"/>
              <w:jc w:val="center"/>
              <w:textAlignment w:val="auto"/>
              <w:rPr>
                <w:rFonts w:hint="eastAsia" w:ascii="等线" w:hAnsi="等线" w:eastAsia="等线" w:cs="Times New Roman"/>
                <w:b w:val="0"/>
                <w:bCs/>
                <w:kern w:val="2"/>
                <w:sz w:val="18"/>
                <w:szCs w:val="18"/>
                <w:highlight w:val="none"/>
                <w:lang w:val="en-US" w:eastAsia="zh-CN" w:bidi="ar-SA"/>
              </w:rPr>
            </w:pPr>
            <w:r>
              <w:rPr>
                <w:rFonts w:hint="eastAsia" w:ascii="等线" w:hAnsi="等线" w:eastAsia="等线" w:cs="Times New Roman"/>
                <w:b w:val="0"/>
                <w:bCs/>
                <w:i w:val="0"/>
                <w:iCs w:val="0"/>
                <w:kern w:val="2"/>
                <w:sz w:val="18"/>
                <w:szCs w:val="18"/>
                <w:highlight w:val="none"/>
                <w:u w:val="none"/>
                <w:lang w:val="en-US" w:eastAsia="zh-CN" w:bidi="ar"/>
              </w:rPr>
              <w:t>7t</w:t>
            </w:r>
            <w:r>
              <w:rPr>
                <w:rFonts w:hint="eastAsia" w:ascii="等线" w:hAnsi="等线" w:eastAsia="等线" w:cs="Times New Roman"/>
                <w:b w:val="0"/>
                <w:bCs/>
                <w:sz w:val="18"/>
                <w:szCs w:val="18"/>
                <w:highlight w:val="none"/>
              </w:rPr>
              <w:t>可靠性</w:t>
            </w:r>
            <w:r>
              <w:rPr>
                <w:rFonts w:hint="eastAsia" w:ascii="等线" w:hAnsi="等线" w:eastAsia="等线" w:cs="Times New Roman"/>
                <w:b w:val="0"/>
                <w:bCs/>
                <w:sz w:val="18"/>
                <w:szCs w:val="18"/>
                <w:highlight w:val="none"/>
                <w:lang w:eastAsia="zh-CN"/>
              </w:rPr>
              <w:t>路</w:t>
            </w:r>
          </w:p>
        </w:tc>
        <w:tc>
          <w:tcPr>
            <w:tcW w:w="803" w:type="pct"/>
            <w:vMerge w:val="restart"/>
            <w:vAlign w:val="center"/>
          </w:tcPr>
          <w:p>
            <w:pPr>
              <w:pStyle w:val="84"/>
              <w:rPr>
                <w:b w:val="0"/>
                <w:bCs/>
                <w:sz w:val="18"/>
                <w:szCs w:val="18"/>
                <w:highlight w:val="none"/>
              </w:rPr>
            </w:pPr>
            <w:r>
              <w:rPr>
                <w:rFonts w:hint="eastAsia" w:ascii="等线" w:hAnsi="等线" w:eastAsia="等线"/>
                <w:b w:val="0"/>
                <w:bCs/>
                <w:sz w:val="18"/>
                <w:szCs w:val="18"/>
                <w:highlight w:val="none"/>
              </w:rPr>
              <w:t>元/公里</w:t>
            </w:r>
          </w:p>
        </w:tc>
        <w:tc>
          <w:tcPr>
            <w:tcW w:w="965" w:type="pct"/>
            <w:vAlign w:val="center"/>
          </w:tcPr>
          <w:p>
            <w:pPr>
              <w:pStyle w:val="84"/>
              <w:rPr>
                <w:rFonts w:ascii="仿宋" w:hAnsi="仿宋" w:cs="仿宋"/>
                <w:b w:val="0"/>
                <w:bCs/>
                <w:i/>
                <w:sz w:val="18"/>
                <w:szCs w:val="18"/>
                <w:highlight w:val="none"/>
              </w:rPr>
            </w:pPr>
          </w:p>
        </w:tc>
        <w:tc>
          <w:tcPr>
            <w:tcW w:w="1050" w:type="pct"/>
            <w:vMerge w:val="restart"/>
            <w:vAlign w:val="center"/>
          </w:tcPr>
          <w:p>
            <w:pPr>
              <w:pStyle w:val="84"/>
              <w:rPr>
                <w:rFonts w:ascii="仿宋" w:hAnsi="仿宋" w:cs="仿宋"/>
                <w:b w:val="0"/>
                <w:bCs/>
                <w:sz w:val="18"/>
                <w:szCs w:val="18"/>
                <w:highlight w:val="none"/>
              </w:rPr>
            </w:pPr>
            <w:r>
              <w:rPr>
                <w:rFonts w:hint="eastAsia" w:ascii="仿宋" w:hAnsi="仿宋" w:cs="仿宋"/>
                <w:b w:val="0"/>
                <w:bCs/>
                <w:sz w:val="18"/>
                <w:szCs w:val="18"/>
                <w:highlight w:val="none"/>
                <w:lang w:val="en-US" w:eastAsia="zh-CN"/>
              </w:rPr>
              <w:t>银行承兑汇票或商业承兑汇票</w:t>
            </w:r>
            <w:r>
              <w:rPr>
                <w:rFonts w:hint="eastAsia" w:ascii="仿宋" w:hAnsi="仿宋" w:cs="仿宋"/>
                <w:b w:val="0"/>
                <w:bCs/>
                <w:sz w:val="18"/>
                <w:szCs w:val="18"/>
                <w:highlight w:val="none"/>
              </w:rPr>
              <w:t>。</w:t>
            </w:r>
          </w:p>
          <w:p>
            <w:pPr>
              <w:pStyle w:val="84"/>
              <w:rPr>
                <w:rFonts w:ascii="仿宋" w:hAnsi="仿宋" w:cs="仿宋"/>
                <w:b w:val="0"/>
                <w:bCs/>
                <w:sz w:val="18"/>
                <w:szCs w:val="18"/>
                <w:highlight w:val="none"/>
              </w:rPr>
            </w:pPr>
            <w:r>
              <w:rPr>
                <w:rFonts w:hint="eastAsia" w:ascii="仿宋" w:hAnsi="仿宋" w:cs="仿宋"/>
                <w:b w:val="0"/>
                <w:bCs/>
                <w:sz w:val="18"/>
                <w:szCs w:val="18"/>
                <w:highlight w:val="none"/>
              </w:rPr>
              <w:t>每季度结算。乙方每月度汇总场地租用等费用通知单，甲方对费用进行确认；</w:t>
            </w:r>
          </w:p>
          <w:p>
            <w:pPr>
              <w:pStyle w:val="84"/>
              <w:rPr>
                <w:rFonts w:ascii="仿宋" w:hAnsi="仿宋" w:cs="仿宋"/>
                <w:b w:val="0"/>
                <w:bCs/>
                <w:sz w:val="18"/>
                <w:szCs w:val="18"/>
                <w:highlight w:val="none"/>
              </w:rPr>
            </w:pPr>
            <w:r>
              <w:rPr>
                <w:rFonts w:hint="eastAsia" w:ascii="仿宋" w:hAnsi="仿宋" w:cs="仿宋"/>
                <w:b w:val="0"/>
                <w:bCs/>
                <w:sz w:val="18"/>
                <w:szCs w:val="18"/>
                <w:highlight w:val="none"/>
              </w:rPr>
              <w:t>乙方在甲方费用通知单确认后5个工作日开具全额增值税专用发票，甲方在收到乙方发票30日内一次性支付。</w:t>
            </w:r>
          </w:p>
        </w:tc>
        <w:tc>
          <w:tcPr>
            <w:tcW w:w="607" w:type="pct"/>
            <w:vMerge w:val="restart"/>
            <w:vAlign w:val="center"/>
          </w:tcPr>
          <w:p>
            <w:pPr>
              <w:pStyle w:val="84"/>
              <w:rPr>
                <w:rFonts w:ascii="仿宋" w:hAnsi="仿宋" w:cs="仿宋"/>
                <w:b w:val="0"/>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242" w:type="pct"/>
            <w:vAlign w:val="center"/>
          </w:tcPr>
          <w:p>
            <w:pPr>
              <w:pStyle w:val="84"/>
              <w:rPr>
                <w:rFonts w:ascii="Times New Roman" w:hAnsi="Times New Roman" w:eastAsia="仿宋" w:cs="Times New Roman"/>
                <w:b w:val="0"/>
                <w:bCs/>
                <w:kern w:val="2"/>
                <w:sz w:val="18"/>
                <w:szCs w:val="18"/>
                <w:highlight w:val="none"/>
                <w:lang w:val="en-US" w:eastAsia="zh-CN" w:bidi="ar-SA"/>
              </w:rPr>
            </w:pPr>
            <w:r>
              <w:rPr>
                <w:rFonts w:hint="eastAsia"/>
                <w:b w:val="0"/>
                <w:bCs/>
                <w:sz w:val="18"/>
                <w:szCs w:val="18"/>
                <w:highlight w:val="none"/>
              </w:rPr>
              <w:t>2</w:t>
            </w:r>
          </w:p>
        </w:tc>
        <w:tc>
          <w:tcPr>
            <w:tcW w:w="423" w:type="pct"/>
            <w:vMerge w:val="continue"/>
            <w:vAlign w:val="center"/>
          </w:tcPr>
          <w:p>
            <w:pPr>
              <w:pStyle w:val="84"/>
              <w:rPr>
                <w:rFonts w:hint="eastAsia" w:ascii="等线" w:hAnsi="等线" w:eastAsia="等线"/>
                <w:b w:val="0"/>
                <w:bCs/>
                <w:sz w:val="18"/>
                <w:szCs w:val="18"/>
                <w:highlight w:val="none"/>
              </w:rPr>
            </w:pPr>
          </w:p>
        </w:tc>
        <w:tc>
          <w:tcPr>
            <w:tcW w:w="906" w:type="pct"/>
            <w:vAlign w:val="center"/>
          </w:tcPr>
          <w:p>
            <w:pPr>
              <w:pStyle w:val="84"/>
              <w:keepNext w:val="0"/>
              <w:keepLines w:val="0"/>
              <w:widowControl/>
              <w:suppressLineNumbers w:val="0"/>
              <w:jc w:val="center"/>
              <w:textAlignment w:val="auto"/>
              <w:rPr>
                <w:rFonts w:hint="eastAsia" w:ascii="等线" w:hAnsi="等线" w:eastAsia="等线" w:cs="Times New Roman"/>
                <w:b w:val="0"/>
                <w:bCs/>
                <w:kern w:val="2"/>
                <w:sz w:val="18"/>
                <w:szCs w:val="18"/>
                <w:highlight w:val="none"/>
                <w:lang w:val="en-US" w:eastAsia="zh-CN" w:bidi="ar-SA"/>
              </w:rPr>
            </w:pPr>
            <w:r>
              <w:rPr>
                <w:rFonts w:hint="eastAsia" w:ascii="等线" w:hAnsi="等线" w:eastAsia="等线" w:cs="Times New Roman"/>
                <w:b w:val="0"/>
                <w:bCs/>
                <w:i w:val="0"/>
                <w:iCs w:val="0"/>
                <w:kern w:val="2"/>
                <w:sz w:val="18"/>
                <w:szCs w:val="18"/>
                <w:highlight w:val="none"/>
                <w:u w:val="none"/>
                <w:lang w:val="en-US" w:eastAsia="zh-CN" w:bidi="ar"/>
              </w:rPr>
              <w:t>18t</w:t>
            </w:r>
            <w:r>
              <w:rPr>
                <w:rFonts w:hint="eastAsia" w:ascii="等线" w:hAnsi="等线" w:eastAsia="等线" w:cs="Times New Roman"/>
                <w:b w:val="0"/>
                <w:bCs/>
                <w:sz w:val="18"/>
                <w:szCs w:val="18"/>
                <w:highlight w:val="none"/>
              </w:rPr>
              <w:t>可靠性</w:t>
            </w:r>
            <w:r>
              <w:rPr>
                <w:rFonts w:hint="eastAsia" w:ascii="等线" w:hAnsi="等线" w:eastAsia="等线" w:cs="Times New Roman"/>
                <w:b w:val="0"/>
                <w:bCs/>
                <w:sz w:val="18"/>
                <w:szCs w:val="18"/>
                <w:highlight w:val="none"/>
                <w:lang w:eastAsia="zh-CN"/>
              </w:rPr>
              <w:t>路</w:t>
            </w:r>
          </w:p>
        </w:tc>
        <w:tc>
          <w:tcPr>
            <w:tcW w:w="803" w:type="pct"/>
            <w:vMerge w:val="continue"/>
            <w:vAlign w:val="center"/>
          </w:tcPr>
          <w:p>
            <w:pPr>
              <w:pStyle w:val="84"/>
              <w:rPr>
                <w:b w:val="0"/>
                <w:bCs/>
                <w:sz w:val="18"/>
                <w:szCs w:val="18"/>
                <w:highlight w:val="none"/>
              </w:rPr>
            </w:pPr>
          </w:p>
        </w:tc>
        <w:tc>
          <w:tcPr>
            <w:tcW w:w="965" w:type="pct"/>
            <w:vAlign w:val="center"/>
          </w:tcPr>
          <w:p>
            <w:pPr>
              <w:pStyle w:val="84"/>
              <w:rPr>
                <w:rFonts w:ascii="仿宋" w:hAnsi="仿宋" w:cs="仿宋"/>
                <w:b w:val="0"/>
                <w:bCs/>
                <w:i/>
                <w:sz w:val="18"/>
                <w:szCs w:val="18"/>
                <w:highlight w:val="none"/>
              </w:rPr>
            </w:pPr>
          </w:p>
        </w:tc>
        <w:tc>
          <w:tcPr>
            <w:tcW w:w="1050" w:type="pct"/>
            <w:vMerge w:val="continue"/>
            <w:vAlign w:val="center"/>
          </w:tcPr>
          <w:p>
            <w:pPr>
              <w:pStyle w:val="84"/>
              <w:rPr>
                <w:rFonts w:ascii="仿宋" w:hAnsi="仿宋" w:cs="仿宋"/>
                <w:b w:val="0"/>
                <w:bCs/>
                <w:sz w:val="18"/>
                <w:szCs w:val="18"/>
                <w:highlight w:val="none"/>
              </w:rPr>
            </w:pPr>
          </w:p>
        </w:tc>
        <w:tc>
          <w:tcPr>
            <w:tcW w:w="607" w:type="pct"/>
            <w:vMerge w:val="continue"/>
            <w:vAlign w:val="center"/>
          </w:tcPr>
          <w:p>
            <w:pPr>
              <w:pStyle w:val="84"/>
              <w:rPr>
                <w:rFonts w:ascii="仿宋" w:hAnsi="仿宋" w:cs="仿宋"/>
                <w:b w:val="0"/>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242" w:type="pct"/>
            <w:vAlign w:val="center"/>
          </w:tcPr>
          <w:p>
            <w:pPr>
              <w:pStyle w:val="84"/>
              <w:rPr>
                <w:rFonts w:hint="eastAsia" w:ascii="Times New Roman" w:hAnsi="Times New Roman" w:eastAsia="仿宋" w:cs="Times New Roman"/>
                <w:b w:val="0"/>
                <w:bCs/>
                <w:kern w:val="2"/>
                <w:sz w:val="18"/>
                <w:szCs w:val="18"/>
                <w:highlight w:val="none"/>
                <w:lang w:val="en-US" w:eastAsia="zh-CN" w:bidi="ar-SA"/>
              </w:rPr>
            </w:pPr>
            <w:r>
              <w:rPr>
                <w:rFonts w:hint="eastAsia"/>
                <w:b w:val="0"/>
                <w:bCs/>
                <w:sz w:val="18"/>
                <w:szCs w:val="18"/>
                <w:highlight w:val="none"/>
              </w:rPr>
              <w:t>3</w:t>
            </w:r>
          </w:p>
        </w:tc>
        <w:tc>
          <w:tcPr>
            <w:tcW w:w="423" w:type="pct"/>
            <w:vMerge w:val="restart"/>
            <w:vAlign w:val="center"/>
          </w:tcPr>
          <w:p>
            <w:pPr>
              <w:pStyle w:val="84"/>
              <w:rPr>
                <w:rFonts w:hint="default" w:ascii="等线" w:hAnsi="等线" w:eastAsia="等线"/>
                <w:b w:val="0"/>
                <w:bCs/>
                <w:sz w:val="18"/>
                <w:szCs w:val="18"/>
                <w:highlight w:val="none"/>
                <w:lang w:val="en-US" w:eastAsia="zh-CN"/>
              </w:rPr>
            </w:pPr>
            <w:r>
              <w:rPr>
                <w:rFonts w:hint="eastAsia" w:ascii="等线" w:hAnsi="等线" w:eastAsia="等线"/>
                <w:b w:val="0"/>
                <w:bCs/>
                <w:sz w:val="18"/>
                <w:szCs w:val="18"/>
                <w:highlight w:val="none"/>
                <w:lang w:val="en-US" w:eastAsia="zh-CN"/>
              </w:rPr>
              <w:t>配套服务</w:t>
            </w:r>
          </w:p>
        </w:tc>
        <w:tc>
          <w:tcPr>
            <w:tcW w:w="906" w:type="pct"/>
            <w:vAlign w:val="center"/>
          </w:tcPr>
          <w:p>
            <w:pPr>
              <w:pStyle w:val="84"/>
              <w:rPr>
                <w:rFonts w:hint="eastAsia" w:ascii="Times New Roman" w:hAnsi="Times New Roman" w:eastAsia="仿宋" w:cs="Times New Roman"/>
                <w:b w:val="0"/>
                <w:bCs/>
                <w:kern w:val="2"/>
                <w:sz w:val="18"/>
                <w:szCs w:val="18"/>
                <w:highlight w:val="none"/>
                <w:lang w:val="en-US" w:eastAsia="zh-CN" w:bidi="ar-SA"/>
              </w:rPr>
            </w:pPr>
            <w:r>
              <w:rPr>
                <w:rFonts w:hint="eastAsia" w:ascii="等线" w:hAnsi="等线" w:eastAsia="等线"/>
                <w:b w:val="0"/>
                <w:bCs/>
                <w:sz w:val="18"/>
                <w:szCs w:val="18"/>
                <w:highlight w:val="none"/>
              </w:rPr>
              <w:t>维修服务</w:t>
            </w:r>
          </w:p>
        </w:tc>
        <w:tc>
          <w:tcPr>
            <w:tcW w:w="803" w:type="pct"/>
            <w:vAlign w:val="center"/>
          </w:tcPr>
          <w:p>
            <w:pPr>
              <w:pStyle w:val="84"/>
              <w:rPr>
                <w:rFonts w:hint="eastAsia" w:ascii="Times New Roman" w:hAnsi="Times New Roman" w:eastAsia="仿宋" w:cs="Times New Roman"/>
                <w:b w:val="0"/>
                <w:bCs/>
                <w:kern w:val="2"/>
                <w:sz w:val="18"/>
                <w:szCs w:val="18"/>
                <w:highlight w:val="none"/>
                <w:lang w:val="en-US" w:eastAsia="zh-CN" w:bidi="ar-SA"/>
              </w:rPr>
            </w:pPr>
            <w:r>
              <w:rPr>
                <w:rFonts w:hint="eastAsia" w:ascii="等线" w:hAnsi="等线" w:eastAsia="等线"/>
                <w:b w:val="0"/>
                <w:bCs/>
                <w:sz w:val="18"/>
                <w:szCs w:val="18"/>
                <w:highlight w:val="none"/>
              </w:rPr>
              <w:t>元/工时</w:t>
            </w:r>
          </w:p>
        </w:tc>
        <w:tc>
          <w:tcPr>
            <w:tcW w:w="965" w:type="pct"/>
            <w:vAlign w:val="center"/>
          </w:tcPr>
          <w:p>
            <w:pPr>
              <w:pStyle w:val="84"/>
              <w:rPr>
                <w:rFonts w:ascii="仿宋" w:hAnsi="仿宋" w:cs="仿宋"/>
                <w:b w:val="0"/>
                <w:bCs/>
                <w:i/>
                <w:sz w:val="18"/>
                <w:szCs w:val="18"/>
                <w:highlight w:val="none"/>
              </w:rPr>
            </w:pPr>
          </w:p>
        </w:tc>
        <w:tc>
          <w:tcPr>
            <w:tcW w:w="1050" w:type="pct"/>
            <w:vMerge w:val="continue"/>
            <w:vAlign w:val="center"/>
          </w:tcPr>
          <w:p>
            <w:pPr>
              <w:pStyle w:val="84"/>
              <w:rPr>
                <w:rFonts w:ascii="仿宋" w:hAnsi="仿宋" w:cs="仿宋"/>
                <w:b w:val="0"/>
                <w:bCs/>
                <w:sz w:val="18"/>
                <w:szCs w:val="18"/>
                <w:highlight w:val="none"/>
              </w:rPr>
            </w:pPr>
          </w:p>
        </w:tc>
        <w:tc>
          <w:tcPr>
            <w:tcW w:w="607" w:type="pct"/>
            <w:vMerge w:val="continue"/>
            <w:vAlign w:val="center"/>
          </w:tcPr>
          <w:p>
            <w:pPr>
              <w:pStyle w:val="84"/>
              <w:rPr>
                <w:rFonts w:ascii="仿宋" w:hAnsi="仿宋" w:cs="仿宋"/>
                <w:b w:val="0"/>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242" w:type="pct"/>
            <w:vAlign w:val="center"/>
          </w:tcPr>
          <w:p>
            <w:pPr>
              <w:pStyle w:val="84"/>
              <w:rPr>
                <w:rFonts w:hint="eastAsia" w:ascii="Times New Roman" w:hAnsi="Times New Roman" w:eastAsia="仿宋" w:cs="Times New Roman"/>
                <w:b w:val="0"/>
                <w:bCs/>
                <w:kern w:val="2"/>
                <w:sz w:val="18"/>
                <w:szCs w:val="18"/>
                <w:highlight w:val="none"/>
                <w:lang w:val="en-US" w:eastAsia="zh-CN" w:bidi="ar-SA"/>
              </w:rPr>
            </w:pPr>
            <w:r>
              <w:rPr>
                <w:rFonts w:hint="eastAsia"/>
                <w:b w:val="0"/>
                <w:bCs/>
                <w:sz w:val="18"/>
                <w:szCs w:val="18"/>
                <w:highlight w:val="none"/>
                <w:lang w:val="en-US" w:eastAsia="zh-CN"/>
              </w:rPr>
              <w:t>4</w:t>
            </w:r>
          </w:p>
        </w:tc>
        <w:tc>
          <w:tcPr>
            <w:tcW w:w="423" w:type="pct"/>
            <w:vMerge w:val="continue"/>
            <w:vAlign w:val="center"/>
          </w:tcPr>
          <w:p>
            <w:pPr>
              <w:pStyle w:val="84"/>
              <w:rPr>
                <w:rFonts w:hint="eastAsia" w:ascii="等线" w:hAnsi="等线" w:eastAsia="等线"/>
                <w:b w:val="0"/>
                <w:bCs/>
                <w:sz w:val="18"/>
                <w:szCs w:val="18"/>
                <w:highlight w:val="none"/>
              </w:rPr>
            </w:pPr>
          </w:p>
        </w:tc>
        <w:tc>
          <w:tcPr>
            <w:tcW w:w="906" w:type="pct"/>
            <w:vAlign w:val="center"/>
          </w:tcPr>
          <w:p>
            <w:pPr>
              <w:pStyle w:val="84"/>
              <w:rPr>
                <w:rFonts w:hint="eastAsia" w:ascii="Times New Roman" w:hAnsi="Times New Roman" w:eastAsia="仿宋" w:cs="Times New Roman"/>
                <w:b w:val="0"/>
                <w:bCs/>
                <w:kern w:val="2"/>
                <w:sz w:val="18"/>
                <w:szCs w:val="18"/>
                <w:highlight w:val="none"/>
                <w:lang w:val="en-US" w:eastAsia="zh-CN" w:bidi="ar-SA"/>
              </w:rPr>
            </w:pPr>
            <w:r>
              <w:rPr>
                <w:rFonts w:hint="eastAsia" w:ascii="等线" w:hAnsi="等线" w:eastAsia="等线"/>
                <w:b w:val="0"/>
                <w:bCs/>
                <w:sz w:val="18"/>
                <w:szCs w:val="18"/>
                <w:highlight w:val="none"/>
              </w:rPr>
              <w:t>办公室租赁</w:t>
            </w:r>
          </w:p>
        </w:tc>
        <w:tc>
          <w:tcPr>
            <w:tcW w:w="803" w:type="pct"/>
            <w:vMerge w:val="restart"/>
            <w:vAlign w:val="center"/>
          </w:tcPr>
          <w:p>
            <w:pPr>
              <w:pStyle w:val="84"/>
              <w:rPr>
                <w:rFonts w:hint="eastAsia" w:ascii="等线" w:hAnsi="等线" w:eastAsia="等线" w:cs="Times New Roman"/>
                <w:b w:val="0"/>
                <w:bCs/>
                <w:kern w:val="2"/>
                <w:sz w:val="18"/>
                <w:szCs w:val="18"/>
                <w:highlight w:val="none"/>
                <w:lang w:val="en-US" w:eastAsia="zh-CN" w:bidi="ar-SA"/>
              </w:rPr>
            </w:pPr>
            <w:r>
              <w:rPr>
                <w:rFonts w:hint="eastAsia" w:ascii="等线" w:hAnsi="等线" w:eastAsia="等线"/>
                <w:b w:val="0"/>
                <w:bCs/>
                <w:sz w:val="18"/>
                <w:szCs w:val="18"/>
                <w:highlight w:val="none"/>
              </w:rPr>
              <w:t>元/</w:t>
            </w:r>
            <w:r>
              <w:rPr>
                <w:rFonts w:hint="eastAsia" w:ascii="等线" w:hAnsi="等线" w:eastAsia="等线"/>
                <w:b w:val="0"/>
                <w:bCs/>
                <w:sz w:val="18"/>
                <w:szCs w:val="18"/>
                <w:highlight w:val="none"/>
                <w:lang w:eastAsia="zh-CN"/>
              </w:rPr>
              <w:t>（</w:t>
            </w:r>
            <w:r>
              <w:rPr>
                <w:rFonts w:hint="eastAsia" w:ascii="等线" w:hAnsi="等线" w:eastAsia="等线"/>
                <w:b w:val="0"/>
                <w:bCs/>
                <w:sz w:val="18"/>
                <w:szCs w:val="18"/>
                <w:highlight w:val="none"/>
              </w:rPr>
              <w:t>平方米</w:t>
            </w:r>
            <m:oMath>
              <m:r>
                <m:rPr>
                  <m:sty m:val="p"/>
                </m:rPr>
                <w:rPr>
                  <w:rFonts w:ascii="Cambria Math" w:hAnsi="Cambria Math" w:cs="仿宋"/>
                  <w:sz w:val="18"/>
                  <w:szCs w:val="18"/>
                  <w:highlight w:val="none"/>
                </w:rPr>
                <m:t>∙</m:t>
              </m:r>
            </m:oMath>
            <w:r>
              <w:rPr>
                <w:rFonts w:hint="eastAsia" w:ascii="等线" w:hAnsi="等线" w:eastAsia="等线"/>
                <w:b w:val="0"/>
                <w:bCs/>
                <w:sz w:val="18"/>
                <w:szCs w:val="18"/>
                <w:highlight w:val="none"/>
              </w:rPr>
              <w:t>月</w:t>
            </w:r>
            <w:r>
              <w:rPr>
                <w:rFonts w:hint="eastAsia" w:ascii="等线" w:hAnsi="等线" w:eastAsia="等线"/>
                <w:b w:val="0"/>
                <w:bCs/>
                <w:sz w:val="18"/>
                <w:szCs w:val="18"/>
                <w:highlight w:val="none"/>
                <w:lang w:eastAsia="zh-CN"/>
              </w:rPr>
              <w:t>）</w:t>
            </w:r>
          </w:p>
        </w:tc>
        <w:tc>
          <w:tcPr>
            <w:tcW w:w="965" w:type="pct"/>
            <w:vAlign w:val="center"/>
          </w:tcPr>
          <w:p>
            <w:pPr>
              <w:pStyle w:val="84"/>
              <w:rPr>
                <w:rFonts w:ascii="仿宋" w:hAnsi="仿宋" w:cs="仿宋"/>
                <w:b w:val="0"/>
                <w:bCs/>
                <w:i/>
                <w:sz w:val="18"/>
                <w:szCs w:val="18"/>
                <w:highlight w:val="none"/>
              </w:rPr>
            </w:pPr>
          </w:p>
        </w:tc>
        <w:tc>
          <w:tcPr>
            <w:tcW w:w="1050" w:type="pct"/>
            <w:vMerge w:val="continue"/>
            <w:vAlign w:val="center"/>
          </w:tcPr>
          <w:p>
            <w:pPr>
              <w:pStyle w:val="84"/>
              <w:rPr>
                <w:rFonts w:ascii="仿宋" w:hAnsi="仿宋" w:cs="仿宋"/>
                <w:b w:val="0"/>
                <w:bCs/>
                <w:sz w:val="18"/>
                <w:szCs w:val="18"/>
                <w:highlight w:val="none"/>
              </w:rPr>
            </w:pPr>
          </w:p>
        </w:tc>
        <w:tc>
          <w:tcPr>
            <w:tcW w:w="607" w:type="pct"/>
            <w:vMerge w:val="continue"/>
            <w:vAlign w:val="center"/>
          </w:tcPr>
          <w:p>
            <w:pPr>
              <w:pStyle w:val="84"/>
              <w:rPr>
                <w:rFonts w:ascii="仿宋" w:hAnsi="仿宋" w:cs="仿宋"/>
                <w:b w:val="0"/>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242" w:type="pct"/>
            <w:vAlign w:val="center"/>
          </w:tcPr>
          <w:p>
            <w:pPr>
              <w:pStyle w:val="84"/>
              <w:rPr>
                <w:rFonts w:hint="eastAsia" w:ascii="Times New Roman" w:hAnsi="Times New Roman" w:eastAsia="仿宋" w:cs="Times New Roman"/>
                <w:b w:val="0"/>
                <w:bCs/>
                <w:kern w:val="2"/>
                <w:sz w:val="18"/>
                <w:szCs w:val="18"/>
                <w:highlight w:val="none"/>
                <w:lang w:val="en-US" w:eastAsia="zh-CN" w:bidi="ar-SA"/>
              </w:rPr>
            </w:pPr>
            <w:r>
              <w:rPr>
                <w:rFonts w:hint="eastAsia"/>
                <w:b w:val="0"/>
                <w:bCs/>
                <w:sz w:val="18"/>
                <w:szCs w:val="18"/>
                <w:highlight w:val="none"/>
                <w:lang w:val="en-US" w:eastAsia="zh-CN"/>
              </w:rPr>
              <w:t>5</w:t>
            </w:r>
          </w:p>
        </w:tc>
        <w:tc>
          <w:tcPr>
            <w:tcW w:w="423" w:type="pct"/>
            <w:vMerge w:val="continue"/>
            <w:vAlign w:val="center"/>
          </w:tcPr>
          <w:p>
            <w:pPr>
              <w:pStyle w:val="84"/>
              <w:rPr>
                <w:rFonts w:hint="eastAsia" w:ascii="等线" w:hAnsi="等线" w:eastAsia="等线"/>
                <w:b w:val="0"/>
                <w:bCs/>
                <w:sz w:val="18"/>
                <w:szCs w:val="18"/>
                <w:highlight w:val="none"/>
              </w:rPr>
            </w:pPr>
          </w:p>
        </w:tc>
        <w:tc>
          <w:tcPr>
            <w:tcW w:w="906" w:type="pct"/>
            <w:vAlign w:val="center"/>
          </w:tcPr>
          <w:p>
            <w:pPr>
              <w:pStyle w:val="84"/>
              <w:rPr>
                <w:rFonts w:hint="eastAsia" w:ascii="等线" w:hAnsi="等线" w:eastAsia="等线" w:cs="Times New Roman"/>
                <w:b w:val="0"/>
                <w:bCs/>
                <w:kern w:val="2"/>
                <w:sz w:val="18"/>
                <w:szCs w:val="18"/>
                <w:highlight w:val="none"/>
                <w:lang w:val="en-US" w:eastAsia="zh-CN" w:bidi="ar-SA"/>
              </w:rPr>
            </w:pPr>
            <w:r>
              <w:rPr>
                <w:rFonts w:hint="eastAsia" w:ascii="等线" w:hAnsi="等线" w:eastAsia="等线"/>
                <w:b w:val="0"/>
                <w:bCs/>
                <w:sz w:val="18"/>
                <w:szCs w:val="18"/>
                <w:highlight w:val="none"/>
              </w:rPr>
              <w:t>仓库租赁</w:t>
            </w:r>
          </w:p>
        </w:tc>
        <w:tc>
          <w:tcPr>
            <w:tcW w:w="803" w:type="pct"/>
            <w:vMerge w:val="continue"/>
            <w:vAlign w:val="center"/>
          </w:tcPr>
          <w:p>
            <w:pPr>
              <w:pStyle w:val="84"/>
              <w:rPr>
                <w:rFonts w:hint="eastAsia" w:ascii="等线" w:hAnsi="等线" w:eastAsia="等线" w:cs="Times New Roman"/>
                <w:b w:val="0"/>
                <w:bCs/>
                <w:kern w:val="2"/>
                <w:sz w:val="18"/>
                <w:szCs w:val="18"/>
                <w:highlight w:val="none"/>
                <w:lang w:val="en-US" w:eastAsia="zh-CN" w:bidi="ar-SA"/>
              </w:rPr>
            </w:pPr>
          </w:p>
        </w:tc>
        <w:tc>
          <w:tcPr>
            <w:tcW w:w="965" w:type="pct"/>
            <w:vAlign w:val="center"/>
          </w:tcPr>
          <w:p>
            <w:pPr>
              <w:pStyle w:val="84"/>
              <w:rPr>
                <w:rFonts w:ascii="仿宋" w:hAnsi="仿宋" w:cs="仿宋"/>
                <w:b w:val="0"/>
                <w:bCs/>
                <w:i/>
                <w:sz w:val="18"/>
                <w:szCs w:val="18"/>
                <w:highlight w:val="none"/>
              </w:rPr>
            </w:pPr>
          </w:p>
        </w:tc>
        <w:tc>
          <w:tcPr>
            <w:tcW w:w="1050" w:type="pct"/>
            <w:vMerge w:val="continue"/>
            <w:vAlign w:val="center"/>
          </w:tcPr>
          <w:p>
            <w:pPr>
              <w:pStyle w:val="84"/>
              <w:rPr>
                <w:rFonts w:ascii="仿宋" w:hAnsi="仿宋" w:cs="仿宋"/>
                <w:b w:val="0"/>
                <w:bCs/>
                <w:sz w:val="18"/>
                <w:szCs w:val="18"/>
                <w:highlight w:val="none"/>
              </w:rPr>
            </w:pPr>
          </w:p>
        </w:tc>
        <w:tc>
          <w:tcPr>
            <w:tcW w:w="607" w:type="pct"/>
            <w:vMerge w:val="continue"/>
            <w:vAlign w:val="center"/>
          </w:tcPr>
          <w:p>
            <w:pPr>
              <w:pStyle w:val="84"/>
              <w:rPr>
                <w:rFonts w:ascii="仿宋" w:hAnsi="仿宋" w:cs="仿宋"/>
                <w:b w:val="0"/>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242" w:type="pct"/>
            <w:vAlign w:val="center"/>
          </w:tcPr>
          <w:p>
            <w:pPr>
              <w:pStyle w:val="84"/>
              <w:rPr>
                <w:rFonts w:hint="default" w:ascii="Times New Roman" w:hAnsi="Times New Roman" w:eastAsia="仿宋" w:cs="Times New Roman"/>
                <w:b w:val="0"/>
                <w:bCs/>
                <w:kern w:val="2"/>
                <w:sz w:val="18"/>
                <w:szCs w:val="18"/>
                <w:highlight w:val="none"/>
                <w:lang w:val="en-US" w:eastAsia="zh-CN" w:bidi="ar-SA"/>
              </w:rPr>
            </w:pPr>
            <w:r>
              <w:rPr>
                <w:rFonts w:hint="eastAsia"/>
                <w:b w:val="0"/>
                <w:bCs/>
                <w:sz w:val="18"/>
                <w:szCs w:val="18"/>
                <w:highlight w:val="none"/>
                <w:lang w:val="en-US" w:eastAsia="zh-CN"/>
              </w:rPr>
              <w:t>6</w:t>
            </w:r>
          </w:p>
        </w:tc>
        <w:tc>
          <w:tcPr>
            <w:tcW w:w="423" w:type="pct"/>
            <w:vMerge w:val="continue"/>
            <w:vAlign w:val="center"/>
          </w:tcPr>
          <w:p>
            <w:pPr>
              <w:pStyle w:val="84"/>
              <w:rPr>
                <w:rFonts w:hint="eastAsia" w:ascii="等线" w:hAnsi="等线" w:eastAsia="等线"/>
                <w:b w:val="0"/>
                <w:bCs/>
                <w:sz w:val="18"/>
                <w:szCs w:val="18"/>
                <w:highlight w:val="none"/>
              </w:rPr>
            </w:pPr>
          </w:p>
        </w:tc>
        <w:tc>
          <w:tcPr>
            <w:tcW w:w="906" w:type="pct"/>
            <w:vAlign w:val="center"/>
          </w:tcPr>
          <w:p>
            <w:pPr>
              <w:pStyle w:val="84"/>
              <w:rPr>
                <w:rFonts w:hint="eastAsia" w:ascii="等线" w:hAnsi="等线" w:eastAsia="等线" w:cs="Times New Roman"/>
                <w:b w:val="0"/>
                <w:bCs/>
                <w:kern w:val="2"/>
                <w:sz w:val="18"/>
                <w:szCs w:val="18"/>
                <w:highlight w:val="none"/>
                <w:lang w:val="en-US" w:eastAsia="zh-CN" w:bidi="ar-SA"/>
              </w:rPr>
            </w:pPr>
            <w:r>
              <w:rPr>
                <w:rFonts w:hint="eastAsia" w:ascii="等线" w:hAnsi="等线" w:eastAsia="等线"/>
                <w:b w:val="0"/>
                <w:bCs/>
                <w:sz w:val="18"/>
                <w:szCs w:val="18"/>
                <w:highlight w:val="none"/>
              </w:rPr>
              <w:t>燃料费</w:t>
            </w:r>
          </w:p>
        </w:tc>
        <w:tc>
          <w:tcPr>
            <w:tcW w:w="803" w:type="pct"/>
            <w:vAlign w:val="center"/>
          </w:tcPr>
          <w:p>
            <w:pPr>
              <w:pStyle w:val="84"/>
              <w:rPr>
                <w:rFonts w:hint="eastAsia" w:ascii="等线" w:hAnsi="等线" w:eastAsia="等线" w:cs="Times New Roman"/>
                <w:b w:val="0"/>
                <w:bCs/>
                <w:kern w:val="2"/>
                <w:sz w:val="18"/>
                <w:szCs w:val="18"/>
                <w:highlight w:val="none"/>
                <w:lang w:val="en-US" w:eastAsia="zh-CN" w:bidi="ar-SA"/>
              </w:rPr>
            </w:pPr>
            <w:r>
              <w:rPr>
                <w:rFonts w:hint="eastAsia" w:ascii="等线" w:hAnsi="等线" w:eastAsia="等线"/>
                <w:b w:val="0"/>
                <w:bCs/>
                <w:sz w:val="18"/>
                <w:szCs w:val="18"/>
                <w:highlight w:val="none"/>
              </w:rPr>
              <w:t>折扣</w:t>
            </w:r>
          </w:p>
        </w:tc>
        <w:tc>
          <w:tcPr>
            <w:tcW w:w="965" w:type="pct"/>
            <w:vAlign w:val="center"/>
          </w:tcPr>
          <w:p>
            <w:pPr>
              <w:pStyle w:val="84"/>
              <w:rPr>
                <w:rFonts w:ascii="仿宋" w:hAnsi="仿宋" w:cs="仿宋"/>
                <w:b w:val="0"/>
                <w:bCs/>
                <w:i/>
                <w:sz w:val="18"/>
                <w:szCs w:val="18"/>
                <w:highlight w:val="none"/>
              </w:rPr>
            </w:pPr>
          </w:p>
        </w:tc>
        <w:tc>
          <w:tcPr>
            <w:tcW w:w="1050" w:type="pct"/>
            <w:vMerge w:val="continue"/>
            <w:vAlign w:val="center"/>
          </w:tcPr>
          <w:p>
            <w:pPr>
              <w:pStyle w:val="84"/>
              <w:rPr>
                <w:rFonts w:ascii="仿宋" w:hAnsi="仿宋" w:cs="仿宋"/>
                <w:b w:val="0"/>
                <w:bCs/>
                <w:sz w:val="18"/>
                <w:szCs w:val="18"/>
                <w:highlight w:val="none"/>
              </w:rPr>
            </w:pPr>
          </w:p>
        </w:tc>
        <w:tc>
          <w:tcPr>
            <w:tcW w:w="607" w:type="pct"/>
            <w:vMerge w:val="continue"/>
            <w:vAlign w:val="center"/>
          </w:tcPr>
          <w:p>
            <w:pPr>
              <w:pStyle w:val="84"/>
              <w:rPr>
                <w:rFonts w:ascii="仿宋" w:hAnsi="仿宋" w:cs="仿宋"/>
                <w:b w:val="0"/>
                <w:bCs/>
                <w:sz w:val="18"/>
                <w:szCs w:val="18"/>
                <w:highlight w:val="none"/>
              </w:rPr>
            </w:pPr>
          </w:p>
        </w:tc>
      </w:tr>
    </w:tbl>
    <w:p>
      <w:pPr>
        <w:spacing w:line="360" w:lineRule="auto"/>
        <w:rPr>
          <w:rFonts w:ascii="仿宋" w:hAnsi="仿宋" w:eastAsia="仿宋" w:cs="仿宋"/>
          <w:sz w:val="18"/>
          <w:szCs w:val="18"/>
          <w:highlight w:val="none"/>
        </w:rPr>
      </w:pPr>
      <w:r>
        <w:rPr>
          <w:rFonts w:hint="eastAsia" w:ascii="仿宋" w:hAnsi="仿宋" w:eastAsia="仿宋" w:cs="仿宋"/>
          <w:sz w:val="18"/>
          <w:szCs w:val="18"/>
          <w:highlight w:val="none"/>
        </w:rPr>
        <w:t>注：</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 w:hAnsi="仿宋" w:eastAsia="仿宋" w:cs="仿宋"/>
          <w:sz w:val="18"/>
          <w:szCs w:val="18"/>
          <w:highlight w:val="none"/>
        </w:rPr>
      </w:pPr>
      <w:r>
        <w:rPr>
          <w:rFonts w:hint="eastAsia" w:ascii="仿宋" w:hAnsi="仿宋" w:eastAsia="仿宋" w:cs="仿宋"/>
          <w:sz w:val="18"/>
          <w:szCs w:val="18"/>
          <w:highlight w:val="none"/>
        </w:rPr>
        <w:t>1、此表中的报价必须与相应的报价明细表</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lang w:val="en-US" w:eastAsia="zh-CN"/>
        </w:rPr>
        <w:t>附件7</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中的报价一致，投标方提供所能提供的单项报价</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lang w:val="en-US" w:eastAsia="zh-CN"/>
        </w:rPr>
        <w:t>表格内容不可调整；</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仿宋"/>
          <w:b/>
          <w:bCs/>
          <w:sz w:val="18"/>
          <w:szCs w:val="18"/>
          <w:highlight w:val="none"/>
          <w:lang w:eastAsia="zh-CN"/>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为便于</w:t>
      </w:r>
      <w:r>
        <w:rPr>
          <w:rFonts w:hint="eastAsia" w:ascii="仿宋" w:hAnsi="仿宋" w:eastAsia="仿宋" w:cs="仿宋"/>
          <w:sz w:val="18"/>
          <w:szCs w:val="18"/>
          <w:highlight w:val="none"/>
          <w:lang w:val="en-US" w:eastAsia="zh-CN"/>
        </w:rPr>
        <w:t>评标</w:t>
      </w:r>
      <w:r>
        <w:rPr>
          <w:rFonts w:hint="eastAsia" w:ascii="仿宋" w:hAnsi="仿宋" w:eastAsia="仿宋" w:cs="仿宋"/>
          <w:sz w:val="18"/>
          <w:szCs w:val="18"/>
          <w:highlight w:val="none"/>
        </w:rPr>
        <w:t>横向比较，</w:t>
      </w:r>
      <w:r>
        <w:rPr>
          <w:rFonts w:hint="eastAsia" w:ascii="仿宋" w:hAnsi="仿宋" w:eastAsia="仿宋" w:cs="仿宋"/>
          <w:sz w:val="18"/>
          <w:szCs w:val="18"/>
          <w:highlight w:val="none"/>
          <w:lang w:val="en-US" w:eastAsia="zh-CN"/>
        </w:rPr>
        <w:t>可靠性试验路</w:t>
      </w:r>
      <w:r>
        <w:rPr>
          <w:rFonts w:hint="eastAsia" w:ascii="仿宋" w:hAnsi="仿宋" w:eastAsia="仿宋" w:cs="仿宋"/>
          <w:sz w:val="18"/>
          <w:szCs w:val="18"/>
          <w:highlight w:val="none"/>
        </w:rPr>
        <w:t>仅报</w:t>
      </w:r>
      <w:r>
        <w:rPr>
          <w:rFonts w:hint="eastAsia" w:ascii="仿宋" w:hAnsi="仿宋" w:eastAsia="仿宋" w:cs="仿宋"/>
          <w:sz w:val="18"/>
          <w:szCs w:val="18"/>
          <w:highlight w:val="none"/>
          <w:lang w:val="en-US" w:eastAsia="zh-CN"/>
        </w:rPr>
        <w:t>两</w:t>
      </w:r>
      <w:r>
        <w:rPr>
          <w:rFonts w:hint="eastAsia" w:ascii="仿宋" w:hAnsi="仿宋" w:eastAsia="仿宋" w:cs="仿宋"/>
          <w:sz w:val="18"/>
          <w:szCs w:val="18"/>
          <w:highlight w:val="none"/>
        </w:rPr>
        <w:t>种车型</w:t>
      </w:r>
      <w:r>
        <w:rPr>
          <w:rFonts w:hint="eastAsia" w:ascii="仿宋" w:hAnsi="仿宋" w:eastAsia="仿宋" w:cs="仿宋"/>
          <w:sz w:val="18"/>
          <w:szCs w:val="18"/>
          <w:highlight w:val="none"/>
          <w:lang w:val="en-US" w:eastAsia="zh-CN"/>
        </w:rPr>
        <w:t>道</w:t>
      </w:r>
      <w:r>
        <w:rPr>
          <w:rFonts w:hint="eastAsia" w:ascii="仿宋" w:hAnsi="仿宋" w:eastAsia="仿宋" w:cs="仿宋"/>
          <w:sz w:val="18"/>
          <w:szCs w:val="18"/>
          <w:highlight w:val="none"/>
          <w:lang w:eastAsia="zh-CN"/>
        </w:rPr>
        <w:t>路</w:t>
      </w:r>
      <w:r>
        <w:rPr>
          <w:rFonts w:hint="eastAsia" w:ascii="仿宋" w:hAnsi="仿宋" w:eastAsia="仿宋" w:cs="仿宋"/>
          <w:sz w:val="18"/>
          <w:szCs w:val="18"/>
          <w:highlight w:val="none"/>
        </w:rPr>
        <w:t>单价，</w:t>
      </w:r>
      <w:r>
        <w:rPr>
          <w:rFonts w:hint="eastAsia" w:ascii="仿宋" w:hAnsi="仿宋" w:eastAsia="仿宋" w:cs="仿宋"/>
          <w:sz w:val="18"/>
          <w:szCs w:val="18"/>
          <w:highlight w:val="none"/>
          <w:lang w:eastAsia="zh-CN"/>
        </w:rPr>
        <w:t>其他</w:t>
      </w:r>
      <w:r>
        <w:rPr>
          <w:rFonts w:hint="eastAsia" w:ascii="仿宋" w:hAnsi="仿宋" w:eastAsia="仿宋" w:cs="仿宋"/>
          <w:b/>
          <w:bCs/>
          <w:sz w:val="18"/>
          <w:szCs w:val="18"/>
          <w:highlight w:val="none"/>
          <w:lang w:eastAsia="zh-CN"/>
        </w:rPr>
        <w:t>路</w:t>
      </w:r>
      <w:r>
        <w:rPr>
          <w:rFonts w:hint="eastAsia" w:ascii="仿宋" w:hAnsi="仿宋" w:eastAsia="仿宋" w:cs="仿宋"/>
          <w:b/>
          <w:bCs/>
          <w:sz w:val="18"/>
          <w:szCs w:val="18"/>
          <w:highlight w:val="none"/>
        </w:rPr>
        <w:t>价格参照各场地</w:t>
      </w:r>
      <w:r>
        <w:rPr>
          <w:rFonts w:hint="eastAsia" w:ascii="仿宋" w:hAnsi="仿宋" w:eastAsia="仿宋" w:cs="仿宋"/>
          <w:b/>
          <w:bCs/>
          <w:sz w:val="18"/>
          <w:szCs w:val="18"/>
          <w:highlight w:val="none"/>
          <w:lang w:val="en-US" w:eastAsia="zh-CN"/>
        </w:rPr>
        <w:t>向社会公布服务</w:t>
      </w:r>
      <w:r>
        <w:rPr>
          <w:rFonts w:hint="eastAsia" w:ascii="仿宋" w:hAnsi="仿宋" w:eastAsia="仿宋" w:cs="仿宋"/>
          <w:b/>
          <w:bCs/>
          <w:sz w:val="18"/>
          <w:szCs w:val="18"/>
          <w:highlight w:val="none"/>
        </w:rPr>
        <w:t>价格同比例调整获得，并在投标报价明细</w:t>
      </w:r>
      <w:r>
        <w:rPr>
          <w:rFonts w:hint="eastAsia" w:ascii="仿宋" w:hAnsi="仿宋" w:eastAsia="仿宋" w:cs="仿宋"/>
          <w:b/>
          <w:bCs/>
          <w:sz w:val="18"/>
          <w:szCs w:val="18"/>
          <w:highlight w:val="none"/>
          <w:lang w:val="en-US" w:eastAsia="zh-CN"/>
        </w:rPr>
        <w:t>表</w:t>
      </w:r>
      <w:r>
        <w:rPr>
          <w:rFonts w:hint="eastAsia" w:ascii="仿宋" w:hAnsi="仿宋" w:eastAsia="仿宋" w:cs="仿宋"/>
          <w:b/>
          <w:bCs/>
          <w:sz w:val="18"/>
          <w:szCs w:val="18"/>
          <w:highlight w:val="none"/>
          <w:lang w:eastAsia="zh-CN"/>
        </w:rPr>
        <w:t>（</w:t>
      </w:r>
      <w:r>
        <w:rPr>
          <w:rFonts w:hint="eastAsia" w:ascii="仿宋" w:hAnsi="仿宋" w:eastAsia="仿宋" w:cs="仿宋"/>
          <w:b/>
          <w:bCs/>
          <w:sz w:val="18"/>
          <w:szCs w:val="18"/>
          <w:highlight w:val="none"/>
          <w:lang w:val="en-US" w:eastAsia="zh-CN"/>
        </w:rPr>
        <w:t>附件7</w:t>
      </w:r>
      <w:r>
        <w:rPr>
          <w:rFonts w:hint="eastAsia" w:ascii="仿宋" w:hAnsi="仿宋" w:eastAsia="仿宋" w:cs="仿宋"/>
          <w:b/>
          <w:bCs/>
          <w:sz w:val="18"/>
          <w:szCs w:val="18"/>
          <w:highlight w:val="none"/>
          <w:lang w:eastAsia="zh-CN"/>
        </w:rPr>
        <w:t>）</w:t>
      </w:r>
      <w:r>
        <w:rPr>
          <w:rFonts w:hint="eastAsia" w:ascii="仿宋" w:hAnsi="仿宋" w:eastAsia="仿宋" w:cs="仿宋"/>
          <w:b/>
          <w:bCs/>
          <w:sz w:val="18"/>
          <w:szCs w:val="18"/>
          <w:highlight w:val="none"/>
        </w:rPr>
        <w:t>中详细列出</w:t>
      </w:r>
      <w:r>
        <w:rPr>
          <w:rFonts w:hint="eastAsia" w:ascii="仿宋" w:hAnsi="仿宋" w:eastAsia="仿宋" w:cs="仿宋"/>
          <w:b/>
          <w:bCs/>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、维修服务中</w:t>
      </w:r>
      <w:r>
        <w:rPr>
          <w:rFonts w:hint="eastAsia" w:ascii="仿宋" w:hAnsi="仿宋" w:eastAsia="仿宋" w:cs="仿宋"/>
          <w:sz w:val="18"/>
          <w:szCs w:val="18"/>
          <w:highlight w:val="none"/>
          <w:lang w:val="en-US" w:eastAsia="zh-CN"/>
        </w:rPr>
        <w:t>各维修项目对应</w:t>
      </w:r>
      <w:r>
        <w:rPr>
          <w:rFonts w:hint="eastAsia" w:ascii="仿宋" w:hAnsi="仿宋" w:eastAsia="仿宋" w:cs="仿宋"/>
          <w:sz w:val="18"/>
          <w:szCs w:val="18"/>
          <w:highlight w:val="none"/>
        </w:rPr>
        <w:t>维修工时见附件</w:t>
      </w:r>
      <w:r>
        <w:rPr>
          <w:rFonts w:hint="eastAsia" w:ascii="仿宋" w:hAnsi="仿宋" w:eastAsia="仿宋" w:cs="仿宋"/>
          <w:sz w:val="18"/>
          <w:szCs w:val="18"/>
          <w:highlight w:val="none"/>
          <w:lang w:eastAsia="zh-CN"/>
        </w:rPr>
        <w:t>；</w:t>
      </w:r>
    </w:p>
    <w:p>
      <w:pPr>
        <w:pStyle w:val="2"/>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4、燃料费指的是相比当地同期中国石化油价折扣率；</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5</w:t>
      </w:r>
      <w:r>
        <w:rPr>
          <w:rFonts w:ascii="仿宋" w:hAnsi="仿宋" w:eastAsia="仿宋" w:cs="仿宋"/>
          <w:sz w:val="18"/>
          <w:szCs w:val="18"/>
          <w:highlight w:val="none"/>
        </w:rPr>
        <w:t>、</w:t>
      </w:r>
      <w:r>
        <w:rPr>
          <w:rFonts w:hint="eastAsia" w:ascii="仿宋" w:hAnsi="仿宋" w:eastAsia="仿宋" w:cs="仿宋"/>
          <w:sz w:val="18"/>
          <w:szCs w:val="18"/>
          <w:highlight w:val="none"/>
        </w:rPr>
        <w:t>附件</w:t>
      </w:r>
      <w:r>
        <w:rPr>
          <w:rFonts w:ascii="仿宋" w:hAnsi="仿宋" w:eastAsia="仿宋" w:cs="仿宋"/>
          <w:sz w:val="18"/>
          <w:szCs w:val="18"/>
          <w:highlight w:val="none"/>
        </w:rPr>
        <w:t>6、7、8</w:t>
      </w:r>
      <w:r>
        <w:rPr>
          <w:rFonts w:hint="eastAsia" w:ascii="仿宋" w:hAnsi="仿宋" w:eastAsia="仿宋" w:cs="仿宋"/>
          <w:sz w:val="18"/>
          <w:szCs w:val="18"/>
          <w:highlight w:val="none"/>
        </w:rPr>
        <w:t>应在投递标书时单独密封，否则不予唱标</w:t>
      </w:r>
      <w:r>
        <w:rPr>
          <w:rFonts w:hint="eastAsia" w:ascii="仿宋" w:hAnsi="仿宋" w:eastAsia="仿宋" w:cs="仿宋"/>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 w:hAnsi="仿宋" w:eastAsia="仿宋" w:cs="仿宋"/>
          <w:sz w:val="18"/>
          <w:szCs w:val="18"/>
          <w:highlight w:val="none"/>
        </w:rPr>
      </w:pPr>
      <w:r>
        <w:rPr>
          <w:rFonts w:hint="eastAsia" w:ascii="仿宋" w:hAnsi="仿宋" w:eastAsia="仿宋" w:cs="仿宋"/>
          <w:sz w:val="18"/>
          <w:szCs w:val="18"/>
          <w:highlight w:val="none"/>
          <w:lang w:val="en-US" w:eastAsia="zh-CN"/>
        </w:rPr>
        <w:t>6</w:t>
      </w:r>
      <w:r>
        <w:rPr>
          <w:rFonts w:hint="eastAsia" w:ascii="仿宋" w:hAnsi="仿宋" w:eastAsia="仿宋" w:cs="仿宋"/>
          <w:sz w:val="18"/>
          <w:szCs w:val="18"/>
          <w:highlight w:val="none"/>
        </w:rPr>
        <w:t>、需写明不含税价格、税率。</w:t>
      </w:r>
    </w:p>
    <w:p>
      <w:pPr>
        <w:spacing w:line="360" w:lineRule="auto"/>
        <w:rPr>
          <w:rFonts w:ascii="仿宋" w:hAnsi="仿宋" w:eastAsia="仿宋" w:cs="仿宋"/>
          <w:sz w:val="18"/>
          <w:szCs w:val="18"/>
          <w:highlight w:val="none"/>
        </w:rPr>
      </w:pPr>
      <w:r>
        <w:rPr>
          <w:rFonts w:hint="eastAsia" w:ascii="仿宋" w:hAnsi="仿宋" w:eastAsia="仿宋" w:cs="仿宋"/>
          <w:sz w:val="18"/>
          <w:szCs w:val="18"/>
          <w:highlight w:val="none"/>
        </w:rPr>
        <w:t>投标人：（盖章）</w:t>
      </w:r>
    </w:p>
    <w:p>
      <w:pPr>
        <w:spacing w:line="360" w:lineRule="auto"/>
        <w:rPr>
          <w:rFonts w:ascii="仿宋" w:hAnsi="仿宋" w:eastAsia="仿宋" w:cs="仿宋"/>
          <w:sz w:val="18"/>
          <w:szCs w:val="18"/>
          <w:highlight w:val="none"/>
        </w:rPr>
      </w:pPr>
      <w:r>
        <w:rPr>
          <w:rFonts w:hint="eastAsia" w:ascii="仿宋" w:hAnsi="仿宋" w:eastAsia="仿宋" w:cs="仿宋"/>
          <w:sz w:val="18"/>
          <w:szCs w:val="18"/>
          <w:highlight w:val="none"/>
        </w:rPr>
        <w:t>法定代表人（委托代理人）：（签字）</w:t>
      </w:r>
    </w:p>
    <w:p>
      <w:pPr>
        <w:keepNext w:val="0"/>
        <w:keepLines w:val="0"/>
        <w:snapToGrid w:val="0"/>
        <w:rPr>
          <w:rFonts w:hint="eastAsia" w:ascii="仿宋" w:hAnsi="仿宋" w:eastAsia="仿宋" w:cs="仿宋"/>
          <w:color w:val="auto"/>
          <w:sz w:val="18"/>
          <w:szCs w:val="18"/>
          <w:highlight w:val="none"/>
        </w:rPr>
      </w:pPr>
      <w:r>
        <w:rPr>
          <w:rFonts w:hint="eastAsia" w:ascii="仿宋" w:hAnsi="仿宋" w:eastAsia="仿宋" w:cs="仿宋"/>
          <w:sz w:val="18"/>
          <w:szCs w:val="18"/>
          <w:highlight w:val="none"/>
        </w:rPr>
        <w:t xml:space="preserve">日  </w:t>
      </w:r>
      <w:r>
        <w:rPr>
          <w:rFonts w:hint="eastAsia" w:ascii="仿宋" w:hAnsi="仿宋" w:eastAsia="仿宋" w:cs="仿宋"/>
          <w:color w:val="auto"/>
          <w:sz w:val="18"/>
          <w:szCs w:val="18"/>
          <w:highlight w:val="none"/>
        </w:rPr>
        <w:t>期：</w:t>
      </w:r>
      <w:r>
        <w:rPr>
          <w:rFonts w:hint="eastAsia" w:ascii="仿宋" w:hAnsi="仿宋" w:eastAsia="仿宋" w:cs="仿宋"/>
          <w:color w:val="auto"/>
          <w:kern w:val="2"/>
          <w:sz w:val="18"/>
          <w:szCs w:val="18"/>
          <w:highlight w:val="none"/>
        </w:rPr>
        <w:t xml:space="preserve">       </w:t>
      </w:r>
      <w:r>
        <w:rPr>
          <w:rFonts w:hint="eastAsia" w:ascii="仿宋" w:hAnsi="仿宋" w:eastAsia="仿宋" w:cs="仿宋"/>
          <w:color w:val="auto"/>
          <w:sz w:val="18"/>
          <w:szCs w:val="18"/>
          <w:highlight w:val="none"/>
        </w:rPr>
        <w:t>年</w:t>
      </w:r>
      <w:r>
        <w:rPr>
          <w:rFonts w:hint="eastAsia" w:ascii="仿宋" w:hAnsi="仿宋" w:eastAsia="仿宋" w:cs="仿宋"/>
          <w:color w:val="auto"/>
          <w:kern w:val="2"/>
          <w:sz w:val="18"/>
          <w:szCs w:val="18"/>
          <w:highlight w:val="none"/>
        </w:rPr>
        <w:t xml:space="preserve">    </w:t>
      </w:r>
      <w:r>
        <w:rPr>
          <w:rFonts w:hint="eastAsia" w:ascii="仿宋" w:hAnsi="仿宋" w:eastAsia="仿宋" w:cs="仿宋"/>
          <w:color w:val="auto"/>
          <w:sz w:val="18"/>
          <w:szCs w:val="18"/>
          <w:highlight w:val="none"/>
        </w:rPr>
        <w:t>月</w:t>
      </w:r>
      <w:r>
        <w:rPr>
          <w:rFonts w:hint="eastAsia" w:ascii="仿宋" w:hAnsi="仿宋" w:eastAsia="仿宋" w:cs="仿宋"/>
          <w:color w:val="auto"/>
          <w:kern w:val="2"/>
          <w:sz w:val="18"/>
          <w:szCs w:val="18"/>
          <w:highlight w:val="none"/>
        </w:rPr>
        <w:t xml:space="preserve">    </w:t>
      </w:r>
      <w:r>
        <w:rPr>
          <w:rFonts w:hint="eastAsia" w:ascii="仿宋" w:hAnsi="仿宋" w:eastAsia="仿宋" w:cs="仿宋"/>
          <w:color w:val="auto"/>
          <w:sz w:val="18"/>
          <w:szCs w:val="18"/>
          <w:highlight w:val="none"/>
        </w:rPr>
        <w:t>日</w:t>
      </w:r>
    </w:p>
    <w:p>
      <w:pPr>
        <w:pStyle w:val="50"/>
        <w:rPr>
          <w:rFonts w:hint="default" w:eastAsia="宋体"/>
          <w:highlight w:val="none"/>
          <w:lang w:val="en-US" w:eastAsia="zh-CN"/>
        </w:rPr>
      </w:pPr>
      <w:r>
        <w:rPr>
          <w:highlight w:val="none"/>
        </w:rPr>
        <w:br w:type="page"/>
      </w:r>
      <w:r>
        <w:rPr>
          <w:rStyle w:val="51"/>
          <w:rFonts w:hint="eastAsia"/>
          <w:b/>
          <w:bCs/>
          <w:highlight w:val="none"/>
        </w:rPr>
        <w:t>附件</w:t>
      </w:r>
      <w:r>
        <w:rPr>
          <w:rStyle w:val="51"/>
          <w:b/>
          <w:bCs/>
          <w:highlight w:val="none"/>
        </w:rPr>
        <w:t>6</w:t>
      </w:r>
      <w:r>
        <w:rPr>
          <w:rFonts w:hint="eastAsia"/>
          <w:highlight w:val="none"/>
        </w:rPr>
        <w:t>开标</w:t>
      </w:r>
      <w:r>
        <w:rPr>
          <w:rStyle w:val="51"/>
          <w:rFonts w:hint="eastAsia"/>
          <w:b/>
          <w:bCs/>
          <w:highlight w:val="none"/>
        </w:rPr>
        <w:t>一览表：</w:t>
      </w:r>
      <w:r>
        <w:rPr>
          <w:rStyle w:val="51"/>
          <w:rFonts w:hint="eastAsia"/>
          <w:b/>
          <w:bCs/>
          <w:highlight w:val="none"/>
          <w:lang w:eastAsia="zh-CN"/>
        </w:rPr>
        <w:t>重卡</w:t>
      </w:r>
      <w:r>
        <w:rPr>
          <w:rStyle w:val="51"/>
          <w:rFonts w:hint="eastAsia"/>
          <w:b/>
          <w:bCs/>
          <w:highlight w:val="none"/>
          <w:lang w:val="en-US" w:eastAsia="zh-CN"/>
        </w:rPr>
        <w:t>可靠性场地子项目适用</w:t>
      </w:r>
    </w:p>
    <w:p>
      <w:pPr>
        <w:pStyle w:val="54"/>
        <w:rPr>
          <w:highlight w:val="none"/>
        </w:rPr>
      </w:pPr>
      <w:r>
        <w:rPr>
          <w:rFonts w:hint="eastAsia"/>
          <w:highlight w:val="none"/>
        </w:rPr>
        <w:t>《开标一览表》单独封存，以备唱标使用</w:t>
      </w:r>
    </w:p>
    <w:p>
      <w:pPr>
        <w:pStyle w:val="54"/>
        <w:rPr>
          <w:rFonts w:hint="eastAsia"/>
          <w:highlight w:val="none"/>
          <w:lang w:eastAsia="zh-CN"/>
        </w:rPr>
      </w:pPr>
      <w:r>
        <w:rPr>
          <w:rFonts w:hint="eastAsia"/>
          <w:highlight w:val="none"/>
        </w:rPr>
        <w:t>项目名称：</w:t>
      </w:r>
      <w:r>
        <w:rPr>
          <w:rFonts w:hint="eastAsia"/>
          <w:highlight w:val="none"/>
          <w:lang w:eastAsia="zh-CN"/>
        </w:rPr>
        <w:t>整车性能及可靠性试验场地技术服务项目</w:t>
      </w:r>
    </w:p>
    <w:tbl>
      <w:tblPr>
        <w:tblStyle w:val="32"/>
        <w:tblW w:w="43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689"/>
        <w:gridCol w:w="1552"/>
        <w:gridCol w:w="1155"/>
        <w:gridCol w:w="1554"/>
        <w:gridCol w:w="1818"/>
        <w:gridCol w:w="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4" w:hRule="atLeast"/>
          <w:jc w:val="center"/>
        </w:trPr>
        <w:tc>
          <w:tcPr>
            <w:tcW w:w="242" w:type="pct"/>
            <w:vAlign w:val="center"/>
          </w:tcPr>
          <w:p>
            <w:pPr>
              <w:pStyle w:val="84"/>
              <w:rPr>
                <w:b w:val="0"/>
                <w:bCs/>
                <w:sz w:val="18"/>
                <w:szCs w:val="18"/>
                <w:highlight w:val="none"/>
              </w:rPr>
            </w:pPr>
            <w:r>
              <w:rPr>
                <w:rFonts w:hint="eastAsia"/>
                <w:b w:val="0"/>
                <w:bCs/>
                <w:sz w:val="18"/>
                <w:szCs w:val="18"/>
                <w:highlight w:val="none"/>
              </w:rPr>
              <w:t>序号</w:t>
            </w:r>
          </w:p>
        </w:tc>
        <w:tc>
          <w:tcPr>
            <w:tcW w:w="1374" w:type="pct"/>
            <w:gridSpan w:val="2"/>
            <w:vAlign w:val="center"/>
          </w:tcPr>
          <w:p>
            <w:pPr>
              <w:pStyle w:val="84"/>
              <w:rPr>
                <w:rFonts w:hint="default" w:eastAsia="仿宋"/>
                <w:b w:val="0"/>
                <w:bCs/>
                <w:sz w:val="18"/>
                <w:szCs w:val="18"/>
                <w:highlight w:val="none"/>
                <w:lang w:val="en-US" w:eastAsia="zh-CN"/>
              </w:rPr>
            </w:pPr>
            <w:r>
              <w:rPr>
                <w:rFonts w:hint="eastAsia"/>
                <w:b w:val="0"/>
                <w:bCs/>
                <w:sz w:val="18"/>
                <w:szCs w:val="18"/>
                <w:highlight w:val="none"/>
                <w:lang w:val="en-US" w:eastAsia="zh-CN"/>
              </w:rPr>
              <w:t>场地及服务项目</w:t>
            </w:r>
          </w:p>
        </w:tc>
        <w:tc>
          <w:tcPr>
            <w:tcW w:w="708" w:type="pct"/>
            <w:vAlign w:val="center"/>
          </w:tcPr>
          <w:p>
            <w:pPr>
              <w:pStyle w:val="84"/>
              <w:rPr>
                <w:b w:val="0"/>
                <w:bCs/>
                <w:sz w:val="18"/>
                <w:szCs w:val="18"/>
                <w:highlight w:val="none"/>
              </w:rPr>
            </w:pPr>
            <w:r>
              <w:rPr>
                <w:rFonts w:hint="eastAsia"/>
                <w:b w:val="0"/>
                <w:bCs/>
                <w:sz w:val="18"/>
                <w:szCs w:val="18"/>
                <w:highlight w:val="none"/>
              </w:rPr>
              <w:t>单位</w:t>
            </w:r>
          </w:p>
        </w:tc>
        <w:tc>
          <w:tcPr>
            <w:tcW w:w="952" w:type="pct"/>
            <w:vAlign w:val="center"/>
          </w:tcPr>
          <w:p>
            <w:pPr>
              <w:pStyle w:val="84"/>
              <w:rPr>
                <w:rFonts w:hint="eastAsia"/>
                <w:b w:val="0"/>
                <w:bCs/>
                <w:sz w:val="18"/>
                <w:szCs w:val="18"/>
                <w:highlight w:val="none"/>
              </w:rPr>
            </w:pPr>
            <w:r>
              <w:rPr>
                <w:rFonts w:hint="eastAsia"/>
                <w:b w:val="0"/>
                <w:bCs/>
                <w:sz w:val="18"/>
                <w:szCs w:val="18"/>
                <w:highlight w:val="none"/>
              </w:rPr>
              <w:t>价格</w:t>
            </w:r>
          </w:p>
          <w:p>
            <w:pPr>
              <w:pStyle w:val="84"/>
              <w:rPr>
                <w:rFonts w:hint="default"/>
                <w:b w:val="0"/>
                <w:bCs/>
                <w:sz w:val="18"/>
                <w:szCs w:val="18"/>
                <w:highlight w:val="none"/>
                <w:lang w:val="en-US"/>
              </w:rPr>
            </w:pPr>
            <w:r>
              <w:rPr>
                <w:rFonts w:hint="eastAsia"/>
                <w:b w:val="0"/>
                <w:bCs/>
                <w:sz w:val="18"/>
                <w:szCs w:val="18"/>
                <w:highlight w:val="none"/>
                <w:lang w:eastAsia="zh-CN"/>
              </w:rPr>
              <w:t>（</w:t>
            </w:r>
            <w:r>
              <w:rPr>
                <w:rFonts w:hint="eastAsia"/>
                <w:b w:val="0"/>
                <w:bCs/>
                <w:sz w:val="18"/>
                <w:szCs w:val="18"/>
                <w:highlight w:val="none"/>
                <w:lang w:val="en-US" w:eastAsia="zh-CN"/>
              </w:rPr>
              <w:t>注：不含税价，税率：</w:t>
            </w:r>
            <w:r>
              <w:rPr>
                <w:rFonts w:hint="eastAsia"/>
                <w:b w:val="0"/>
                <w:bCs/>
                <w:sz w:val="18"/>
                <w:szCs w:val="18"/>
                <w:highlight w:val="none"/>
                <w:u w:val="single"/>
                <w:lang w:val="en-US" w:eastAsia="zh-CN"/>
              </w:rPr>
              <w:t xml:space="preserve">    </w:t>
            </w:r>
            <w:r>
              <w:rPr>
                <w:rFonts w:hint="eastAsia"/>
                <w:b w:val="0"/>
                <w:bCs/>
                <w:sz w:val="18"/>
                <w:szCs w:val="18"/>
                <w:highlight w:val="none"/>
                <w:lang w:val="en-US" w:eastAsia="zh-CN"/>
              </w:rPr>
              <w:t>%）</w:t>
            </w:r>
          </w:p>
        </w:tc>
        <w:tc>
          <w:tcPr>
            <w:tcW w:w="1114" w:type="pct"/>
            <w:vAlign w:val="center"/>
          </w:tcPr>
          <w:p>
            <w:pPr>
              <w:pStyle w:val="84"/>
              <w:rPr>
                <w:b w:val="0"/>
                <w:bCs/>
                <w:sz w:val="18"/>
                <w:szCs w:val="18"/>
                <w:highlight w:val="none"/>
              </w:rPr>
            </w:pPr>
            <w:r>
              <w:rPr>
                <w:rFonts w:hint="eastAsia"/>
                <w:b w:val="0"/>
                <w:bCs/>
                <w:sz w:val="18"/>
                <w:szCs w:val="18"/>
                <w:highlight w:val="none"/>
              </w:rPr>
              <w:t>付款方式及比例如何响应</w:t>
            </w:r>
          </w:p>
        </w:tc>
        <w:tc>
          <w:tcPr>
            <w:tcW w:w="607" w:type="pct"/>
            <w:vAlign w:val="center"/>
          </w:tcPr>
          <w:p>
            <w:pPr>
              <w:pStyle w:val="84"/>
              <w:rPr>
                <w:b w:val="0"/>
                <w:bCs/>
                <w:sz w:val="18"/>
                <w:szCs w:val="18"/>
                <w:highlight w:val="none"/>
              </w:rPr>
            </w:pPr>
            <w:r>
              <w:rPr>
                <w:rFonts w:hint="eastAsia"/>
                <w:b w:val="0"/>
                <w:bCs/>
                <w:sz w:val="18"/>
                <w:szCs w:val="18"/>
                <w:highlight w:val="none"/>
              </w:rPr>
              <w:t>付款方式是否偏离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242" w:type="pct"/>
            <w:vAlign w:val="center"/>
          </w:tcPr>
          <w:p>
            <w:pPr>
              <w:pStyle w:val="84"/>
              <w:rPr>
                <w:rFonts w:hint="eastAsia" w:eastAsia="仿宋"/>
                <w:b w:val="0"/>
                <w:bCs/>
                <w:sz w:val="18"/>
                <w:szCs w:val="18"/>
                <w:highlight w:val="none"/>
                <w:lang w:val="en-US" w:eastAsia="zh-CN"/>
              </w:rPr>
            </w:pPr>
            <w:r>
              <w:rPr>
                <w:rFonts w:hint="eastAsia"/>
                <w:b w:val="0"/>
                <w:bCs/>
                <w:sz w:val="18"/>
                <w:szCs w:val="18"/>
                <w:highlight w:val="none"/>
                <w:lang w:val="en-US" w:eastAsia="zh-CN"/>
              </w:rPr>
              <w:t>1</w:t>
            </w:r>
          </w:p>
        </w:tc>
        <w:tc>
          <w:tcPr>
            <w:tcW w:w="423" w:type="pct"/>
            <w:vMerge w:val="restart"/>
            <w:vAlign w:val="center"/>
          </w:tcPr>
          <w:p>
            <w:pPr>
              <w:pStyle w:val="84"/>
              <w:rPr>
                <w:rFonts w:hint="default" w:ascii="等线" w:hAnsi="等线" w:eastAsia="等线"/>
                <w:b w:val="0"/>
                <w:bCs/>
                <w:sz w:val="18"/>
                <w:szCs w:val="18"/>
                <w:highlight w:val="none"/>
                <w:lang w:val="en-US" w:eastAsia="zh-CN"/>
              </w:rPr>
            </w:pPr>
            <w:r>
              <w:rPr>
                <w:rFonts w:hint="eastAsia" w:ascii="等线" w:hAnsi="等线" w:eastAsia="等线"/>
                <w:b w:val="0"/>
                <w:bCs/>
                <w:sz w:val="18"/>
                <w:szCs w:val="18"/>
                <w:highlight w:val="none"/>
                <w:lang w:val="en-US" w:eastAsia="zh-CN"/>
              </w:rPr>
              <w:t>重卡可靠性路</w:t>
            </w:r>
          </w:p>
        </w:tc>
        <w:tc>
          <w:tcPr>
            <w:tcW w:w="950" w:type="pct"/>
            <w:vAlign w:val="center"/>
          </w:tcPr>
          <w:p>
            <w:pPr>
              <w:pStyle w:val="84"/>
              <w:keepNext w:val="0"/>
              <w:keepLines w:val="0"/>
              <w:widowControl/>
              <w:suppressLineNumbers w:val="0"/>
              <w:jc w:val="center"/>
              <w:textAlignment w:val="auto"/>
              <w:rPr>
                <w:rFonts w:hint="eastAsia" w:ascii="等线" w:hAnsi="等线" w:eastAsia="等线" w:cs="Times New Roman"/>
                <w:b w:val="0"/>
                <w:bCs/>
                <w:kern w:val="2"/>
                <w:sz w:val="18"/>
                <w:szCs w:val="18"/>
                <w:highlight w:val="none"/>
                <w:lang w:val="en-US" w:eastAsia="zh-CN" w:bidi="ar-SA"/>
              </w:rPr>
            </w:pPr>
            <w:r>
              <w:rPr>
                <w:rFonts w:hint="eastAsia" w:ascii="等线" w:hAnsi="等线" w:eastAsia="等线" w:cs="Times New Roman"/>
                <w:b w:val="0"/>
                <w:bCs/>
                <w:i w:val="0"/>
                <w:iCs w:val="0"/>
                <w:kern w:val="2"/>
                <w:sz w:val="18"/>
                <w:szCs w:val="18"/>
                <w:highlight w:val="yellow"/>
                <w:u w:val="none"/>
                <w:lang w:val="en-US" w:eastAsia="zh-CN" w:bidi="ar"/>
              </w:rPr>
              <w:t>四轴</w:t>
            </w:r>
            <w:r>
              <w:rPr>
                <w:rFonts w:hint="eastAsia" w:ascii="等线" w:hAnsi="等线" w:eastAsia="等线" w:cs="Times New Roman"/>
                <w:b w:val="0"/>
                <w:bCs/>
                <w:i w:val="0"/>
                <w:iCs w:val="0"/>
                <w:kern w:val="2"/>
                <w:sz w:val="18"/>
                <w:szCs w:val="18"/>
                <w:highlight w:val="none"/>
                <w:u w:val="none"/>
                <w:lang w:val="en-US" w:eastAsia="zh-CN" w:bidi="ar"/>
              </w:rPr>
              <w:t>31t</w:t>
            </w:r>
            <w:r>
              <w:rPr>
                <w:rFonts w:hint="eastAsia" w:ascii="等线" w:hAnsi="等线" w:eastAsia="等线" w:cs="Times New Roman"/>
                <w:b w:val="0"/>
                <w:bCs/>
                <w:sz w:val="18"/>
                <w:szCs w:val="18"/>
                <w:highlight w:val="none"/>
              </w:rPr>
              <w:t>可靠性</w:t>
            </w:r>
            <w:r>
              <w:rPr>
                <w:rFonts w:hint="eastAsia" w:ascii="等线" w:hAnsi="等线" w:eastAsia="等线" w:cs="Times New Roman"/>
                <w:b w:val="0"/>
                <w:bCs/>
                <w:sz w:val="18"/>
                <w:szCs w:val="18"/>
                <w:highlight w:val="none"/>
                <w:lang w:eastAsia="zh-CN"/>
              </w:rPr>
              <w:t>路</w:t>
            </w:r>
          </w:p>
        </w:tc>
        <w:tc>
          <w:tcPr>
            <w:tcW w:w="708" w:type="pct"/>
            <w:vMerge w:val="restart"/>
            <w:vAlign w:val="center"/>
          </w:tcPr>
          <w:p>
            <w:pPr>
              <w:pStyle w:val="84"/>
              <w:rPr>
                <w:b w:val="0"/>
                <w:bCs/>
                <w:sz w:val="18"/>
                <w:szCs w:val="18"/>
                <w:highlight w:val="none"/>
              </w:rPr>
            </w:pPr>
            <w:r>
              <w:rPr>
                <w:rFonts w:hint="eastAsia" w:ascii="等线" w:hAnsi="等线" w:eastAsia="等线"/>
                <w:b w:val="0"/>
                <w:bCs/>
                <w:sz w:val="18"/>
                <w:szCs w:val="18"/>
                <w:highlight w:val="none"/>
              </w:rPr>
              <w:t>元/公里</w:t>
            </w:r>
          </w:p>
        </w:tc>
        <w:tc>
          <w:tcPr>
            <w:tcW w:w="952" w:type="pct"/>
            <w:vAlign w:val="center"/>
          </w:tcPr>
          <w:p>
            <w:pPr>
              <w:pStyle w:val="84"/>
              <w:rPr>
                <w:rFonts w:ascii="仿宋" w:hAnsi="仿宋" w:cs="仿宋"/>
                <w:b w:val="0"/>
                <w:bCs/>
                <w:i/>
                <w:sz w:val="18"/>
                <w:szCs w:val="18"/>
                <w:highlight w:val="none"/>
              </w:rPr>
            </w:pPr>
          </w:p>
        </w:tc>
        <w:tc>
          <w:tcPr>
            <w:tcW w:w="1114" w:type="pct"/>
            <w:vMerge w:val="restart"/>
            <w:vAlign w:val="center"/>
          </w:tcPr>
          <w:p>
            <w:pPr>
              <w:pStyle w:val="84"/>
              <w:rPr>
                <w:rFonts w:ascii="仿宋" w:hAnsi="仿宋" w:cs="仿宋"/>
                <w:b w:val="0"/>
                <w:bCs/>
                <w:sz w:val="18"/>
                <w:szCs w:val="18"/>
                <w:highlight w:val="none"/>
              </w:rPr>
            </w:pPr>
            <w:r>
              <w:rPr>
                <w:rFonts w:hint="eastAsia" w:ascii="仿宋" w:hAnsi="仿宋" w:cs="仿宋"/>
                <w:b w:val="0"/>
                <w:bCs/>
                <w:sz w:val="18"/>
                <w:szCs w:val="18"/>
                <w:highlight w:val="none"/>
                <w:lang w:val="en-US" w:eastAsia="zh-CN"/>
              </w:rPr>
              <w:t>银行承兑汇票或商业承兑汇票</w:t>
            </w:r>
            <w:r>
              <w:rPr>
                <w:rFonts w:hint="eastAsia" w:ascii="仿宋" w:hAnsi="仿宋" w:cs="仿宋"/>
                <w:b w:val="0"/>
                <w:bCs/>
                <w:sz w:val="18"/>
                <w:szCs w:val="18"/>
                <w:highlight w:val="none"/>
              </w:rPr>
              <w:t>。</w:t>
            </w:r>
          </w:p>
          <w:p>
            <w:pPr>
              <w:pStyle w:val="84"/>
              <w:rPr>
                <w:rFonts w:ascii="仿宋" w:hAnsi="仿宋" w:cs="仿宋"/>
                <w:b w:val="0"/>
                <w:bCs/>
                <w:sz w:val="18"/>
                <w:szCs w:val="18"/>
                <w:highlight w:val="none"/>
              </w:rPr>
            </w:pPr>
            <w:r>
              <w:rPr>
                <w:rFonts w:hint="eastAsia" w:ascii="仿宋" w:hAnsi="仿宋" w:cs="仿宋"/>
                <w:b w:val="0"/>
                <w:bCs/>
                <w:sz w:val="18"/>
                <w:szCs w:val="18"/>
                <w:highlight w:val="none"/>
              </w:rPr>
              <w:t>每季度结算。乙方每月度汇总场地租用等费用通知单，甲方对费用进行确认；</w:t>
            </w:r>
          </w:p>
          <w:p>
            <w:pPr>
              <w:pStyle w:val="84"/>
              <w:rPr>
                <w:rFonts w:ascii="仿宋" w:hAnsi="仿宋" w:cs="仿宋"/>
                <w:b w:val="0"/>
                <w:bCs/>
                <w:sz w:val="18"/>
                <w:szCs w:val="18"/>
                <w:highlight w:val="none"/>
              </w:rPr>
            </w:pPr>
            <w:r>
              <w:rPr>
                <w:rFonts w:hint="eastAsia" w:ascii="仿宋" w:hAnsi="仿宋" w:cs="仿宋"/>
                <w:b w:val="0"/>
                <w:bCs/>
                <w:sz w:val="18"/>
                <w:szCs w:val="18"/>
                <w:highlight w:val="none"/>
              </w:rPr>
              <w:t>乙方在甲方费用通知单确认后5个工作日开具全额增值税专用发票，甲方在收到乙方发票30日内一次性支付。</w:t>
            </w:r>
          </w:p>
        </w:tc>
        <w:tc>
          <w:tcPr>
            <w:tcW w:w="607" w:type="pct"/>
            <w:vMerge w:val="restart"/>
            <w:vAlign w:val="center"/>
          </w:tcPr>
          <w:p>
            <w:pPr>
              <w:pStyle w:val="84"/>
              <w:rPr>
                <w:rFonts w:ascii="仿宋" w:hAnsi="仿宋" w:cs="仿宋"/>
                <w:b w:val="0"/>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242" w:type="pct"/>
            <w:vAlign w:val="center"/>
          </w:tcPr>
          <w:p>
            <w:pPr>
              <w:pStyle w:val="84"/>
              <w:rPr>
                <w:rFonts w:hint="eastAsia" w:eastAsia="仿宋"/>
                <w:b w:val="0"/>
                <w:bCs/>
                <w:sz w:val="18"/>
                <w:szCs w:val="18"/>
                <w:highlight w:val="none"/>
                <w:lang w:val="en-US" w:eastAsia="zh-CN"/>
              </w:rPr>
            </w:pPr>
            <w:r>
              <w:rPr>
                <w:rFonts w:hint="eastAsia"/>
                <w:b w:val="0"/>
                <w:bCs/>
                <w:sz w:val="18"/>
                <w:szCs w:val="18"/>
                <w:highlight w:val="none"/>
                <w:lang w:val="en-US" w:eastAsia="zh-CN"/>
              </w:rPr>
              <w:t>2</w:t>
            </w:r>
          </w:p>
        </w:tc>
        <w:tc>
          <w:tcPr>
            <w:tcW w:w="423" w:type="pct"/>
            <w:vMerge w:val="continue"/>
            <w:vAlign w:val="center"/>
          </w:tcPr>
          <w:p>
            <w:pPr>
              <w:pStyle w:val="84"/>
              <w:rPr>
                <w:rFonts w:hint="eastAsia" w:ascii="等线" w:hAnsi="等线" w:eastAsia="等线"/>
                <w:b w:val="0"/>
                <w:bCs/>
                <w:sz w:val="18"/>
                <w:szCs w:val="18"/>
                <w:highlight w:val="none"/>
              </w:rPr>
            </w:pPr>
          </w:p>
        </w:tc>
        <w:tc>
          <w:tcPr>
            <w:tcW w:w="950" w:type="pct"/>
            <w:vAlign w:val="center"/>
          </w:tcPr>
          <w:p>
            <w:pPr>
              <w:pStyle w:val="84"/>
              <w:jc w:val="center"/>
              <w:rPr>
                <w:rFonts w:hint="eastAsia" w:ascii="等线" w:hAnsi="等线" w:eastAsia="等线" w:cs="Times New Roman"/>
                <w:b w:val="0"/>
                <w:bCs/>
                <w:kern w:val="2"/>
                <w:sz w:val="18"/>
                <w:szCs w:val="18"/>
                <w:highlight w:val="none"/>
                <w:lang w:val="en-US" w:eastAsia="zh-CN" w:bidi="ar-SA"/>
              </w:rPr>
            </w:pPr>
            <w:r>
              <w:rPr>
                <w:rFonts w:hint="eastAsia" w:ascii="等线" w:hAnsi="等线" w:eastAsia="等线" w:cs="Times New Roman"/>
                <w:b w:val="0"/>
                <w:bCs/>
                <w:sz w:val="18"/>
                <w:szCs w:val="18"/>
                <w:highlight w:val="yellow"/>
                <w:lang w:val="en-US" w:eastAsia="zh-CN"/>
              </w:rPr>
              <w:t>六轴</w:t>
            </w:r>
            <w:r>
              <w:rPr>
                <w:rFonts w:hint="eastAsia" w:ascii="等线" w:hAnsi="等线" w:eastAsia="等线" w:cs="Times New Roman"/>
                <w:b w:val="0"/>
                <w:bCs/>
                <w:sz w:val="18"/>
                <w:szCs w:val="18"/>
                <w:highlight w:val="none"/>
                <w:lang w:val="en-US" w:eastAsia="zh-CN"/>
              </w:rPr>
              <w:t>49t汽车列车</w:t>
            </w:r>
            <w:r>
              <w:rPr>
                <w:rFonts w:hint="eastAsia" w:ascii="等线" w:hAnsi="等线" w:eastAsia="等线" w:cs="Times New Roman"/>
                <w:b w:val="0"/>
                <w:bCs/>
                <w:sz w:val="18"/>
                <w:szCs w:val="18"/>
                <w:highlight w:val="none"/>
              </w:rPr>
              <w:t>可靠性</w:t>
            </w:r>
            <w:r>
              <w:rPr>
                <w:rFonts w:hint="eastAsia" w:ascii="等线" w:hAnsi="等线" w:eastAsia="等线" w:cs="Times New Roman"/>
                <w:b w:val="0"/>
                <w:bCs/>
                <w:sz w:val="18"/>
                <w:szCs w:val="18"/>
                <w:highlight w:val="none"/>
                <w:lang w:eastAsia="zh-CN"/>
              </w:rPr>
              <w:t>路</w:t>
            </w:r>
          </w:p>
        </w:tc>
        <w:tc>
          <w:tcPr>
            <w:tcW w:w="708" w:type="pct"/>
            <w:vMerge w:val="continue"/>
            <w:vAlign w:val="center"/>
          </w:tcPr>
          <w:p>
            <w:pPr>
              <w:pStyle w:val="84"/>
              <w:rPr>
                <w:b w:val="0"/>
                <w:bCs/>
                <w:sz w:val="18"/>
                <w:szCs w:val="18"/>
                <w:highlight w:val="none"/>
              </w:rPr>
            </w:pPr>
          </w:p>
        </w:tc>
        <w:tc>
          <w:tcPr>
            <w:tcW w:w="952" w:type="pct"/>
            <w:vAlign w:val="center"/>
          </w:tcPr>
          <w:p>
            <w:pPr>
              <w:pStyle w:val="84"/>
              <w:rPr>
                <w:rFonts w:ascii="仿宋" w:hAnsi="仿宋" w:cs="仿宋"/>
                <w:b w:val="0"/>
                <w:bCs/>
                <w:i/>
                <w:sz w:val="18"/>
                <w:szCs w:val="18"/>
                <w:highlight w:val="none"/>
              </w:rPr>
            </w:pPr>
          </w:p>
        </w:tc>
        <w:tc>
          <w:tcPr>
            <w:tcW w:w="1114" w:type="pct"/>
            <w:vMerge w:val="continue"/>
            <w:vAlign w:val="center"/>
          </w:tcPr>
          <w:p>
            <w:pPr>
              <w:pStyle w:val="84"/>
              <w:rPr>
                <w:rFonts w:ascii="仿宋" w:hAnsi="仿宋" w:cs="仿宋"/>
                <w:b w:val="0"/>
                <w:bCs/>
                <w:sz w:val="18"/>
                <w:szCs w:val="18"/>
                <w:highlight w:val="none"/>
              </w:rPr>
            </w:pPr>
          </w:p>
        </w:tc>
        <w:tc>
          <w:tcPr>
            <w:tcW w:w="607" w:type="pct"/>
            <w:vMerge w:val="continue"/>
            <w:vAlign w:val="center"/>
          </w:tcPr>
          <w:p>
            <w:pPr>
              <w:pStyle w:val="84"/>
              <w:rPr>
                <w:rFonts w:ascii="仿宋" w:hAnsi="仿宋" w:cs="仿宋"/>
                <w:b w:val="0"/>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242" w:type="pct"/>
            <w:vAlign w:val="center"/>
          </w:tcPr>
          <w:p>
            <w:pPr>
              <w:pStyle w:val="84"/>
              <w:rPr>
                <w:rFonts w:hint="default" w:ascii="Times New Roman" w:hAnsi="Times New Roman" w:eastAsia="仿宋" w:cs="Times New Roman"/>
                <w:b w:val="0"/>
                <w:bCs/>
                <w:kern w:val="2"/>
                <w:sz w:val="18"/>
                <w:szCs w:val="18"/>
                <w:highlight w:val="none"/>
                <w:lang w:val="en-US" w:eastAsia="zh-CN" w:bidi="ar-SA"/>
              </w:rPr>
            </w:pPr>
            <w:r>
              <w:rPr>
                <w:rFonts w:hint="eastAsia" w:cs="Times New Roman"/>
                <w:b w:val="0"/>
                <w:bCs/>
                <w:kern w:val="2"/>
                <w:sz w:val="18"/>
                <w:szCs w:val="18"/>
                <w:highlight w:val="none"/>
                <w:lang w:val="en-US" w:eastAsia="zh-CN" w:bidi="ar-SA"/>
              </w:rPr>
              <w:t>3</w:t>
            </w:r>
          </w:p>
        </w:tc>
        <w:tc>
          <w:tcPr>
            <w:tcW w:w="423" w:type="pct"/>
            <w:vMerge w:val="restart"/>
            <w:vAlign w:val="center"/>
          </w:tcPr>
          <w:p>
            <w:pPr>
              <w:pStyle w:val="84"/>
              <w:rPr>
                <w:rFonts w:hint="default" w:ascii="等线" w:hAnsi="等线" w:eastAsia="等线"/>
                <w:b w:val="0"/>
                <w:bCs/>
                <w:sz w:val="18"/>
                <w:szCs w:val="18"/>
                <w:highlight w:val="none"/>
                <w:lang w:val="en-US" w:eastAsia="zh-CN"/>
              </w:rPr>
            </w:pPr>
            <w:r>
              <w:rPr>
                <w:rFonts w:hint="eastAsia" w:ascii="等线" w:hAnsi="等线" w:eastAsia="等线"/>
                <w:b w:val="0"/>
                <w:bCs/>
                <w:sz w:val="18"/>
                <w:szCs w:val="18"/>
                <w:highlight w:val="none"/>
                <w:lang w:val="en-US" w:eastAsia="zh-CN"/>
              </w:rPr>
              <w:t>配套服务</w:t>
            </w:r>
          </w:p>
        </w:tc>
        <w:tc>
          <w:tcPr>
            <w:tcW w:w="950" w:type="pct"/>
            <w:vAlign w:val="center"/>
          </w:tcPr>
          <w:p>
            <w:pPr>
              <w:pStyle w:val="84"/>
              <w:rPr>
                <w:rFonts w:hint="eastAsia" w:ascii="Times New Roman" w:hAnsi="Times New Roman" w:eastAsia="仿宋" w:cs="Times New Roman"/>
                <w:b w:val="0"/>
                <w:bCs/>
                <w:kern w:val="2"/>
                <w:sz w:val="18"/>
                <w:szCs w:val="18"/>
                <w:highlight w:val="none"/>
                <w:lang w:val="en-US" w:eastAsia="zh-CN" w:bidi="ar-SA"/>
              </w:rPr>
            </w:pPr>
            <w:r>
              <w:rPr>
                <w:rFonts w:hint="eastAsia" w:ascii="等线" w:hAnsi="等线" w:eastAsia="等线"/>
                <w:b w:val="0"/>
                <w:bCs/>
                <w:sz w:val="18"/>
                <w:szCs w:val="18"/>
                <w:highlight w:val="none"/>
              </w:rPr>
              <w:t>维修服务</w:t>
            </w:r>
          </w:p>
        </w:tc>
        <w:tc>
          <w:tcPr>
            <w:tcW w:w="708" w:type="pct"/>
            <w:vAlign w:val="center"/>
          </w:tcPr>
          <w:p>
            <w:pPr>
              <w:pStyle w:val="84"/>
              <w:rPr>
                <w:rFonts w:hint="eastAsia" w:ascii="Times New Roman" w:hAnsi="Times New Roman" w:eastAsia="仿宋" w:cs="Times New Roman"/>
                <w:b w:val="0"/>
                <w:bCs/>
                <w:kern w:val="2"/>
                <w:sz w:val="18"/>
                <w:szCs w:val="18"/>
                <w:highlight w:val="none"/>
                <w:lang w:val="en-US" w:eastAsia="zh-CN" w:bidi="ar-SA"/>
              </w:rPr>
            </w:pPr>
            <w:r>
              <w:rPr>
                <w:rFonts w:hint="eastAsia" w:ascii="等线" w:hAnsi="等线" w:eastAsia="等线"/>
                <w:b w:val="0"/>
                <w:bCs/>
                <w:sz w:val="18"/>
                <w:szCs w:val="18"/>
                <w:highlight w:val="none"/>
              </w:rPr>
              <w:t>元/工时</w:t>
            </w:r>
          </w:p>
        </w:tc>
        <w:tc>
          <w:tcPr>
            <w:tcW w:w="952" w:type="pct"/>
            <w:vAlign w:val="center"/>
          </w:tcPr>
          <w:p>
            <w:pPr>
              <w:pStyle w:val="84"/>
              <w:rPr>
                <w:rFonts w:ascii="仿宋" w:hAnsi="仿宋" w:cs="仿宋"/>
                <w:b w:val="0"/>
                <w:bCs/>
                <w:i/>
                <w:sz w:val="18"/>
                <w:szCs w:val="18"/>
                <w:highlight w:val="none"/>
              </w:rPr>
            </w:pPr>
          </w:p>
        </w:tc>
        <w:tc>
          <w:tcPr>
            <w:tcW w:w="1114" w:type="pct"/>
            <w:vMerge w:val="continue"/>
            <w:vAlign w:val="center"/>
          </w:tcPr>
          <w:p>
            <w:pPr>
              <w:pStyle w:val="84"/>
              <w:rPr>
                <w:rFonts w:ascii="仿宋" w:hAnsi="仿宋" w:cs="仿宋"/>
                <w:b w:val="0"/>
                <w:bCs/>
                <w:sz w:val="18"/>
                <w:szCs w:val="18"/>
                <w:highlight w:val="none"/>
              </w:rPr>
            </w:pPr>
          </w:p>
        </w:tc>
        <w:tc>
          <w:tcPr>
            <w:tcW w:w="607" w:type="pct"/>
            <w:vMerge w:val="continue"/>
            <w:vAlign w:val="center"/>
          </w:tcPr>
          <w:p>
            <w:pPr>
              <w:pStyle w:val="84"/>
              <w:rPr>
                <w:rFonts w:ascii="仿宋" w:hAnsi="仿宋" w:cs="仿宋"/>
                <w:b w:val="0"/>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242" w:type="pct"/>
            <w:vAlign w:val="center"/>
          </w:tcPr>
          <w:p>
            <w:pPr>
              <w:pStyle w:val="84"/>
              <w:rPr>
                <w:rFonts w:hint="default" w:ascii="Times New Roman" w:hAnsi="Times New Roman" w:eastAsia="仿宋" w:cs="Times New Roman"/>
                <w:b w:val="0"/>
                <w:bCs/>
                <w:kern w:val="2"/>
                <w:sz w:val="18"/>
                <w:szCs w:val="18"/>
                <w:highlight w:val="none"/>
                <w:lang w:val="en-US" w:eastAsia="zh-CN" w:bidi="ar-SA"/>
              </w:rPr>
            </w:pPr>
            <w:r>
              <w:rPr>
                <w:rFonts w:hint="eastAsia" w:cs="Times New Roman"/>
                <w:b w:val="0"/>
                <w:bCs/>
                <w:kern w:val="2"/>
                <w:sz w:val="18"/>
                <w:szCs w:val="18"/>
                <w:highlight w:val="none"/>
                <w:lang w:val="en-US" w:eastAsia="zh-CN" w:bidi="ar-SA"/>
              </w:rPr>
              <w:t>4</w:t>
            </w:r>
          </w:p>
        </w:tc>
        <w:tc>
          <w:tcPr>
            <w:tcW w:w="423" w:type="pct"/>
            <w:vMerge w:val="continue"/>
            <w:vAlign w:val="center"/>
          </w:tcPr>
          <w:p>
            <w:pPr>
              <w:pStyle w:val="84"/>
              <w:rPr>
                <w:rFonts w:hint="eastAsia" w:ascii="等线" w:hAnsi="等线" w:eastAsia="等线"/>
                <w:b w:val="0"/>
                <w:bCs/>
                <w:sz w:val="18"/>
                <w:szCs w:val="18"/>
                <w:highlight w:val="none"/>
              </w:rPr>
            </w:pPr>
          </w:p>
        </w:tc>
        <w:tc>
          <w:tcPr>
            <w:tcW w:w="950" w:type="pct"/>
            <w:vAlign w:val="center"/>
          </w:tcPr>
          <w:p>
            <w:pPr>
              <w:pStyle w:val="84"/>
              <w:rPr>
                <w:rFonts w:hint="eastAsia" w:ascii="Times New Roman" w:hAnsi="Times New Roman" w:eastAsia="仿宋" w:cs="Times New Roman"/>
                <w:b w:val="0"/>
                <w:bCs/>
                <w:kern w:val="2"/>
                <w:sz w:val="18"/>
                <w:szCs w:val="18"/>
                <w:highlight w:val="none"/>
                <w:lang w:val="en-US" w:eastAsia="zh-CN" w:bidi="ar-SA"/>
              </w:rPr>
            </w:pPr>
            <w:r>
              <w:rPr>
                <w:rFonts w:hint="eastAsia" w:ascii="等线" w:hAnsi="等线" w:eastAsia="等线"/>
                <w:b w:val="0"/>
                <w:bCs/>
                <w:sz w:val="18"/>
                <w:szCs w:val="18"/>
                <w:highlight w:val="none"/>
              </w:rPr>
              <w:t>办公室租赁</w:t>
            </w:r>
          </w:p>
        </w:tc>
        <w:tc>
          <w:tcPr>
            <w:tcW w:w="708" w:type="pct"/>
            <w:vMerge w:val="restart"/>
            <w:vAlign w:val="center"/>
          </w:tcPr>
          <w:p>
            <w:pPr>
              <w:pStyle w:val="84"/>
              <w:rPr>
                <w:rFonts w:hint="eastAsia" w:ascii="等线" w:hAnsi="等线" w:eastAsia="等线" w:cs="Times New Roman"/>
                <w:b w:val="0"/>
                <w:bCs/>
                <w:kern w:val="2"/>
                <w:sz w:val="18"/>
                <w:szCs w:val="18"/>
                <w:highlight w:val="none"/>
                <w:lang w:val="en-US" w:eastAsia="zh-CN" w:bidi="ar-SA"/>
              </w:rPr>
            </w:pPr>
            <w:r>
              <w:rPr>
                <w:rFonts w:hint="eastAsia" w:ascii="等线" w:hAnsi="等线" w:eastAsia="等线"/>
                <w:b w:val="0"/>
                <w:bCs/>
                <w:sz w:val="18"/>
                <w:szCs w:val="18"/>
                <w:highlight w:val="none"/>
              </w:rPr>
              <w:t>元/</w:t>
            </w:r>
            <w:r>
              <w:rPr>
                <w:rFonts w:hint="eastAsia" w:ascii="等线" w:hAnsi="等线" w:eastAsia="等线"/>
                <w:b w:val="0"/>
                <w:bCs/>
                <w:sz w:val="18"/>
                <w:szCs w:val="18"/>
                <w:highlight w:val="none"/>
                <w:lang w:eastAsia="zh-CN"/>
              </w:rPr>
              <w:t>（</w:t>
            </w:r>
            <w:r>
              <w:rPr>
                <w:rFonts w:hint="eastAsia" w:ascii="等线" w:hAnsi="等线" w:eastAsia="等线"/>
                <w:b w:val="0"/>
                <w:bCs/>
                <w:sz w:val="18"/>
                <w:szCs w:val="18"/>
                <w:highlight w:val="none"/>
              </w:rPr>
              <w:t>平方米</w:t>
            </w:r>
            <m:oMath>
              <m:r>
                <m:rPr>
                  <m:sty m:val="p"/>
                </m:rPr>
                <w:rPr>
                  <w:rFonts w:ascii="Cambria Math" w:hAnsi="Cambria Math" w:cs="仿宋"/>
                  <w:sz w:val="18"/>
                  <w:szCs w:val="18"/>
                  <w:highlight w:val="none"/>
                </w:rPr>
                <m:t>∙</m:t>
              </m:r>
            </m:oMath>
            <w:r>
              <w:rPr>
                <w:rFonts w:hint="eastAsia" w:ascii="等线" w:hAnsi="等线" w:eastAsia="等线"/>
                <w:b w:val="0"/>
                <w:bCs/>
                <w:sz w:val="18"/>
                <w:szCs w:val="18"/>
                <w:highlight w:val="none"/>
              </w:rPr>
              <w:t>月</w:t>
            </w:r>
            <w:r>
              <w:rPr>
                <w:rFonts w:hint="eastAsia" w:ascii="等线" w:hAnsi="等线" w:eastAsia="等线"/>
                <w:b w:val="0"/>
                <w:bCs/>
                <w:sz w:val="18"/>
                <w:szCs w:val="18"/>
                <w:highlight w:val="none"/>
                <w:lang w:eastAsia="zh-CN"/>
              </w:rPr>
              <w:t>）</w:t>
            </w:r>
          </w:p>
        </w:tc>
        <w:tc>
          <w:tcPr>
            <w:tcW w:w="952" w:type="pct"/>
            <w:vAlign w:val="center"/>
          </w:tcPr>
          <w:p>
            <w:pPr>
              <w:pStyle w:val="84"/>
              <w:rPr>
                <w:rFonts w:ascii="仿宋" w:hAnsi="仿宋" w:cs="仿宋"/>
                <w:b w:val="0"/>
                <w:bCs/>
                <w:i/>
                <w:sz w:val="18"/>
                <w:szCs w:val="18"/>
                <w:highlight w:val="none"/>
              </w:rPr>
            </w:pPr>
          </w:p>
        </w:tc>
        <w:tc>
          <w:tcPr>
            <w:tcW w:w="1114" w:type="pct"/>
            <w:vMerge w:val="continue"/>
            <w:vAlign w:val="center"/>
          </w:tcPr>
          <w:p>
            <w:pPr>
              <w:pStyle w:val="84"/>
              <w:rPr>
                <w:rFonts w:ascii="仿宋" w:hAnsi="仿宋" w:cs="仿宋"/>
                <w:b w:val="0"/>
                <w:bCs/>
                <w:sz w:val="18"/>
                <w:szCs w:val="18"/>
                <w:highlight w:val="none"/>
              </w:rPr>
            </w:pPr>
          </w:p>
        </w:tc>
        <w:tc>
          <w:tcPr>
            <w:tcW w:w="607" w:type="pct"/>
            <w:vMerge w:val="continue"/>
            <w:vAlign w:val="center"/>
          </w:tcPr>
          <w:p>
            <w:pPr>
              <w:pStyle w:val="84"/>
              <w:rPr>
                <w:rFonts w:ascii="仿宋" w:hAnsi="仿宋" w:cs="仿宋"/>
                <w:b w:val="0"/>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242" w:type="pct"/>
            <w:vAlign w:val="center"/>
          </w:tcPr>
          <w:p>
            <w:pPr>
              <w:pStyle w:val="84"/>
              <w:rPr>
                <w:rFonts w:hint="default" w:ascii="Times New Roman" w:hAnsi="Times New Roman" w:eastAsia="仿宋" w:cs="Times New Roman"/>
                <w:b w:val="0"/>
                <w:bCs/>
                <w:kern w:val="2"/>
                <w:sz w:val="18"/>
                <w:szCs w:val="18"/>
                <w:highlight w:val="none"/>
                <w:lang w:val="en-US" w:eastAsia="zh-CN" w:bidi="ar-SA"/>
              </w:rPr>
            </w:pPr>
            <w:r>
              <w:rPr>
                <w:rFonts w:hint="eastAsia" w:cs="Times New Roman"/>
                <w:b w:val="0"/>
                <w:bCs/>
                <w:kern w:val="2"/>
                <w:sz w:val="18"/>
                <w:szCs w:val="18"/>
                <w:highlight w:val="none"/>
                <w:lang w:val="en-US" w:eastAsia="zh-CN" w:bidi="ar-SA"/>
              </w:rPr>
              <w:t>5</w:t>
            </w:r>
          </w:p>
        </w:tc>
        <w:tc>
          <w:tcPr>
            <w:tcW w:w="423" w:type="pct"/>
            <w:vMerge w:val="continue"/>
            <w:vAlign w:val="center"/>
          </w:tcPr>
          <w:p>
            <w:pPr>
              <w:pStyle w:val="84"/>
              <w:rPr>
                <w:rFonts w:hint="eastAsia" w:ascii="等线" w:hAnsi="等线" w:eastAsia="等线"/>
                <w:b w:val="0"/>
                <w:bCs/>
                <w:sz w:val="18"/>
                <w:szCs w:val="18"/>
                <w:highlight w:val="none"/>
              </w:rPr>
            </w:pPr>
          </w:p>
        </w:tc>
        <w:tc>
          <w:tcPr>
            <w:tcW w:w="950" w:type="pct"/>
            <w:vAlign w:val="center"/>
          </w:tcPr>
          <w:p>
            <w:pPr>
              <w:pStyle w:val="84"/>
              <w:rPr>
                <w:rFonts w:hint="eastAsia" w:ascii="等线" w:hAnsi="等线" w:eastAsia="等线" w:cs="Times New Roman"/>
                <w:b w:val="0"/>
                <w:bCs/>
                <w:kern w:val="2"/>
                <w:sz w:val="18"/>
                <w:szCs w:val="18"/>
                <w:highlight w:val="none"/>
                <w:lang w:val="en-US" w:eastAsia="zh-CN" w:bidi="ar-SA"/>
              </w:rPr>
            </w:pPr>
            <w:r>
              <w:rPr>
                <w:rFonts w:hint="eastAsia" w:ascii="等线" w:hAnsi="等线" w:eastAsia="等线"/>
                <w:b w:val="0"/>
                <w:bCs/>
                <w:sz w:val="18"/>
                <w:szCs w:val="18"/>
                <w:highlight w:val="none"/>
              </w:rPr>
              <w:t>仓库租赁</w:t>
            </w:r>
          </w:p>
        </w:tc>
        <w:tc>
          <w:tcPr>
            <w:tcW w:w="708" w:type="pct"/>
            <w:vMerge w:val="continue"/>
            <w:vAlign w:val="center"/>
          </w:tcPr>
          <w:p>
            <w:pPr>
              <w:pStyle w:val="84"/>
              <w:rPr>
                <w:rFonts w:hint="eastAsia" w:ascii="等线" w:hAnsi="等线" w:eastAsia="等线" w:cs="Times New Roman"/>
                <w:b w:val="0"/>
                <w:bCs/>
                <w:kern w:val="2"/>
                <w:sz w:val="18"/>
                <w:szCs w:val="18"/>
                <w:highlight w:val="none"/>
                <w:lang w:val="en-US" w:eastAsia="zh-CN" w:bidi="ar-SA"/>
              </w:rPr>
            </w:pPr>
          </w:p>
        </w:tc>
        <w:tc>
          <w:tcPr>
            <w:tcW w:w="952" w:type="pct"/>
            <w:vAlign w:val="center"/>
          </w:tcPr>
          <w:p>
            <w:pPr>
              <w:pStyle w:val="84"/>
              <w:rPr>
                <w:rFonts w:ascii="仿宋" w:hAnsi="仿宋" w:cs="仿宋"/>
                <w:b w:val="0"/>
                <w:bCs/>
                <w:i/>
                <w:sz w:val="18"/>
                <w:szCs w:val="18"/>
                <w:highlight w:val="none"/>
              </w:rPr>
            </w:pPr>
          </w:p>
        </w:tc>
        <w:tc>
          <w:tcPr>
            <w:tcW w:w="1114" w:type="pct"/>
            <w:vMerge w:val="continue"/>
            <w:vAlign w:val="center"/>
          </w:tcPr>
          <w:p>
            <w:pPr>
              <w:pStyle w:val="84"/>
              <w:rPr>
                <w:rFonts w:ascii="仿宋" w:hAnsi="仿宋" w:cs="仿宋"/>
                <w:b w:val="0"/>
                <w:bCs/>
                <w:sz w:val="18"/>
                <w:szCs w:val="18"/>
                <w:highlight w:val="none"/>
              </w:rPr>
            </w:pPr>
          </w:p>
        </w:tc>
        <w:tc>
          <w:tcPr>
            <w:tcW w:w="607" w:type="pct"/>
            <w:vMerge w:val="continue"/>
            <w:vAlign w:val="center"/>
          </w:tcPr>
          <w:p>
            <w:pPr>
              <w:pStyle w:val="84"/>
              <w:rPr>
                <w:rFonts w:ascii="仿宋" w:hAnsi="仿宋" w:cs="仿宋"/>
                <w:b w:val="0"/>
                <w:bCs/>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242" w:type="pct"/>
            <w:vAlign w:val="center"/>
          </w:tcPr>
          <w:p>
            <w:pPr>
              <w:pStyle w:val="84"/>
              <w:rPr>
                <w:rFonts w:hint="default" w:ascii="Times New Roman" w:hAnsi="Times New Roman" w:eastAsia="仿宋" w:cs="Times New Roman"/>
                <w:b w:val="0"/>
                <w:bCs/>
                <w:kern w:val="2"/>
                <w:sz w:val="18"/>
                <w:szCs w:val="18"/>
                <w:highlight w:val="none"/>
                <w:lang w:val="en-US" w:eastAsia="zh-CN" w:bidi="ar-SA"/>
              </w:rPr>
            </w:pPr>
            <w:r>
              <w:rPr>
                <w:rFonts w:hint="eastAsia" w:cs="Times New Roman"/>
                <w:b w:val="0"/>
                <w:bCs/>
                <w:kern w:val="2"/>
                <w:sz w:val="18"/>
                <w:szCs w:val="18"/>
                <w:highlight w:val="none"/>
                <w:lang w:val="en-US" w:eastAsia="zh-CN" w:bidi="ar-SA"/>
              </w:rPr>
              <w:t>6</w:t>
            </w:r>
          </w:p>
        </w:tc>
        <w:tc>
          <w:tcPr>
            <w:tcW w:w="423" w:type="pct"/>
            <w:vMerge w:val="continue"/>
            <w:vAlign w:val="center"/>
          </w:tcPr>
          <w:p>
            <w:pPr>
              <w:pStyle w:val="84"/>
              <w:rPr>
                <w:rFonts w:hint="eastAsia" w:ascii="等线" w:hAnsi="等线" w:eastAsia="等线"/>
                <w:b w:val="0"/>
                <w:bCs/>
                <w:sz w:val="18"/>
                <w:szCs w:val="18"/>
                <w:highlight w:val="none"/>
              </w:rPr>
            </w:pPr>
          </w:p>
        </w:tc>
        <w:tc>
          <w:tcPr>
            <w:tcW w:w="950" w:type="pct"/>
            <w:vAlign w:val="center"/>
          </w:tcPr>
          <w:p>
            <w:pPr>
              <w:pStyle w:val="84"/>
              <w:rPr>
                <w:rFonts w:hint="eastAsia" w:ascii="等线" w:hAnsi="等线" w:eastAsia="等线" w:cs="Times New Roman"/>
                <w:b w:val="0"/>
                <w:bCs/>
                <w:kern w:val="2"/>
                <w:sz w:val="18"/>
                <w:szCs w:val="18"/>
                <w:highlight w:val="none"/>
                <w:lang w:val="en-US" w:eastAsia="zh-CN" w:bidi="ar-SA"/>
              </w:rPr>
            </w:pPr>
            <w:r>
              <w:rPr>
                <w:rFonts w:hint="eastAsia" w:ascii="等线" w:hAnsi="等线" w:eastAsia="等线"/>
                <w:b w:val="0"/>
                <w:bCs/>
                <w:sz w:val="18"/>
                <w:szCs w:val="18"/>
                <w:highlight w:val="none"/>
              </w:rPr>
              <w:t>燃料费</w:t>
            </w:r>
          </w:p>
        </w:tc>
        <w:tc>
          <w:tcPr>
            <w:tcW w:w="708" w:type="pct"/>
            <w:vAlign w:val="center"/>
          </w:tcPr>
          <w:p>
            <w:pPr>
              <w:pStyle w:val="84"/>
              <w:rPr>
                <w:rFonts w:hint="eastAsia" w:ascii="等线" w:hAnsi="等线" w:eastAsia="等线" w:cs="Times New Roman"/>
                <w:b w:val="0"/>
                <w:bCs/>
                <w:kern w:val="2"/>
                <w:sz w:val="18"/>
                <w:szCs w:val="18"/>
                <w:highlight w:val="none"/>
                <w:lang w:val="en-US" w:eastAsia="zh-CN" w:bidi="ar-SA"/>
              </w:rPr>
            </w:pPr>
            <w:r>
              <w:rPr>
                <w:rFonts w:hint="eastAsia" w:ascii="等线" w:hAnsi="等线" w:eastAsia="等线"/>
                <w:b w:val="0"/>
                <w:bCs/>
                <w:sz w:val="18"/>
                <w:szCs w:val="18"/>
                <w:highlight w:val="none"/>
              </w:rPr>
              <w:t>折扣</w:t>
            </w:r>
          </w:p>
        </w:tc>
        <w:tc>
          <w:tcPr>
            <w:tcW w:w="952" w:type="pct"/>
            <w:vAlign w:val="center"/>
          </w:tcPr>
          <w:p>
            <w:pPr>
              <w:pStyle w:val="84"/>
              <w:rPr>
                <w:rFonts w:ascii="仿宋" w:hAnsi="仿宋" w:cs="仿宋"/>
                <w:b w:val="0"/>
                <w:bCs/>
                <w:i/>
                <w:sz w:val="18"/>
                <w:szCs w:val="18"/>
                <w:highlight w:val="none"/>
              </w:rPr>
            </w:pPr>
          </w:p>
        </w:tc>
        <w:tc>
          <w:tcPr>
            <w:tcW w:w="1114" w:type="pct"/>
            <w:vMerge w:val="continue"/>
            <w:vAlign w:val="center"/>
          </w:tcPr>
          <w:p>
            <w:pPr>
              <w:pStyle w:val="84"/>
              <w:rPr>
                <w:rFonts w:ascii="仿宋" w:hAnsi="仿宋" w:cs="仿宋"/>
                <w:b w:val="0"/>
                <w:bCs/>
                <w:sz w:val="18"/>
                <w:szCs w:val="18"/>
                <w:highlight w:val="none"/>
              </w:rPr>
            </w:pPr>
          </w:p>
        </w:tc>
        <w:tc>
          <w:tcPr>
            <w:tcW w:w="607" w:type="pct"/>
            <w:vMerge w:val="continue"/>
            <w:vAlign w:val="center"/>
          </w:tcPr>
          <w:p>
            <w:pPr>
              <w:pStyle w:val="84"/>
              <w:rPr>
                <w:rFonts w:ascii="仿宋" w:hAnsi="仿宋" w:cs="仿宋"/>
                <w:b w:val="0"/>
                <w:bCs/>
                <w:sz w:val="18"/>
                <w:szCs w:val="18"/>
                <w:highlight w:val="none"/>
              </w:rPr>
            </w:pPr>
          </w:p>
        </w:tc>
      </w:tr>
    </w:tbl>
    <w:p>
      <w:pPr>
        <w:spacing w:line="360" w:lineRule="auto"/>
        <w:rPr>
          <w:rFonts w:ascii="仿宋" w:hAnsi="仿宋" w:eastAsia="仿宋" w:cs="仿宋"/>
          <w:sz w:val="18"/>
          <w:szCs w:val="18"/>
          <w:highlight w:val="none"/>
        </w:rPr>
      </w:pPr>
      <w:r>
        <w:rPr>
          <w:rFonts w:hint="eastAsia" w:ascii="仿宋" w:hAnsi="仿宋" w:eastAsia="仿宋" w:cs="仿宋"/>
          <w:sz w:val="18"/>
          <w:szCs w:val="18"/>
          <w:highlight w:val="none"/>
        </w:rPr>
        <w:t>注：</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 w:hAnsi="仿宋" w:eastAsia="仿宋" w:cs="仿宋"/>
          <w:sz w:val="18"/>
          <w:szCs w:val="18"/>
          <w:highlight w:val="none"/>
        </w:rPr>
      </w:pPr>
      <w:r>
        <w:rPr>
          <w:rFonts w:hint="eastAsia" w:ascii="仿宋" w:hAnsi="仿宋" w:eastAsia="仿宋" w:cs="仿宋"/>
          <w:sz w:val="18"/>
          <w:szCs w:val="18"/>
          <w:highlight w:val="none"/>
        </w:rPr>
        <w:t>1、此表中的报价必须与相应的报价明细表</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lang w:val="en-US" w:eastAsia="zh-CN"/>
        </w:rPr>
        <w:t>附件7</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rPr>
        <w:t>中的报价一致，投标方提供所能提供的单项报价</w:t>
      </w:r>
      <w:r>
        <w:rPr>
          <w:rFonts w:hint="eastAsia" w:ascii="仿宋" w:hAnsi="仿宋" w:eastAsia="仿宋" w:cs="仿宋"/>
          <w:sz w:val="18"/>
          <w:szCs w:val="18"/>
          <w:highlight w:val="none"/>
          <w:lang w:eastAsia="zh-CN"/>
        </w:rPr>
        <w:t>，</w:t>
      </w:r>
      <w:r>
        <w:rPr>
          <w:rFonts w:hint="eastAsia" w:ascii="仿宋" w:hAnsi="仿宋" w:eastAsia="仿宋" w:cs="仿宋"/>
          <w:sz w:val="18"/>
          <w:szCs w:val="18"/>
          <w:highlight w:val="none"/>
          <w:lang w:val="en-US" w:eastAsia="zh-CN"/>
        </w:rPr>
        <w:t>表格内容不可调整；</w:t>
      </w:r>
    </w:p>
    <w:p>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仿宋"/>
          <w:b/>
          <w:bCs/>
          <w:sz w:val="18"/>
          <w:szCs w:val="18"/>
          <w:highlight w:val="none"/>
          <w:lang w:eastAsia="zh-CN"/>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为便于</w:t>
      </w:r>
      <w:r>
        <w:rPr>
          <w:rFonts w:hint="eastAsia" w:ascii="仿宋" w:hAnsi="仿宋" w:eastAsia="仿宋" w:cs="仿宋"/>
          <w:sz w:val="18"/>
          <w:szCs w:val="18"/>
          <w:highlight w:val="none"/>
          <w:lang w:val="en-US" w:eastAsia="zh-CN"/>
        </w:rPr>
        <w:t>评标</w:t>
      </w:r>
      <w:r>
        <w:rPr>
          <w:rFonts w:hint="eastAsia" w:ascii="仿宋" w:hAnsi="仿宋" w:eastAsia="仿宋" w:cs="仿宋"/>
          <w:sz w:val="18"/>
          <w:szCs w:val="18"/>
          <w:highlight w:val="none"/>
        </w:rPr>
        <w:t>横向比较，</w:t>
      </w:r>
      <w:r>
        <w:rPr>
          <w:rFonts w:hint="eastAsia" w:ascii="仿宋" w:hAnsi="仿宋" w:eastAsia="仿宋" w:cs="仿宋"/>
          <w:sz w:val="18"/>
          <w:szCs w:val="18"/>
          <w:highlight w:val="none"/>
          <w:lang w:val="en-US" w:eastAsia="zh-CN"/>
        </w:rPr>
        <w:t>可靠性试验路</w:t>
      </w:r>
      <w:r>
        <w:rPr>
          <w:rFonts w:hint="eastAsia" w:ascii="仿宋" w:hAnsi="仿宋" w:eastAsia="仿宋" w:cs="仿宋"/>
          <w:sz w:val="18"/>
          <w:szCs w:val="18"/>
          <w:highlight w:val="none"/>
        </w:rPr>
        <w:t>仅报</w:t>
      </w:r>
      <w:r>
        <w:rPr>
          <w:rFonts w:hint="eastAsia" w:ascii="仿宋" w:hAnsi="仿宋" w:eastAsia="仿宋" w:cs="仿宋"/>
          <w:sz w:val="18"/>
          <w:szCs w:val="18"/>
          <w:highlight w:val="none"/>
          <w:lang w:val="en-US" w:eastAsia="zh-CN"/>
        </w:rPr>
        <w:t>两</w:t>
      </w:r>
      <w:r>
        <w:rPr>
          <w:rFonts w:hint="eastAsia" w:ascii="仿宋" w:hAnsi="仿宋" w:eastAsia="仿宋" w:cs="仿宋"/>
          <w:sz w:val="18"/>
          <w:szCs w:val="18"/>
          <w:highlight w:val="none"/>
        </w:rPr>
        <w:t>种车型</w:t>
      </w:r>
      <w:r>
        <w:rPr>
          <w:rFonts w:hint="eastAsia" w:ascii="仿宋" w:hAnsi="仿宋" w:eastAsia="仿宋" w:cs="仿宋"/>
          <w:sz w:val="18"/>
          <w:szCs w:val="18"/>
          <w:highlight w:val="none"/>
          <w:lang w:val="en-US" w:eastAsia="zh-CN"/>
        </w:rPr>
        <w:t>道</w:t>
      </w:r>
      <w:r>
        <w:rPr>
          <w:rFonts w:hint="eastAsia" w:ascii="仿宋" w:hAnsi="仿宋" w:eastAsia="仿宋" w:cs="仿宋"/>
          <w:sz w:val="18"/>
          <w:szCs w:val="18"/>
          <w:highlight w:val="none"/>
          <w:lang w:eastAsia="zh-CN"/>
        </w:rPr>
        <w:t>路</w:t>
      </w:r>
      <w:r>
        <w:rPr>
          <w:rFonts w:hint="eastAsia" w:ascii="仿宋" w:hAnsi="仿宋" w:eastAsia="仿宋" w:cs="仿宋"/>
          <w:sz w:val="18"/>
          <w:szCs w:val="18"/>
          <w:highlight w:val="none"/>
        </w:rPr>
        <w:t>单价，</w:t>
      </w:r>
      <w:r>
        <w:rPr>
          <w:rFonts w:hint="eastAsia" w:ascii="仿宋" w:hAnsi="仿宋" w:eastAsia="仿宋" w:cs="仿宋"/>
          <w:sz w:val="18"/>
          <w:szCs w:val="18"/>
          <w:highlight w:val="none"/>
          <w:lang w:eastAsia="zh-CN"/>
        </w:rPr>
        <w:t>其他</w:t>
      </w:r>
      <w:r>
        <w:rPr>
          <w:rFonts w:hint="eastAsia" w:ascii="仿宋" w:hAnsi="仿宋" w:eastAsia="仿宋" w:cs="仿宋"/>
          <w:b/>
          <w:bCs/>
          <w:sz w:val="18"/>
          <w:szCs w:val="18"/>
          <w:highlight w:val="none"/>
          <w:lang w:eastAsia="zh-CN"/>
        </w:rPr>
        <w:t>路</w:t>
      </w:r>
      <w:r>
        <w:rPr>
          <w:rFonts w:hint="eastAsia" w:ascii="仿宋" w:hAnsi="仿宋" w:eastAsia="仿宋" w:cs="仿宋"/>
          <w:b/>
          <w:bCs/>
          <w:sz w:val="18"/>
          <w:szCs w:val="18"/>
          <w:highlight w:val="none"/>
        </w:rPr>
        <w:t>价格参照各场地</w:t>
      </w:r>
      <w:r>
        <w:rPr>
          <w:rFonts w:hint="eastAsia" w:ascii="仿宋" w:hAnsi="仿宋" w:eastAsia="仿宋" w:cs="仿宋"/>
          <w:b/>
          <w:bCs/>
          <w:sz w:val="18"/>
          <w:szCs w:val="18"/>
          <w:highlight w:val="none"/>
          <w:lang w:val="en-US" w:eastAsia="zh-CN"/>
        </w:rPr>
        <w:t>向社会公布服务</w:t>
      </w:r>
      <w:r>
        <w:rPr>
          <w:rFonts w:hint="eastAsia" w:ascii="仿宋" w:hAnsi="仿宋" w:eastAsia="仿宋" w:cs="仿宋"/>
          <w:b/>
          <w:bCs/>
          <w:sz w:val="18"/>
          <w:szCs w:val="18"/>
          <w:highlight w:val="none"/>
        </w:rPr>
        <w:t>价格同比例调整获得，并在投标报价明细</w:t>
      </w:r>
      <w:r>
        <w:rPr>
          <w:rFonts w:hint="eastAsia" w:ascii="仿宋" w:hAnsi="仿宋" w:eastAsia="仿宋" w:cs="仿宋"/>
          <w:b/>
          <w:bCs/>
          <w:sz w:val="18"/>
          <w:szCs w:val="18"/>
          <w:highlight w:val="none"/>
          <w:lang w:val="en-US" w:eastAsia="zh-CN"/>
        </w:rPr>
        <w:t>表</w:t>
      </w:r>
      <w:r>
        <w:rPr>
          <w:rFonts w:hint="eastAsia" w:ascii="仿宋" w:hAnsi="仿宋" w:eastAsia="仿宋" w:cs="仿宋"/>
          <w:b/>
          <w:bCs/>
          <w:sz w:val="18"/>
          <w:szCs w:val="18"/>
          <w:highlight w:val="none"/>
          <w:lang w:eastAsia="zh-CN"/>
        </w:rPr>
        <w:t>（</w:t>
      </w:r>
      <w:r>
        <w:rPr>
          <w:rFonts w:hint="eastAsia" w:ascii="仿宋" w:hAnsi="仿宋" w:eastAsia="仿宋" w:cs="仿宋"/>
          <w:b/>
          <w:bCs/>
          <w:sz w:val="18"/>
          <w:szCs w:val="18"/>
          <w:highlight w:val="none"/>
          <w:lang w:val="en-US" w:eastAsia="zh-CN"/>
        </w:rPr>
        <w:t>附件7</w:t>
      </w:r>
      <w:r>
        <w:rPr>
          <w:rFonts w:hint="eastAsia" w:ascii="仿宋" w:hAnsi="仿宋" w:eastAsia="仿宋" w:cs="仿宋"/>
          <w:b/>
          <w:bCs/>
          <w:sz w:val="18"/>
          <w:szCs w:val="18"/>
          <w:highlight w:val="none"/>
          <w:lang w:eastAsia="zh-CN"/>
        </w:rPr>
        <w:t>）</w:t>
      </w:r>
      <w:r>
        <w:rPr>
          <w:rFonts w:hint="eastAsia" w:ascii="仿宋" w:hAnsi="仿宋" w:eastAsia="仿宋" w:cs="仿宋"/>
          <w:b/>
          <w:bCs/>
          <w:sz w:val="18"/>
          <w:szCs w:val="18"/>
          <w:highlight w:val="none"/>
        </w:rPr>
        <w:t>中详细列出</w:t>
      </w:r>
      <w:r>
        <w:rPr>
          <w:rFonts w:hint="eastAsia" w:ascii="仿宋" w:hAnsi="仿宋" w:eastAsia="仿宋" w:cs="仿宋"/>
          <w:b/>
          <w:bCs/>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、维修服务中</w:t>
      </w:r>
      <w:r>
        <w:rPr>
          <w:rFonts w:hint="eastAsia" w:ascii="仿宋" w:hAnsi="仿宋" w:eastAsia="仿宋" w:cs="仿宋"/>
          <w:sz w:val="18"/>
          <w:szCs w:val="18"/>
          <w:highlight w:val="none"/>
          <w:lang w:val="en-US" w:eastAsia="zh-CN"/>
        </w:rPr>
        <w:t>各维修项目对应</w:t>
      </w:r>
      <w:r>
        <w:rPr>
          <w:rFonts w:hint="eastAsia" w:ascii="仿宋" w:hAnsi="仿宋" w:eastAsia="仿宋" w:cs="仿宋"/>
          <w:sz w:val="18"/>
          <w:szCs w:val="18"/>
          <w:highlight w:val="none"/>
        </w:rPr>
        <w:t>维修工时见附件</w:t>
      </w:r>
      <w:r>
        <w:rPr>
          <w:rFonts w:hint="eastAsia" w:ascii="仿宋" w:hAnsi="仿宋" w:eastAsia="仿宋" w:cs="仿宋"/>
          <w:sz w:val="18"/>
          <w:szCs w:val="18"/>
          <w:highlight w:val="none"/>
          <w:lang w:eastAsia="zh-CN"/>
        </w:rPr>
        <w:t>；</w:t>
      </w:r>
    </w:p>
    <w:p>
      <w:pPr>
        <w:pStyle w:val="2"/>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4、燃料费指的是相比当地同期中国石化油价折扣率；</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5</w:t>
      </w:r>
      <w:r>
        <w:rPr>
          <w:rFonts w:ascii="仿宋" w:hAnsi="仿宋" w:eastAsia="仿宋" w:cs="仿宋"/>
          <w:sz w:val="18"/>
          <w:szCs w:val="18"/>
          <w:highlight w:val="none"/>
        </w:rPr>
        <w:t>、</w:t>
      </w:r>
      <w:r>
        <w:rPr>
          <w:rFonts w:hint="eastAsia" w:ascii="仿宋" w:hAnsi="仿宋" w:eastAsia="仿宋" w:cs="仿宋"/>
          <w:sz w:val="18"/>
          <w:szCs w:val="18"/>
          <w:highlight w:val="none"/>
        </w:rPr>
        <w:t>附件</w:t>
      </w:r>
      <w:r>
        <w:rPr>
          <w:rFonts w:ascii="仿宋" w:hAnsi="仿宋" w:eastAsia="仿宋" w:cs="仿宋"/>
          <w:sz w:val="18"/>
          <w:szCs w:val="18"/>
          <w:highlight w:val="none"/>
        </w:rPr>
        <w:t>6、7、8</w:t>
      </w:r>
      <w:r>
        <w:rPr>
          <w:rFonts w:hint="eastAsia" w:ascii="仿宋" w:hAnsi="仿宋" w:eastAsia="仿宋" w:cs="仿宋"/>
          <w:sz w:val="18"/>
          <w:szCs w:val="18"/>
          <w:highlight w:val="none"/>
        </w:rPr>
        <w:t>应在投递标书时单独密封，否则不予唱标</w:t>
      </w:r>
      <w:r>
        <w:rPr>
          <w:rFonts w:hint="eastAsia" w:ascii="仿宋" w:hAnsi="仿宋" w:eastAsia="仿宋" w:cs="仿宋"/>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 w:hAnsi="仿宋" w:eastAsia="仿宋" w:cs="仿宋"/>
          <w:sz w:val="18"/>
          <w:szCs w:val="18"/>
          <w:highlight w:val="none"/>
        </w:rPr>
      </w:pPr>
      <w:r>
        <w:rPr>
          <w:rFonts w:hint="eastAsia" w:ascii="仿宋" w:hAnsi="仿宋" w:eastAsia="仿宋" w:cs="仿宋"/>
          <w:sz w:val="18"/>
          <w:szCs w:val="18"/>
          <w:highlight w:val="none"/>
          <w:lang w:val="en-US" w:eastAsia="zh-CN"/>
        </w:rPr>
        <w:t>6</w:t>
      </w:r>
      <w:r>
        <w:rPr>
          <w:rFonts w:hint="eastAsia" w:ascii="仿宋" w:hAnsi="仿宋" w:eastAsia="仿宋" w:cs="仿宋"/>
          <w:sz w:val="18"/>
          <w:szCs w:val="18"/>
          <w:highlight w:val="none"/>
        </w:rPr>
        <w:t>、需写明不含税价格、税率。</w:t>
      </w:r>
    </w:p>
    <w:p>
      <w:pPr>
        <w:spacing w:line="360" w:lineRule="auto"/>
        <w:rPr>
          <w:rFonts w:ascii="仿宋" w:hAnsi="仿宋" w:eastAsia="仿宋" w:cs="仿宋"/>
          <w:sz w:val="18"/>
          <w:szCs w:val="18"/>
          <w:highlight w:val="none"/>
        </w:rPr>
      </w:pPr>
      <w:r>
        <w:rPr>
          <w:rFonts w:hint="eastAsia" w:ascii="仿宋" w:hAnsi="仿宋" w:eastAsia="仿宋" w:cs="仿宋"/>
          <w:sz w:val="18"/>
          <w:szCs w:val="18"/>
          <w:highlight w:val="none"/>
        </w:rPr>
        <w:t>投标人：（盖章）</w:t>
      </w:r>
    </w:p>
    <w:p>
      <w:pPr>
        <w:spacing w:line="360" w:lineRule="auto"/>
        <w:rPr>
          <w:rFonts w:ascii="仿宋" w:hAnsi="仿宋" w:eastAsia="仿宋" w:cs="仿宋"/>
          <w:sz w:val="18"/>
          <w:szCs w:val="18"/>
          <w:highlight w:val="none"/>
        </w:rPr>
      </w:pPr>
      <w:r>
        <w:rPr>
          <w:rFonts w:hint="eastAsia" w:ascii="仿宋" w:hAnsi="仿宋" w:eastAsia="仿宋" w:cs="仿宋"/>
          <w:sz w:val="18"/>
          <w:szCs w:val="18"/>
          <w:highlight w:val="none"/>
        </w:rPr>
        <w:t>法定代表人（委托代理人）：（签字）</w:t>
      </w:r>
    </w:p>
    <w:p>
      <w:pPr>
        <w:spacing w:line="360" w:lineRule="auto"/>
        <w:rPr>
          <w:highlight w:val="none"/>
        </w:rPr>
      </w:pPr>
      <w:r>
        <w:rPr>
          <w:rFonts w:hint="eastAsia" w:ascii="仿宋" w:hAnsi="仿宋" w:eastAsia="仿宋" w:cs="仿宋"/>
          <w:sz w:val="18"/>
          <w:szCs w:val="18"/>
          <w:highlight w:val="none"/>
        </w:rPr>
        <w:t>日  期：</w:t>
      </w:r>
      <w:r>
        <w:rPr>
          <w:rFonts w:hint="eastAsia" w:ascii="仿宋" w:hAnsi="仿宋" w:eastAsia="仿宋" w:cs="仿宋"/>
          <w:kern w:val="0"/>
          <w:sz w:val="18"/>
          <w:szCs w:val="18"/>
          <w:highlight w:val="none"/>
        </w:rPr>
        <w:t xml:space="preserve">       </w:t>
      </w:r>
      <w:r>
        <w:rPr>
          <w:rFonts w:hint="eastAsia" w:ascii="仿宋" w:hAnsi="仿宋" w:eastAsia="仿宋" w:cs="仿宋"/>
          <w:sz w:val="18"/>
          <w:szCs w:val="18"/>
          <w:highlight w:val="none"/>
        </w:rPr>
        <w:t>年</w:t>
      </w:r>
      <w:r>
        <w:rPr>
          <w:rFonts w:hint="eastAsia" w:ascii="仿宋" w:hAnsi="仿宋" w:eastAsia="仿宋" w:cs="仿宋"/>
          <w:kern w:val="0"/>
          <w:sz w:val="18"/>
          <w:szCs w:val="18"/>
          <w:highlight w:val="none"/>
        </w:rPr>
        <w:t xml:space="preserve">    </w:t>
      </w:r>
      <w:r>
        <w:rPr>
          <w:rFonts w:hint="eastAsia" w:ascii="仿宋" w:hAnsi="仿宋" w:eastAsia="仿宋" w:cs="仿宋"/>
          <w:sz w:val="18"/>
          <w:szCs w:val="18"/>
          <w:highlight w:val="none"/>
        </w:rPr>
        <w:t>月</w:t>
      </w:r>
      <w:r>
        <w:rPr>
          <w:rFonts w:hint="eastAsia" w:ascii="仿宋" w:hAnsi="仿宋" w:eastAsia="仿宋" w:cs="仿宋"/>
          <w:kern w:val="0"/>
          <w:sz w:val="18"/>
          <w:szCs w:val="18"/>
          <w:highlight w:val="none"/>
        </w:rPr>
        <w:t xml:space="preserve">    </w:t>
      </w:r>
      <w:r>
        <w:rPr>
          <w:rFonts w:hint="eastAsia" w:ascii="仿宋" w:hAnsi="仿宋" w:eastAsia="仿宋" w:cs="仿宋"/>
          <w:sz w:val="18"/>
          <w:szCs w:val="18"/>
          <w:highlight w:val="none"/>
        </w:rPr>
        <w:t>日</w:t>
      </w:r>
      <w:r>
        <w:rPr>
          <w:highlight w:val="none"/>
        </w:rPr>
        <w:br w:type="page"/>
      </w:r>
    </w:p>
    <w:p>
      <w:pPr>
        <w:spacing w:line="360" w:lineRule="auto"/>
        <w:rPr>
          <w:highlight w:val="none"/>
        </w:rPr>
      </w:pPr>
    </w:p>
    <w:p>
      <w:pPr>
        <w:pStyle w:val="2"/>
        <w:rPr>
          <w:highlight w:val="none"/>
        </w:rPr>
      </w:pPr>
    </w:p>
    <w:p>
      <w:pPr>
        <w:pStyle w:val="50"/>
        <w:rPr>
          <w:highlight w:val="none"/>
        </w:rPr>
      </w:pPr>
      <w:bookmarkStart w:id="25" w:name="_Toc54"/>
      <w:bookmarkStart w:id="26" w:name="_Toc26556"/>
      <w:bookmarkStart w:id="27" w:name="_Toc353881017"/>
      <w:bookmarkStart w:id="28" w:name="_Toc639008"/>
      <w:r>
        <w:rPr>
          <w:rFonts w:hint="eastAsia"/>
          <w:highlight w:val="none"/>
        </w:rPr>
        <w:t>附件</w:t>
      </w:r>
      <w:r>
        <w:rPr>
          <w:highlight w:val="none"/>
        </w:rPr>
        <w:t>7</w:t>
      </w:r>
      <w:r>
        <w:rPr>
          <w:rFonts w:hint="eastAsia"/>
          <w:highlight w:val="none"/>
        </w:rPr>
        <w:t>投标报价明细表</w:t>
      </w:r>
      <w:bookmarkEnd w:id="25"/>
      <w:bookmarkEnd w:id="26"/>
      <w:bookmarkEnd w:id="27"/>
      <w:bookmarkEnd w:id="28"/>
    </w:p>
    <w:p>
      <w:pPr>
        <w:pStyle w:val="54"/>
        <w:rPr>
          <w:rFonts w:hint="eastAsia" w:eastAsia="仿宋"/>
          <w:highlight w:val="none"/>
          <w:lang w:eastAsia="zh-CN"/>
        </w:rPr>
      </w:pPr>
      <w:r>
        <w:rPr>
          <w:rFonts w:hint="eastAsia"/>
          <w:highlight w:val="none"/>
        </w:rPr>
        <w:t>项目名称：</w:t>
      </w:r>
      <w:r>
        <w:rPr>
          <w:rFonts w:hint="eastAsia"/>
          <w:highlight w:val="none"/>
          <w:lang w:eastAsia="zh-CN"/>
        </w:rPr>
        <w:t>整车性能及可靠性试验场地技术服务项目</w:t>
      </w:r>
    </w:p>
    <w:tbl>
      <w:tblPr>
        <w:tblStyle w:val="33"/>
        <w:tblW w:w="47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189"/>
        <w:gridCol w:w="2092"/>
        <w:gridCol w:w="2082"/>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序号</w:t>
            </w:r>
          </w:p>
        </w:tc>
        <w:tc>
          <w:tcPr>
            <w:tcW w:w="1249"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场地及服务项目</w:t>
            </w:r>
          </w:p>
        </w:tc>
        <w:tc>
          <w:tcPr>
            <w:tcW w:w="1194"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计费单位</w:t>
            </w:r>
          </w:p>
        </w:tc>
        <w:tc>
          <w:tcPr>
            <w:tcW w:w="1188"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单价</w:t>
            </w:r>
            <w:r>
              <w:rPr>
                <w:rFonts w:hint="eastAsia" w:ascii="仿宋" w:hAnsi="仿宋" w:eastAsia="仿宋" w:cs="仿宋"/>
                <w:b w:val="0"/>
                <w:bCs/>
                <w:sz w:val="20"/>
                <w:szCs w:val="20"/>
                <w:highlight w:val="none"/>
                <w:lang w:eastAsia="zh-CN"/>
              </w:rPr>
              <w:t>（</w:t>
            </w:r>
            <w:r>
              <w:rPr>
                <w:rFonts w:hint="eastAsia" w:ascii="仿宋" w:hAnsi="仿宋" w:eastAsia="仿宋" w:cs="仿宋"/>
                <w:b w:val="0"/>
                <w:bCs/>
                <w:sz w:val="20"/>
                <w:szCs w:val="20"/>
                <w:highlight w:val="none"/>
                <w:lang w:val="en-US" w:eastAsia="zh-CN"/>
              </w:rPr>
              <w:t>不含税价，税率：</w:t>
            </w:r>
            <w:r>
              <w:rPr>
                <w:rFonts w:hint="eastAsia" w:ascii="仿宋" w:hAnsi="仿宋" w:eastAsia="仿宋" w:cs="仿宋"/>
                <w:b w:val="0"/>
                <w:bCs/>
                <w:sz w:val="20"/>
                <w:szCs w:val="20"/>
                <w:highlight w:val="none"/>
                <w:u w:val="single"/>
                <w:lang w:val="en-US" w:eastAsia="zh-CN"/>
              </w:rPr>
              <w:t xml:space="preserve">    </w:t>
            </w:r>
            <w:r>
              <w:rPr>
                <w:rFonts w:hint="eastAsia" w:ascii="仿宋" w:hAnsi="仿宋" w:eastAsia="仿宋" w:cs="仿宋"/>
                <w:b w:val="0"/>
                <w:bCs/>
                <w:sz w:val="20"/>
                <w:szCs w:val="20"/>
                <w:highlight w:val="none"/>
                <w:lang w:val="en-US" w:eastAsia="zh-CN"/>
              </w:rPr>
              <w:t>%）</w:t>
            </w:r>
          </w:p>
        </w:tc>
        <w:tc>
          <w:tcPr>
            <w:tcW w:w="790" w:type="pct"/>
            <w:vAlign w:val="center"/>
          </w:tcPr>
          <w:p>
            <w:pPr>
              <w:pStyle w:val="84"/>
              <w:jc w:val="center"/>
              <w:rPr>
                <w:rFonts w:hint="eastAsia" w:ascii="仿宋" w:hAnsi="仿宋" w:eastAsia="仿宋" w:cs="仿宋"/>
                <w:b w:val="0"/>
                <w:bCs/>
                <w:sz w:val="20"/>
                <w:szCs w:val="20"/>
                <w:highlight w:val="none"/>
                <w:lang w:val="en-US" w:eastAsia="zh-CN"/>
              </w:rPr>
            </w:pPr>
            <w:r>
              <w:rPr>
                <w:rFonts w:hint="eastAsia" w:ascii="仿宋" w:hAnsi="仿宋" w:cs="仿宋"/>
                <w:b w:val="0"/>
                <w:bCs/>
                <w:sz w:val="20"/>
                <w:szCs w:val="2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1</w:t>
            </w:r>
          </w:p>
        </w:tc>
        <w:tc>
          <w:tcPr>
            <w:tcW w:w="1249"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维修服务</w:t>
            </w:r>
          </w:p>
        </w:tc>
        <w:tc>
          <w:tcPr>
            <w:tcW w:w="1194"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元/工时</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2</w:t>
            </w:r>
          </w:p>
        </w:tc>
        <w:tc>
          <w:tcPr>
            <w:tcW w:w="1249"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办公室租赁</w:t>
            </w:r>
          </w:p>
        </w:tc>
        <w:tc>
          <w:tcPr>
            <w:tcW w:w="1194"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元/</w:t>
            </w:r>
            <w:r>
              <w:rPr>
                <w:rFonts w:hint="eastAsia" w:ascii="仿宋" w:hAnsi="仿宋" w:cs="仿宋"/>
                <w:b w:val="0"/>
                <w:bCs/>
                <w:sz w:val="20"/>
                <w:szCs w:val="20"/>
                <w:highlight w:val="none"/>
                <w:lang w:eastAsia="zh-CN"/>
              </w:rPr>
              <w:t>（</w:t>
            </w:r>
            <w:r>
              <w:rPr>
                <w:rFonts w:hint="eastAsia" w:ascii="仿宋" w:hAnsi="仿宋" w:eastAsia="仿宋" w:cs="仿宋"/>
                <w:b w:val="0"/>
                <w:bCs/>
                <w:sz w:val="20"/>
                <w:szCs w:val="20"/>
                <w:highlight w:val="none"/>
              </w:rPr>
              <w:t>平方米</w:t>
            </w:r>
            <m:oMath>
              <m:r>
                <m:rPr>
                  <m:sty m:val="p"/>
                </m:rPr>
                <w:rPr>
                  <w:rFonts w:hint="eastAsia" w:ascii="Cambria Math" w:hAnsi="Cambria Math" w:eastAsia="仿宋" w:cs="仿宋"/>
                  <w:sz w:val="20"/>
                  <w:szCs w:val="20"/>
                  <w:highlight w:val="none"/>
                </w:rPr>
                <m:t>∙</m:t>
              </m:r>
            </m:oMath>
            <w:r>
              <w:rPr>
                <w:rFonts w:hint="eastAsia" w:ascii="仿宋" w:hAnsi="仿宋" w:eastAsia="仿宋" w:cs="仿宋"/>
                <w:b w:val="0"/>
                <w:bCs/>
                <w:sz w:val="20"/>
                <w:szCs w:val="20"/>
                <w:highlight w:val="none"/>
              </w:rPr>
              <w:t>月</w:t>
            </w:r>
            <w:r>
              <w:rPr>
                <w:rFonts w:hint="eastAsia" w:ascii="仿宋" w:hAnsi="仿宋" w:cs="仿宋"/>
                <w:b w:val="0"/>
                <w:bCs/>
                <w:sz w:val="20"/>
                <w:szCs w:val="20"/>
                <w:highlight w:val="none"/>
                <w:lang w:eastAsia="zh-CN"/>
              </w:rPr>
              <w:t>）</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3</w:t>
            </w:r>
          </w:p>
        </w:tc>
        <w:tc>
          <w:tcPr>
            <w:tcW w:w="1249"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仓库租赁</w:t>
            </w:r>
          </w:p>
        </w:tc>
        <w:tc>
          <w:tcPr>
            <w:tcW w:w="1194"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元/</w:t>
            </w:r>
            <w:r>
              <w:rPr>
                <w:rFonts w:hint="eastAsia" w:ascii="仿宋" w:hAnsi="仿宋" w:cs="仿宋"/>
                <w:b w:val="0"/>
                <w:bCs/>
                <w:sz w:val="20"/>
                <w:szCs w:val="20"/>
                <w:highlight w:val="none"/>
                <w:lang w:eastAsia="zh-CN"/>
              </w:rPr>
              <w:t>（</w:t>
            </w:r>
            <w:r>
              <w:rPr>
                <w:rFonts w:hint="eastAsia" w:ascii="仿宋" w:hAnsi="仿宋" w:eastAsia="仿宋" w:cs="仿宋"/>
                <w:b w:val="0"/>
                <w:bCs/>
                <w:sz w:val="20"/>
                <w:szCs w:val="20"/>
                <w:highlight w:val="none"/>
              </w:rPr>
              <w:t>平方米</w:t>
            </w:r>
            <m:oMath>
              <m:r>
                <m:rPr>
                  <m:sty m:val="p"/>
                </m:rPr>
                <w:rPr>
                  <w:rFonts w:hint="eastAsia" w:ascii="Cambria Math" w:hAnsi="Cambria Math" w:eastAsia="仿宋" w:cs="仿宋"/>
                  <w:sz w:val="20"/>
                  <w:szCs w:val="20"/>
                  <w:highlight w:val="none"/>
                </w:rPr>
                <m:t>∙</m:t>
              </m:r>
            </m:oMath>
            <w:r>
              <w:rPr>
                <w:rFonts w:hint="eastAsia" w:ascii="仿宋" w:hAnsi="仿宋" w:eastAsia="仿宋" w:cs="仿宋"/>
                <w:b w:val="0"/>
                <w:bCs/>
                <w:sz w:val="20"/>
                <w:szCs w:val="20"/>
                <w:highlight w:val="none"/>
              </w:rPr>
              <w:t>月</w:t>
            </w:r>
            <w:r>
              <w:rPr>
                <w:rFonts w:hint="eastAsia" w:ascii="仿宋" w:hAnsi="仿宋" w:cs="仿宋"/>
                <w:b w:val="0"/>
                <w:bCs/>
                <w:sz w:val="20"/>
                <w:szCs w:val="20"/>
                <w:highlight w:val="none"/>
                <w:lang w:eastAsia="zh-CN"/>
              </w:rPr>
              <w:t>）</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77" w:type="pct"/>
            <w:vAlign w:val="center"/>
          </w:tcPr>
          <w:p>
            <w:pPr>
              <w:pStyle w:val="54"/>
              <w:ind w:firstLine="0" w:firstLineChars="0"/>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4</w:t>
            </w:r>
          </w:p>
        </w:tc>
        <w:tc>
          <w:tcPr>
            <w:tcW w:w="1249"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燃料费</w:t>
            </w:r>
          </w:p>
        </w:tc>
        <w:tc>
          <w:tcPr>
            <w:tcW w:w="1194"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折扣</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rPr>
              <w:t>5</w:t>
            </w:r>
          </w:p>
        </w:tc>
        <w:tc>
          <w:tcPr>
            <w:tcW w:w="1249" w:type="pct"/>
            <w:vAlign w:val="center"/>
          </w:tcPr>
          <w:p>
            <w:pPr>
              <w:pStyle w:val="84"/>
              <w:jc w:val="center"/>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充电费</w:t>
            </w:r>
          </w:p>
        </w:tc>
        <w:tc>
          <w:tcPr>
            <w:tcW w:w="1194" w:type="pct"/>
            <w:vAlign w:val="center"/>
          </w:tcPr>
          <w:p>
            <w:pPr>
              <w:pStyle w:val="84"/>
              <w:jc w:val="center"/>
              <w:rPr>
                <w:rFonts w:hint="eastAsia"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rPr>
              <w:t>元/</w:t>
            </w:r>
            <w:r>
              <w:rPr>
                <w:rFonts w:hint="eastAsia" w:ascii="仿宋" w:hAnsi="仿宋" w:eastAsia="仿宋" w:cs="仿宋"/>
                <w:b w:val="0"/>
                <w:bCs/>
                <w:sz w:val="20"/>
                <w:szCs w:val="20"/>
                <w:highlight w:val="none"/>
                <w:lang w:val="en-US" w:eastAsia="zh-CN"/>
              </w:rPr>
              <w:t>度</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rPr>
              <w:t>6</w:t>
            </w:r>
          </w:p>
        </w:tc>
        <w:tc>
          <w:tcPr>
            <w:tcW w:w="1249" w:type="pct"/>
            <w:vAlign w:val="center"/>
          </w:tcPr>
          <w:p>
            <w:pPr>
              <w:pStyle w:val="84"/>
              <w:jc w:val="center"/>
              <w:rPr>
                <w:rFonts w:hint="default" w:ascii="仿宋" w:hAnsi="仿宋" w:eastAsia="仿宋" w:cs="仿宋"/>
                <w:b w:val="0"/>
                <w:bCs/>
                <w:sz w:val="20"/>
                <w:szCs w:val="20"/>
                <w:highlight w:val="none"/>
                <w:lang w:val="en-US" w:eastAsia="zh-CN"/>
              </w:rPr>
            </w:pPr>
            <w:r>
              <w:rPr>
                <w:rFonts w:hint="eastAsia" w:ascii="仿宋" w:hAnsi="仿宋" w:eastAsia="仿宋" w:cs="仿宋"/>
                <w:b w:val="0"/>
                <w:bCs/>
                <w:sz w:val="20"/>
                <w:szCs w:val="20"/>
                <w:highlight w:val="none"/>
                <w:lang w:val="en-US" w:eastAsia="zh-CN"/>
              </w:rPr>
              <w:t>直线</w:t>
            </w:r>
            <w:r>
              <w:rPr>
                <w:rFonts w:hint="eastAsia" w:ascii="仿宋" w:hAnsi="仿宋" w:eastAsia="仿宋" w:cs="仿宋"/>
                <w:b w:val="0"/>
                <w:bCs/>
                <w:sz w:val="20"/>
                <w:szCs w:val="20"/>
                <w:highlight w:val="none"/>
              </w:rPr>
              <w:t>性能路</w:t>
            </w:r>
          </w:p>
        </w:tc>
        <w:tc>
          <w:tcPr>
            <w:tcW w:w="1194"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元/分钟</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rPr>
              <w:t>7</w:t>
            </w:r>
          </w:p>
        </w:tc>
        <w:tc>
          <w:tcPr>
            <w:tcW w:w="1249"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动态广场</w:t>
            </w:r>
          </w:p>
        </w:tc>
        <w:tc>
          <w:tcPr>
            <w:tcW w:w="1194"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元/分钟</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rPr>
              <w:t>8</w:t>
            </w:r>
          </w:p>
        </w:tc>
        <w:tc>
          <w:tcPr>
            <w:tcW w:w="1249"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ABS路</w:t>
            </w:r>
          </w:p>
        </w:tc>
        <w:tc>
          <w:tcPr>
            <w:tcW w:w="1194"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元/分钟</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rPr>
              <w:t>9</w:t>
            </w:r>
          </w:p>
        </w:tc>
        <w:tc>
          <w:tcPr>
            <w:tcW w:w="1249"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噪声路</w:t>
            </w:r>
          </w:p>
        </w:tc>
        <w:tc>
          <w:tcPr>
            <w:tcW w:w="1194"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元/分钟</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rPr>
              <w:t>10</w:t>
            </w:r>
          </w:p>
        </w:tc>
        <w:tc>
          <w:tcPr>
            <w:tcW w:w="1249"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坡道</w:t>
            </w:r>
          </w:p>
        </w:tc>
        <w:tc>
          <w:tcPr>
            <w:tcW w:w="1194"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元/分钟</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rPr>
              <w:t>11</w:t>
            </w:r>
          </w:p>
        </w:tc>
        <w:tc>
          <w:tcPr>
            <w:tcW w:w="1249"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弯道制动路</w:t>
            </w:r>
          </w:p>
        </w:tc>
        <w:tc>
          <w:tcPr>
            <w:tcW w:w="1194"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元/分钟</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rPr>
              <w:t>12</w:t>
            </w:r>
          </w:p>
        </w:tc>
        <w:tc>
          <w:tcPr>
            <w:tcW w:w="1249"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轮胎湿滑路</w:t>
            </w:r>
          </w:p>
        </w:tc>
        <w:tc>
          <w:tcPr>
            <w:tcW w:w="1194"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元/分钟</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rPr>
              <w:t>13</w:t>
            </w:r>
          </w:p>
        </w:tc>
        <w:tc>
          <w:tcPr>
            <w:tcW w:w="1249"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NVH路</w:t>
            </w:r>
          </w:p>
        </w:tc>
        <w:tc>
          <w:tcPr>
            <w:tcW w:w="1194"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元/分钟</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rPr>
              <w:t>14</w:t>
            </w:r>
          </w:p>
        </w:tc>
        <w:tc>
          <w:tcPr>
            <w:tcW w:w="1249" w:type="pct"/>
            <w:vAlign w:val="center"/>
          </w:tcPr>
          <w:p>
            <w:pPr>
              <w:pStyle w:val="84"/>
              <w:jc w:val="center"/>
              <w:rPr>
                <w:rFonts w:hint="default" w:ascii="仿宋" w:hAnsi="仿宋" w:cs="仿宋"/>
                <w:b w:val="0"/>
                <w:bCs/>
                <w:sz w:val="20"/>
                <w:szCs w:val="20"/>
                <w:highlight w:val="none"/>
                <w:lang w:val="en-US" w:eastAsia="zh-CN"/>
              </w:rPr>
            </w:pPr>
            <w:r>
              <w:rPr>
                <w:rFonts w:hint="eastAsia" w:ascii="仿宋" w:hAnsi="仿宋" w:cs="仿宋"/>
                <w:b/>
                <w:bCs w:val="0"/>
                <w:i w:val="0"/>
                <w:iCs w:val="0"/>
                <w:sz w:val="20"/>
                <w:szCs w:val="20"/>
                <w:highlight w:val="none"/>
                <w:lang w:val="en-US" w:eastAsia="zh-CN"/>
              </w:rPr>
              <w:t>其他性能路面收费标准，请据实添加。</w:t>
            </w:r>
          </w:p>
        </w:tc>
        <w:tc>
          <w:tcPr>
            <w:tcW w:w="1194"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元/分钟</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lang w:val="en-US" w:eastAsia="zh-CN"/>
              </w:rPr>
              <w:t>15</w:t>
            </w:r>
          </w:p>
        </w:tc>
        <w:tc>
          <w:tcPr>
            <w:tcW w:w="1249" w:type="pct"/>
            <w:vAlign w:val="center"/>
          </w:tcPr>
          <w:p>
            <w:pPr>
              <w:pStyle w:val="84"/>
              <w:keepNext w:val="0"/>
              <w:keepLines w:val="0"/>
              <w:widowControl/>
              <w:suppressLineNumbers w:val="0"/>
              <w:jc w:val="center"/>
              <w:textAlignment w:val="center"/>
              <w:rPr>
                <w:rFonts w:hint="default" w:ascii="仿宋" w:hAnsi="仿宋" w:eastAsia="仿宋" w:cs="仿宋"/>
                <w:b w:val="0"/>
                <w:bCs/>
                <w:i w:val="0"/>
                <w:iCs w:val="0"/>
                <w:color w:val="000000"/>
                <w:kern w:val="2"/>
                <w:sz w:val="20"/>
                <w:szCs w:val="20"/>
                <w:highlight w:val="none"/>
                <w:u w:val="none"/>
                <w:lang w:val="en-US" w:eastAsia="zh-CN" w:bidi="ar"/>
              </w:rPr>
            </w:pPr>
            <w:r>
              <w:rPr>
                <w:rFonts w:hint="eastAsia" w:ascii="仿宋" w:hAnsi="仿宋" w:cs="仿宋"/>
                <w:b w:val="0"/>
                <w:bCs/>
                <w:i w:val="0"/>
                <w:iCs w:val="0"/>
                <w:color w:val="000000"/>
                <w:kern w:val="2"/>
                <w:sz w:val="20"/>
                <w:szCs w:val="20"/>
                <w:highlight w:val="none"/>
                <w:u w:val="none"/>
                <w:lang w:val="en-US" w:eastAsia="zh-CN" w:bidi="ar"/>
              </w:rPr>
              <w:t>7t可靠性路</w:t>
            </w:r>
          </w:p>
        </w:tc>
        <w:tc>
          <w:tcPr>
            <w:tcW w:w="1194" w:type="pct"/>
            <w:vAlign w:val="center"/>
          </w:tcPr>
          <w:p>
            <w:pPr>
              <w:pStyle w:val="84"/>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rPr>
              <w:t>元/公里</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lang w:val="en-US" w:eastAsia="zh-CN"/>
              </w:rPr>
              <w:t>16</w:t>
            </w:r>
          </w:p>
        </w:tc>
        <w:tc>
          <w:tcPr>
            <w:tcW w:w="1249" w:type="pct"/>
            <w:vAlign w:val="center"/>
          </w:tcPr>
          <w:p>
            <w:pPr>
              <w:pStyle w:val="84"/>
              <w:keepNext w:val="0"/>
              <w:keepLines w:val="0"/>
              <w:widowControl/>
              <w:suppressLineNumbers w:val="0"/>
              <w:jc w:val="center"/>
              <w:textAlignment w:val="center"/>
              <w:rPr>
                <w:rFonts w:hint="eastAsia" w:ascii="仿宋" w:hAnsi="仿宋" w:eastAsia="仿宋" w:cs="仿宋"/>
                <w:b w:val="0"/>
                <w:bCs/>
                <w:i w:val="0"/>
                <w:iCs w:val="0"/>
                <w:color w:val="000000"/>
                <w:kern w:val="2"/>
                <w:sz w:val="20"/>
                <w:szCs w:val="20"/>
                <w:highlight w:val="none"/>
                <w:u w:val="none"/>
                <w:lang w:val="en-US" w:eastAsia="zh-CN" w:bidi="ar"/>
              </w:rPr>
            </w:pPr>
            <w:r>
              <w:rPr>
                <w:rFonts w:hint="eastAsia" w:ascii="仿宋" w:hAnsi="仿宋" w:cs="仿宋"/>
                <w:b w:val="0"/>
                <w:bCs/>
                <w:i w:val="0"/>
                <w:iCs w:val="0"/>
                <w:color w:val="000000"/>
                <w:kern w:val="2"/>
                <w:sz w:val="20"/>
                <w:szCs w:val="20"/>
                <w:highlight w:val="none"/>
                <w:u w:val="none"/>
                <w:lang w:val="en-US" w:eastAsia="zh-CN" w:bidi="ar"/>
              </w:rPr>
              <w:t>18t可靠性路</w:t>
            </w:r>
          </w:p>
        </w:tc>
        <w:tc>
          <w:tcPr>
            <w:tcW w:w="1194" w:type="pct"/>
            <w:vAlign w:val="center"/>
          </w:tcPr>
          <w:p>
            <w:pPr>
              <w:pStyle w:val="84"/>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rPr>
              <w:t>元/公里</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lang w:val="en-US" w:eastAsia="zh-CN"/>
              </w:rPr>
              <w:t>17</w:t>
            </w:r>
          </w:p>
        </w:tc>
        <w:tc>
          <w:tcPr>
            <w:tcW w:w="1249" w:type="pct"/>
            <w:vAlign w:val="center"/>
          </w:tcPr>
          <w:p>
            <w:pPr>
              <w:pStyle w:val="84"/>
              <w:keepNext w:val="0"/>
              <w:keepLines w:val="0"/>
              <w:widowControl/>
              <w:suppressLineNumbers w:val="0"/>
              <w:jc w:val="center"/>
              <w:textAlignment w:val="center"/>
              <w:rPr>
                <w:rFonts w:hint="eastAsia" w:ascii="仿宋" w:hAnsi="仿宋" w:eastAsia="仿宋" w:cs="仿宋"/>
                <w:b w:val="0"/>
                <w:bCs/>
                <w:i w:val="0"/>
                <w:iCs w:val="0"/>
                <w:color w:val="000000"/>
                <w:kern w:val="2"/>
                <w:sz w:val="20"/>
                <w:szCs w:val="20"/>
                <w:highlight w:val="none"/>
                <w:u w:val="none"/>
                <w:lang w:val="en-US" w:eastAsia="zh-CN" w:bidi="ar"/>
              </w:rPr>
            </w:pPr>
            <w:r>
              <w:rPr>
                <w:rFonts w:hint="eastAsia" w:ascii="仿宋" w:hAnsi="仿宋" w:cs="仿宋"/>
                <w:b w:val="0"/>
                <w:bCs/>
                <w:i w:val="0"/>
                <w:iCs w:val="0"/>
                <w:color w:val="000000"/>
                <w:kern w:val="2"/>
                <w:sz w:val="20"/>
                <w:szCs w:val="20"/>
                <w:highlight w:val="yellow"/>
                <w:u w:val="none"/>
                <w:lang w:val="en-US" w:eastAsia="zh-CN" w:bidi="ar"/>
              </w:rPr>
              <w:t>四轴</w:t>
            </w:r>
            <w:r>
              <w:rPr>
                <w:rFonts w:hint="eastAsia" w:ascii="仿宋" w:hAnsi="仿宋" w:cs="仿宋"/>
                <w:b w:val="0"/>
                <w:bCs/>
                <w:i w:val="0"/>
                <w:iCs w:val="0"/>
                <w:color w:val="000000"/>
                <w:kern w:val="2"/>
                <w:sz w:val="20"/>
                <w:szCs w:val="20"/>
                <w:highlight w:val="none"/>
                <w:u w:val="none"/>
                <w:lang w:val="en-US" w:eastAsia="zh-CN" w:bidi="ar"/>
              </w:rPr>
              <w:t>31t可靠性路</w:t>
            </w:r>
          </w:p>
        </w:tc>
        <w:tc>
          <w:tcPr>
            <w:tcW w:w="1194" w:type="pct"/>
            <w:vAlign w:val="center"/>
          </w:tcPr>
          <w:p>
            <w:pPr>
              <w:pStyle w:val="84"/>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rPr>
              <w:t>元/公里</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lang w:val="en-US" w:eastAsia="zh-CN"/>
              </w:rPr>
              <w:t>18</w:t>
            </w:r>
          </w:p>
        </w:tc>
        <w:tc>
          <w:tcPr>
            <w:tcW w:w="1249" w:type="pct"/>
            <w:vAlign w:val="center"/>
          </w:tcPr>
          <w:p>
            <w:pPr>
              <w:pStyle w:val="84"/>
              <w:keepNext w:val="0"/>
              <w:keepLines w:val="0"/>
              <w:widowControl/>
              <w:suppressLineNumbers w:val="0"/>
              <w:jc w:val="center"/>
              <w:textAlignment w:val="center"/>
              <w:rPr>
                <w:rFonts w:hint="eastAsia" w:ascii="仿宋" w:hAnsi="仿宋" w:eastAsia="仿宋" w:cs="仿宋"/>
                <w:b w:val="0"/>
                <w:bCs/>
                <w:i w:val="0"/>
                <w:iCs w:val="0"/>
                <w:color w:val="000000"/>
                <w:kern w:val="2"/>
                <w:sz w:val="20"/>
                <w:szCs w:val="20"/>
                <w:highlight w:val="none"/>
                <w:u w:val="none"/>
                <w:lang w:val="en-US" w:eastAsia="zh-CN" w:bidi="ar"/>
              </w:rPr>
            </w:pPr>
            <w:r>
              <w:rPr>
                <w:rFonts w:hint="eastAsia" w:ascii="仿宋" w:hAnsi="仿宋" w:cs="仿宋"/>
                <w:b w:val="0"/>
                <w:bCs/>
                <w:i w:val="0"/>
                <w:iCs w:val="0"/>
                <w:color w:val="000000"/>
                <w:kern w:val="2"/>
                <w:sz w:val="20"/>
                <w:szCs w:val="20"/>
                <w:highlight w:val="yellow"/>
                <w:u w:val="none"/>
                <w:lang w:val="en-US" w:eastAsia="zh-CN" w:bidi="ar"/>
              </w:rPr>
              <w:t>六轴</w:t>
            </w:r>
            <w:r>
              <w:rPr>
                <w:rFonts w:hint="eastAsia" w:ascii="仿宋" w:hAnsi="仿宋" w:cs="仿宋"/>
                <w:b w:val="0"/>
                <w:bCs/>
                <w:i w:val="0"/>
                <w:iCs w:val="0"/>
                <w:color w:val="000000"/>
                <w:kern w:val="2"/>
                <w:sz w:val="20"/>
                <w:szCs w:val="20"/>
                <w:highlight w:val="none"/>
                <w:u w:val="none"/>
                <w:lang w:val="en-US" w:eastAsia="zh-CN" w:bidi="ar"/>
              </w:rPr>
              <w:t>49t列车可靠性路</w:t>
            </w:r>
          </w:p>
        </w:tc>
        <w:tc>
          <w:tcPr>
            <w:tcW w:w="1194" w:type="pct"/>
            <w:vAlign w:val="center"/>
          </w:tcPr>
          <w:p>
            <w:pPr>
              <w:pStyle w:val="84"/>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rPr>
              <w:t>元/公里</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lang w:val="en-US" w:eastAsia="zh-CN"/>
              </w:rPr>
              <w:t>19</w:t>
            </w:r>
          </w:p>
        </w:tc>
        <w:tc>
          <w:tcPr>
            <w:tcW w:w="1249" w:type="pct"/>
            <w:vAlign w:val="center"/>
          </w:tcPr>
          <w:p>
            <w:pPr>
              <w:pStyle w:val="84"/>
              <w:keepNext w:val="0"/>
              <w:keepLines w:val="0"/>
              <w:widowControl/>
              <w:suppressLineNumbers w:val="0"/>
              <w:jc w:val="center"/>
              <w:textAlignment w:val="center"/>
              <w:rPr>
                <w:rFonts w:hint="default" w:ascii="仿宋" w:hAnsi="仿宋" w:eastAsia="仿宋" w:cs="仿宋"/>
                <w:b w:val="0"/>
                <w:bCs/>
                <w:sz w:val="20"/>
                <w:szCs w:val="20"/>
                <w:highlight w:val="none"/>
                <w:lang w:val="en-US" w:eastAsia="zh-CN"/>
              </w:rPr>
            </w:pPr>
            <w:r>
              <w:rPr>
                <w:rFonts w:hint="eastAsia" w:ascii="仿宋" w:hAnsi="仿宋" w:cs="仿宋"/>
                <w:b/>
                <w:bCs w:val="0"/>
                <w:i w:val="0"/>
                <w:iCs w:val="0"/>
                <w:sz w:val="20"/>
                <w:szCs w:val="20"/>
                <w:highlight w:val="none"/>
                <w:lang w:val="en-US" w:eastAsia="zh-CN"/>
              </w:rPr>
              <w:t>其他</w:t>
            </w:r>
            <w:r>
              <w:rPr>
                <w:rFonts w:hint="eastAsia" w:ascii="仿宋" w:hAnsi="仿宋" w:eastAsia="仿宋" w:cs="仿宋"/>
                <w:b/>
                <w:bCs w:val="0"/>
                <w:i w:val="0"/>
                <w:iCs w:val="0"/>
                <w:sz w:val="20"/>
                <w:szCs w:val="20"/>
                <w:highlight w:val="none"/>
              </w:rPr>
              <w:t>可靠性</w:t>
            </w:r>
            <w:r>
              <w:rPr>
                <w:rFonts w:hint="eastAsia" w:ascii="仿宋" w:hAnsi="仿宋" w:cs="仿宋"/>
                <w:b/>
                <w:bCs w:val="0"/>
                <w:i w:val="0"/>
                <w:iCs w:val="0"/>
                <w:sz w:val="20"/>
                <w:szCs w:val="20"/>
                <w:highlight w:val="none"/>
                <w:lang w:eastAsia="zh-CN"/>
              </w:rPr>
              <w:t>路</w:t>
            </w:r>
            <w:r>
              <w:rPr>
                <w:rFonts w:hint="eastAsia" w:ascii="仿宋" w:hAnsi="仿宋" w:cs="仿宋"/>
                <w:b/>
                <w:bCs w:val="0"/>
                <w:i w:val="0"/>
                <w:iCs w:val="0"/>
                <w:sz w:val="20"/>
                <w:szCs w:val="20"/>
                <w:highlight w:val="none"/>
                <w:lang w:val="en-US" w:eastAsia="zh-CN"/>
              </w:rPr>
              <w:t>收费标准，请据实添加。</w:t>
            </w:r>
          </w:p>
        </w:tc>
        <w:tc>
          <w:tcPr>
            <w:tcW w:w="1194" w:type="pct"/>
            <w:vAlign w:val="center"/>
          </w:tcPr>
          <w:p>
            <w:pPr>
              <w:pStyle w:val="84"/>
              <w:jc w:val="center"/>
              <w:rPr>
                <w:rFonts w:hint="eastAsia" w:ascii="仿宋" w:hAnsi="仿宋" w:eastAsia="仿宋" w:cs="仿宋"/>
                <w:b w:val="0"/>
                <w:bCs/>
                <w:sz w:val="20"/>
                <w:szCs w:val="20"/>
                <w:highlight w:val="none"/>
              </w:rPr>
            </w:pPr>
            <w:r>
              <w:rPr>
                <w:rFonts w:hint="eastAsia" w:ascii="仿宋" w:hAnsi="仿宋" w:eastAsia="仿宋" w:cs="仿宋"/>
                <w:b w:val="0"/>
                <w:bCs/>
                <w:sz w:val="20"/>
                <w:szCs w:val="20"/>
                <w:highlight w:val="none"/>
              </w:rPr>
              <w:t>元/公里</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577" w:type="pct"/>
            <w:vAlign w:val="center"/>
          </w:tcPr>
          <w:p>
            <w:pPr>
              <w:pStyle w:val="54"/>
              <w:ind w:firstLine="0" w:firstLineChars="0"/>
              <w:jc w:val="center"/>
              <w:rPr>
                <w:rFonts w:hint="eastAsia" w:ascii="仿宋" w:hAnsi="仿宋" w:eastAsia="仿宋" w:cs="仿宋"/>
                <w:b w:val="0"/>
                <w:bCs/>
                <w:kern w:val="2"/>
                <w:sz w:val="20"/>
                <w:szCs w:val="20"/>
                <w:highlight w:val="none"/>
                <w:lang w:val="en-US" w:eastAsia="zh-CN" w:bidi="ar-SA"/>
              </w:rPr>
            </w:pPr>
            <w:r>
              <w:rPr>
                <w:rFonts w:hint="eastAsia" w:ascii="仿宋" w:hAnsi="仿宋" w:cs="仿宋"/>
                <w:b w:val="0"/>
                <w:bCs/>
                <w:sz w:val="20"/>
                <w:szCs w:val="20"/>
                <w:highlight w:val="none"/>
                <w:lang w:val="en-US" w:eastAsia="zh-CN"/>
              </w:rPr>
              <w:t>……</w:t>
            </w:r>
          </w:p>
        </w:tc>
        <w:tc>
          <w:tcPr>
            <w:tcW w:w="1249" w:type="pct"/>
            <w:vAlign w:val="center"/>
          </w:tcPr>
          <w:p>
            <w:pPr>
              <w:pStyle w:val="84"/>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rPr>
              <w:t>…</w:t>
            </w:r>
          </w:p>
        </w:tc>
        <w:tc>
          <w:tcPr>
            <w:tcW w:w="1194" w:type="pct"/>
            <w:vAlign w:val="center"/>
          </w:tcPr>
          <w:p>
            <w:pPr>
              <w:pStyle w:val="84"/>
              <w:jc w:val="center"/>
              <w:rPr>
                <w:rFonts w:hint="eastAsia" w:ascii="仿宋" w:hAnsi="仿宋" w:eastAsia="仿宋" w:cs="仿宋"/>
                <w:b w:val="0"/>
                <w:bCs/>
                <w:kern w:val="2"/>
                <w:sz w:val="20"/>
                <w:szCs w:val="20"/>
                <w:highlight w:val="none"/>
                <w:lang w:val="en-US" w:eastAsia="zh-CN" w:bidi="ar-SA"/>
              </w:rPr>
            </w:pPr>
            <w:r>
              <w:rPr>
                <w:rFonts w:hint="eastAsia" w:ascii="仿宋" w:hAnsi="仿宋" w:eastAsia="仿宋" w:cs="仿宋"/>
                <w:b w:val="0"/>
                <w:bCs/>
                <w:sz w:val="20"/>
                <w:szCs w:val="20"/>
                <w:highlight w:val="none"/>
              </w:rPr>
              <w:t>…</w:t>
            </w:r>
          </w:p>
        </w:tc>
        <w:tc>
          <w:tcPr>
            <w:tcW w:w="1188" w:type="pct"/>
            <w:vAlign w:val="center"/>
          </w:tcPr>
          <w:p>
            <w:pPr>
              <w:pStyle w:val="54"/>
              <w:jc w:val="center"/>
              <w:rPr>
                <w:rFonts w:hint="eastAsia" w:ascii="仿宋" w:hAnsi="仿宋" w:eastAsia="仿宋" w:cs="仿宋"/>
                <w:b w:val="0"/>
                <w:bCs/>
                <w:sz w:val="20"/>
                <w:szCs w:val="20"/>
                <w:highlight w:val="none"/>
              </w:rPr>
            </w:pPr>
          </w:p>
        </w:tc>
        <w:tc>
          <w:tcPr>
            <w:tcW w:w="790" w:type="pct"/>
            <w:vAlign w:val="center"/>
          </w:tcPr>
          <w:p>
            <w:pPr>
              <w:pStyle w:val="54"/>
              <w:jc w:val="center"/>
              <w:rPr>
                <w:rFonts w:hint="eastAsia" w:ascii="仿宋" w:hAnsi="仿宋" w:eastAsia="仿宋" w:cs="仿宋"/>
                <w:b w:val="0"/>
                <w:bCs/>
                <w:sz w:val="20"/>
                <w:szCs w:val="20"/>
                <w:highlight w:val="none"/>
              </w:rPr>
            </w:pPr>
          </w:p>
        </w:tc>
      </w:tr>
    </w:tbl>
    <w:p>
      <w:pPr>
        <w:pStyle w:val="54"/>
        <w:spacing w:line="240" w:lineRule="auto"/>
        <w:rPr>
          <w:rFonts w:ascii="仿宋" w:hAnsi="仿宋" w:cs="仿宋"/>
          <w:sz w:val="18"/>
          <w:szCs w:val="18"/>
          <w:highlight w:val="none"/>
        </w:rPr>
      </w:pPr>
      <w:r>
        <w:rPr>
          <w:rFonts w:hint="eastAsia" w:ascii="仿宋" w:hAnsi="仿宋" w:cs="仿宋"/>
          <w:sz w:val="18"/>
          <w:szCs w:val="18"/>
          <w:highlight w:val="none"/>
        </w:rPr>
        <w:t>注：</w:t>
      </w:r>
    </w:p>
    <w:p>
      <w:pPr>
        <w:pStyle w:val="54"/>
        <w:spacing w:line="240" w:lineRule="auto"/>
        <w:rPr>
          <w:rFonts w:hint="eastAsia" w:ascii="仿宋" w:hAnsi="仿宋" w:cs="仿宋"/>
          <w:sz w:val="18"/>
          <w:szCs w:val="18"/>
          <w:highlight w:val="none"/>
        </w:rPr>
      </w:pPr>
      <w:r>
        <w:rPr>
          <w:rFonts w:hint="eastAsia" w:ascii="仿宋" w:hAnsi="仿宋" w:cs="仿宋"/>
          <w:sz w:val="18"/>
          <w:szCs w:val="18"/>
          <w:highlight w:val="none"/>
          <w:lang w:val="en-US" w:eastAsia="zh-CN"/>
        </w:rPr>
        <w:t>1、请将本次招标对应子项目涉及所有收费项目逐项列出，</w:t>
      </w:r>
      <w:r>
        <w:rPr>
          <w:rFonts w:hint="eastAsia" w:ascii="仿宋" w:hAnsi="仿宋" w:cs="仿宋"/>
          <w:sz w:val="18"/>
          <w:szCs w:val="18"/>
          <w:highlight w:val="none"/>
        </w:rPr>
        <w:t>报价应为最终支付价格，包含场地管理费（若有）等</w:t>
      </w:r>
      <w:r>
        <w:rPr>
          <w:rFonts w:hint="eastAsia" w:ascii="仿宋" w:hAnsi="仿宋" w:cs="仿宋"/>
          <w:sz w:val="18"/>
          <w:szCs w:val="18"/>
          <w:highlight w:val="none"/>
          <w:lang w:eastAsia="zh-CN"/>
        </w:rPr>
        <w:t>，</w:t>
      </w:r>
      <w:r>
        <w:rPr>
          <w:rFonts w:hint="eastAsia" w:ascii="仿宋" w:hAnsi="仿宋" w:cs="仿宋"/>
          <w:sz w:val="18"/>
          <w:szCs w:val="18"/>
          <w:highlight w:val="none"/>
          <w:lang w:val="en-US" w:eastAsia="zh-CN"/>
        </w:rPr>
        <w:t>具体项目请根据实际需要增减</w:t>
      </w:r>
      <w:r>
        <w:rPr>
          <w:rFonts w:hint="eastAsia" w:ascii="仿宋" w:hAnsi="仿宋" w:cs="仿宋"/>
          <w:sz w:val="18"/>
          <w:szCs w:val="18"/>
          <w:highlight w:val="none"/>
        </w:rPr>
        <w:t>。</w:t>
      </w:r>
    </w:p>
    <w:p>
      <w:pPr>
        <w:pStyle w:val="54"/>
        <w:spacing w:line="240" w:lineRule="auto"/>
        <w:rPr>
          <w:rFonts w:hint="eastAsia" w:ascii="仿宋" w:hAnsi="仿宋" w:cs="仿宋"/>
          <w:sz w:val="18"/>
          <w:szCs w:val="18"/>
          <w:highlight w:val="none"/>
        </w:rPr>
      </w:pPr>
      <w:r>
        <w:rPr>
          <w:rFonts w:hint="eastAsia" w:ascii="仿宋" w:hAnsi="仿宋" w:cs="仿宋"/>
          <w:sz w:val="18"/>
          <w:szCs w:val="18"/>
          <w:highlight w:val="none"/>
          <w:lang w:val="en-US" w:eastAsia="zh-CN"/>
        </w:rPr>
        <w:t>2、上表列出的报价应为该场地向社会公布的各单项价格同比例调整而来。</w:t>
      </w:r>
    </w:p>
    <w:p>
      <w:pPr>
        <w:pStyle w:val="54"/>
        <w:spacing w:line="240" w:lineRule="auto"/>
        <w:rPr>
          <w:rFonts w:ascii="仿宋" w:hAnsi="仿宋" w:cs="仿宋"/>
          <w:sz w:val="18"/>
          <w:szCs w:val="18"/>
          <w:highlight w:val="none"/>
        </w:rPr>
      </w:pPr>
      <w:r>
        <w:rPr>
          <w:rFonts w:hint="eastAsia" w:ascii="仿宋" w:hAnsi="仿宋" w:cs="仿宋"/>
          <w:sz w:val="18"/>
          <w:szCs w:val="18"/>
          <w:highlight w:val="none"/>
          <w:lang w:val="en-US" w:eastAsia="zh-CN"/>
        </w:rPr>
        <w:t>3</w:t>
      </w:r>
      <w:r>
        <w:rPr>
          <w:rFonts w:hint="eastAsia" w:ascii="仿宋" w:hAnsi="仿宋" w:cs="仿宋"/>
          <w:sz w:val="18"/>
          <w:szCs w:val="18"/>
          <w:highlight w:val="none"/>
        </w:rPr>
        <w:t>、如上表中的有关费用投标人免费提供，请注明“免费”字样。</w:t>
      </w:r>
    </w:p>
    <w:p>
      <w:pPr>
        <w:pStyle w:val="54"/>
        <w:spacing w:line="240" w:lineRule="auto"/>
        <w:rPr>
          <w:rFonts w:ascii="仿宋" w:hAnsi="仿宋" w:cs="仿宋"/>
          <w:sz w:val="18"/>
          <w:szCs w:val="18"/>
          <w:highlight w:val="none"/>
        </w:rPr>
      </w:pPr>
      <w:r>
        <w:rPr>
          <w:rFonts w:hint="eastAsia" w:ascii="仿宋" w:hAnsi="仿宋" w:cs="仿宋"/>
          <w:sz w:val="18"/>
          <w:szCs w:val="18"/>
          <w:highlight w:val="none"/>
          <w:lang w:val="en-US" w:eastAsia="zh-CN"/>
        </w:rPr>
        <w:t>4</w:t>
      </w:r>
      <w:r>
        <w:rPr>
          <w:rFonts w:hint="eastAsia" w:ascii="仿宋" w:hAnsi="仿宋" w:cs="仿宋"/>
          <w:sz w:val="18"/>
          <w:szCs w:val="18"/>
          <w:highlight w:val="none"/>
        </w:rPr>
        <w:t>、表中价格为单价，实际费用以实际发生的时长或里程数为准，单价有优惠请说明。</w:t>
      </w:r>
    </w:p>
    <w:p>
      <w:pPr>
        <w:spacing w:line="240" w:lineRule="auto"/>
        <w:rPr>
          <w:rFonts w:ascii="仿宋" w:hAnsi="仿宋" w:eastAsia="仿宋" w:cs="仿宋"/>
          <w:sz w:val="18"/>
          <w:szCs w:val="18"/>
          <w:highlight w:val="none"/>
        </w:rPr>
      </w:pPr>
      <w:r>
        <w:rPr>
          <w:rFonts w:hint="eastAsia" w:ascii="仿宋" w:hAnsi="仿宋" w:eastAsia="仿宋" w:cs="仿宋"/>
          <w:sz w:val="18"/>
          <w:szCs w:val="18"/>
          <w:highlight w:val="none"/>
        </w:rPr>
        <w:t>投标人：（盖章）</w:t>
      </w:r>
    </w:p>
    <w:p>
      <w:pPr>
        <w:spacing w:line="240" w:lineRule="auto"/>
        <w:rPr>
          <w:rFonts w:ascii="仿宋" w:hAnsi="仿宋" w:eastAsia="仿宋" w:cs="仿宋"/>
          <w:sz w:val="18"/>
          <w:szCs w:val="18"/>
          <w:highlight w:val="none"/>
        </w:rPr>
      </w:pPr>
      <w:r>
        <w:rPr>
          <w:rFonts w:hint="eastAsia" w:ascii="仿宋" w:hAnsi="仿宋" w:eastAsia="仿宋" w:cs="仿宋"/>
          <w:sz w:val="18"/>
          <w:szCs w:val="18"/>
          <w:highlight w:val="none"/>
        </w:rPr>
        <w:t>法定代表人（委托代理人）：（签字）</w:t>
      </w:r>
    </w:p>
    <w:p>
      <w:pPr>
        <w:spacing w:line="240" w:lineRule="auto"/>
        <w:rPr>
          <w:rFonts w:ascii="仿宋" w:hAnsi="仿宋" w:eastAsia="仿宋" w:cs="仿宋"/>
          <w:sz w:val="18"/>
          <w:szCs w:val="18"/>
          <w:highlight w:val="none"/>
        </w:rPr>
      </w:pPr>
    </w:p>
    <w:p>
      <w:pPr>
        <w:rPr>
          <w:rFonts w:ascii="仿宋" w:hAnsi="仿宋" w:eastAsia="仿宋" w:cs="仿宋"/>
          <w:sz w:val="24"/>
          <w:szCs w:val="24"/>
          <w:highlight w:val="none"/>
        </w:rPr>
      </w:pPr>
      <w:r>
        <w:rPr>
          <w:rFonts w:hint="eastAsia" w:ascii="仿宋" w:hAnsi="仿宋" w:eastAsia="仿宋" w:cs="仿宋"/>
          <w:sz w:val="18"/>
          <w:szCs w:val="18"/>
          <w:highlight w:val="none"/>
        </w:rPr>
        <w:t>日  期：</w:t>
      </w:r>
      <w:r>
        <w:rPr>
          <w:rFonts w:hint="eastAsia" w:ascii="仿宋" w:hAnsi="仿宋" w:eastAsia="仿宋" w:cs="仿宋"/>
          <w:kern w:val="0"/>
          <w:sz w:val="18"/>
          <w:szCs w:val="13"/>
          <w:highlight w:val="none"/>
        </w:rPr>
        <w:t xml:space="preserve">       </w:t>
      </w:r>
      <w:r>
        <w:rPr>
          <w:rFonts w:hint="eastAsia" w:ascii="仿宋" w:hAnsi="仿宋" w:eastAsia="仿宋" w:cs="仿宋"/>
          <w:sz w:val="18"/>
          <w:szCs w:val="18"/>
          <w:highlight w:val="none"/>
        </w:rPr>
        <w:t>年</w:t>
      </w:r>
      <w:r>
        <w:rPr>
          <w:rFonts w:hint="eastAsia" w:ascii="仿宋" w:hAnsi="仿宋" w:eastAsia="仿宋" w:cs="仿宋"/>
          <w:kern w:val="0"/>
          <w:sz w:val="18"/>
          <w:szCs w:val="13"/>
          <w:highlight w:val="none"/>
        </w:rPr>
        <w:t xml:space="preserve">    </w:t>
      </w:r>
      <w:r>
        <w:rPr>
          <w:rFonts w:hint="eastAsia" w:ascii="仿宋" w:hAnsi="仿宋" w:eastAsia="仿宋" w:cs="仿宋"/>
          <w:sz w:val="18"/>
          <w:szCs w:val="18"/>
          <w:highlight w:val="none"/>
        </w:rPr>
        <w:t>月</w:t>
      </w:r>
      <w:r>
        <w:rPr>
          <w:rFonts w:hint="eastAsia" w:ascii="仿宋" w:hAnsi="仿宋" w:eastAsia="仿宋" w:cs="仿宋"/>
          <w:kern w:val="0"/>
          <w:sz w:val="18"/>
          <w:szCs w:val="13"/>
          <w:highlight w:val="none"/>
        </w:rPr>
        <w:t xml:space="preserve">    </w:t>
      </w:r>
      <w:r>
        <w:rPr>
          <w:rFonts w:hint="eastAsia" w:ascii="仿宋" w:hAnsi="仿宋" w:eastAsia="仿宋" w:cs="仿宋"/>
          <w:sz w:val="18"/>
          <w:szCs w:val="18"/>
          <w:highlight w:val="none"/>
        </w:rPr>
        <w:t>日</w:t>
      </w:r>
    </w:p>
    <w:p>
      <w:pPr>
        <w:pStyle w:val="2"/>
        <w:rPr>
          <w:rFonts w:ascii="仿宋" w:hAnsi="仿宋" w:eastAsia="仿宋" w:cs="仿宋"/>
          <w:sz w:val="24"/>
          <w:szCs w:val="24"/>
          <w:highlight w:val="none"/>
        </w:rPr>
        <w:sectPr>
          <w:pgSz w:w="11906" w:h="16838"/>
          <w:pgMar w:top="1588" w:right="1418" w:bottom="1134" w:left="1418" w:header="851" w:footer="992" w:gutter="0"/>
          <w:pgNumType w:fmt="numberInDash"/>
          <w:cols w:space="720" w:num="1"/>
          <w:titlePg/>
          <w:docGrid w:type="lines" w:linePitch="312" w:charSpace="0"/>
        </w:sectPr>
      </w:pPr>
    </w:p>
    <w:p>
      <w:pPr>
        <w:pStyle w:val="50"/>
        <w:rPr>
          <w:color w:val="auto"/>
          <w:highlight w:val="none"/>
        </w:rPr>
      </w:pPr>
      <w:bookmarkStart w:id="29" w:name="_Toc12513"/>
      <w:r>
        <w:rPr>
          <w:rFonts w:hint="eastAsia"/>
          <w:color w:val="auto"/>
          <w:highlight w:val="none"/>
        </w:rPr>
        <w:t>附件</w:t>
      </w:r>
      <w:r>
        <w:rPr>
          <w:color w:val="auto"/>
          <w:highlight w:val="none"/>
        </w:rPr>
        <w:t>8</w:t>
      </w:r>
      <w:r>
        <w:rPr>
          <w:rFonts w:hint="eastAsia"/>
          <w:color w:val="auto"/>
          <w:highlight w:val="none"/>
        </w:rPr>
        <w:t>商务条款偏离表</w:t>
      </w:r>
      <w:bookmarkEnd w:id="29"/>
    </w:p>
    <w:p>
      <w:pPr>
        <w:pStyle w:val="54"/>
        <w:rPr>
          <w:rFonts w:hint="eastAsia" w:eastAsia="仿宋"/>
          <w:highlight w:val="none"/>
          <w:lang w:eastAsia="zh-CN"/>
        </w:rPr>
      </w:pPr>
      <w:r>
        <w:rPr>
          <w:rFonts w:hint="eastAsia"/>
          <w:highlight w:val="none"/>
        </w:rPr>
        <w:t>项目名称：</w:t>
      </w:r>
      <w:r>
        <w:rPr>
          <w:rFonts w:hint="eastAsia"/>
          <w:highlight w:val="none"/>
          <w:lang w:eastAsia="zh-CN"/>
        </w:rPr>
        <w:t>整车性能及可靠性试验场地技术服务项目</w:t>
      </w:r>
    </w:p>
    <w:tbl>
      <w:tblPr>
        <w:tblStyle w:val="32"/>
        <w:tblW w:w="90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51"/>
        <w:gridCol w:w="3135"/>
        <w:gridCol w:w="2625"/>
        <w:gridCol w:w="16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84"/>
              <w:rPr>
                <w:highlight w:val="none"/>
              </w:rPr>
            </w:pPr>
            <w:r>
              <w:rPr>
                <w:rFonts w:hint="eastAsia" w:ascii="宋体" w:hAnsi="宋体" w:eastAsia="宋体" w:cs="宋体"/>
                <w:highlight w:val="none"/>
              </w:rPr>
              <w:t>项目</w:t>
            </w:r>
          </w:p>
        </w:tc>
        <w:tc>
          <w:tcPr>
            <w:tcW w:w="3135" w:type="dxa"/>
            <w:tcBorders>
              <w:top w:val="single" w:color="auto" w:sz="4" w:space="0"/>
              <w:left w:val="single" w:color="auto" w:sz="4" w:space="0"/>
              <w:bottom w:val="single" w:color="auto" w:sz="4" w:space="0"/>
              <w:right w:val="single" w:color="auto" w:sz="4" w:space="0"/>
            </w:tcBorders>
            <w:vAlign w:val="center"/>
          </w:tcPr>
          <w:p>
            <w:pPr>
              <w:pStyle w:val="84"/>
              <w:rPr>
                <w:highlight w:val="none"/>
              </w:rPr>
            </w:pPr>
            <w:r>
              <w:rPr>
                <w:rFonts w:hint="eastAsia" w:ascii="宋体" w:hAnsi="宋体" w:eastAsia="宋体" w:cs="宋体"/>
                <w:highlight w:val="none"/>
              </w:rPr>
              <w:t>招标文件要求</w:t>
            </w:r>
          </w:p>
        </w:tc>
        <w:tc>
          <w:tcPr>
            <w:tcW w:w="2625" w:type="dxa"/>
            <w:tcBorders>
              <w:top w:val="single" w:color="auto" w:sz="4" w:space="0"/>
              <w:left w:val="single" w:color="auto" w:sz="4" w:space="0"/>
              <w:bottom w:val="single" w:color="auto" w:sz="4" w:space="0"/>
              <w:right w:val="single" w:color="auto" w:sz="4" w:space="0"/>
            </w:tcBorders>
            <w:vAlign w:val="center"/>
          </w:tcPr>
          <w:p>
            <w:pPr>
              <w:pStyle w:val="84"/>
              <w:rPr>
                <w:highlight w:val="none"/>
              </w:rPr>
            </w:pPr>
            <w:r>
              <w:rPr>
                <w:rFonts w:hint="eastAsia" w:ascii="宋体" w:hAnsi="宋体" w:eastAsia="宋体" w:cs="宋体"/>
                <w:highlight w:val="none"/>
              </w:rPr>
              <w:t>响应规格</w:t>
            </w:r>
          </w:p>
        </w:tc>
        <w:tc>
          <w:tcPr>
            <w:tcW w:w="1645" w:type="dxa"/>
            <w:tcBorders>
              <w:top w:val="single" w:color="auto" w:sz="4" w:space="0"/>
              <w:left w:val="single" w:color="auto" w:sz="4" w:space="0"/>
              <w:bottom w:val="single" w:color="auto" w:sz="4" w:space="0"/>
              <w:right w:val="single" w:color="auto" w:sz="4" w:space="0"/>
            </w:tcBorders>
            <w:vAlign w:val="center"/>
          </w:tcPr>
          <w:p>
            <w:pPr>
              <w:pStyle w:val="84"/>
              <w:rPr>
                <w:highlight w:val="none"/>
              </w:rPr>
            </w:pPr>
            <w:r>
              <w:rPr>
                <w:rFonts w:hint="eastAsia" w:ascii="宋体" w:hAnsi="宋体" w:eastAsia="宋体" w:cs="宋体"/>
                <w:highlight w:val="none"/>
              </w:rPr>
              <w:t>是否偏离</w:t>
            </w:r>
          </w:p>
          <w:p>
            <w:pPr>
              <w:pStyle w:val="84"/>
              <w:rPr>
                <w:highlight w:val="none"/>
              </w:rPr>
            </w:pPr>
            <w:r>
              <w:rPr>
                <w:rFonts w:hint="eastAsia" w:ascii="宋体" w:hAnsi="宋体" w:eastAsia="宋体" w:cs="宋体"/>
                <w:highlight w:val="none"/>
              </w:rPr>
              <w:t>（提供说明）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84"/>
              <w:rPr>
                <w:rFonts w:ascii="仿宋" w:hAnsi="仿宋" w:cs="仿宋"/>
                <w:b w:val="0"/>
                <w:bCs/>
                <w:sz w:val="24"/>
                <w:szCs w:val="24"/>
                <w:highlight w:val="none"/>
              </w:rPr>
            </w:pPr>
            <w:r>
              <w:rPr>
                <w:rFonts w:hint="eastAsia" w:ascii="仿宋" w:hAnsi="仿宋" w:cs="仿宋"/>
                <w:b w:val="0"/>
                <w:bCs/>
                <w:sz w:val="24"/>
                <w:szCs w:val="24"/>
                <w:highlight w:val="none"/>
              </w:rPr>
              <w:t>交货时间</w:t>
            </w:r>
          </w:p>
        </w:tc>
        <w:tc>
          <w:tcPr>
            <w:tcW w:w="3135" w:type="dxa"/>
            <w:tcBorders>
              <w:top w:val="single" w:color="auto" w:sz="4" w:space="0"/>
              <w:left w:val="single" w:color="auto" w:sz="4" w:space="0"/>
              <w:bottom w:val="single" w:color="auto" w:sz="4" w:space="0"/>
              <w:right w:val="single" w:color="auto" w:sz="4" w:space="0"/>
            </w:tcBorders>
            <w:vAlign w:val="center"/>
          </w:tcPr>
          <w:p>
            <w:pPr>
              <w:pStyle w:val="84"/>
              <w:rPr>
                <w:rFonts w:ascii="仿宋" w:hAnsi="仿宋" w:cs="仿宋"/>
                <w:b w:val="0"/>
                <w:bCs/>
                <w:sz w:val="24"/>
                <w:szCs w:val="24"/>
                <w:highlight w:val="none"/>
              </w:rPr>
            </w:pPr>
            <w:r>
              <w:rPr>
                <w:rFonts w:hint="eastAsia" w:ascii="仿宋" w:hAnsi="仿宋" w:cs="仿宋"/>
                <w:b w:val="0"/>
                <w:bCs/>
                <w:sz w:val="24"/>
                <w:szCs w:val="24"/>
                <w:highlight w:val="none"/>
              </w:rPr>
              <w:t>合同签订后，可根据乙方使用需要提供响应场地租赁及维修等服务。</w:t>
            </w:r>
          </w:p>
        </w:tc>
        <w:tc>
          <w:tcPr>
            <w:tcW w:w="2625" w:type="dxa"/>
            <w:tcBorders>
              <w:top w:val="single" w:color="auto" w:sz="4" w:space="0"/>
              <w:left w:val="single" w:color="auto" w:sz="4" w:space="0"/>
              <w:bottom w:val="single" w:color="auto" w:sz="4" w:space="0"/>
              <w:right w:val="single" w:color="auto" w:sz="4" w:space="0"/>
            </w:tcBorders>
            <w:vAlign w:val="center"/>
          </w:tcPr>
          <w:p>
            <w:pPr>
              <w:pStyle w:val="84"/>
              <w:rPr>
                <w:rFonts w:ascii="仿宋" w:hAnsi="仿宋" w:cs="仿宋"/>
                <w:b w:val="0"/>
                <w:bCs/>
                <w:sz w:val="24"/>
                <w:szCs w:val="24"/>
                <w:highlight w:val="none"/>
              </w:rPr>
            </w:pPr>
          </w:p>
        </w:tc>
        <w:tc>
          <w:tcPr>
            <w:tcW w:w="1645" w:type="dxa"/>
            <w:tcBorders>
              <w:top w:val="single" w:color="auto" w:sz="4" w:space="0"/>
              <w:left w:val="single" w:color="auto" w:sz="4" w:space="0"/>
              <w:bottom w:val="single" w:color="auto" w:sz="4" w:space="0"/>
              <w:right w:val="single" w:color="auto" w:sz="4" w:space="0"/>
            </w:tcBorders>
            <w:vAlign w:val="center"/>
          </w:tcPr>
          <w:p>
            <w:pPr>
              <w:pStyle w:val="84"/>
              <w:rPr>
                <w:rFonts w:ascii="仿宋" w:hAnsi="仿宋" w:cs="仿宋"/>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3"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84"/>
              <w:rPr>
                <w:rFonts w:ascii="仿宋" w:hAnsi="仿宋" w:cs="仿宋"/>
                <w:b w:val="0"/>
                <w:bCs/>
                <w:sz w:val="24"/>
                <w:szCs w:val="24"/>
                <w:highlight w:val="none"/>
              </w:rPr>
            </w:pPr>
            <w:r>
              <w:rPr>
                <w:rFonts w:hint="eastAsia" w:ascii="仿宋" w:hAnsi="仿宋" w:cs="仿宋"/>
                <w:b w:val="0"/>
                <w:bCs/>
                <w:sz w:val="24"/>
                <w:szCs w:val="24"/>
                <w:highlight w:val="none"/>
              </w:rPr>
              <w:t>付款条件</w:t>
            </w:r>
          </w:p>
        </w:tc>
        <w:tc>
          <w:tcPr>
            <w:tcW w:w="3135" w:type="dxa"/>
            <w:tcBorders>
              <w:top w:val="single" w:color="auto" w:sz="4" w:space="0"/>
              <w:left w:val="single" w:color="auto" w:sz="4" w:space="0"/>
              <w:bottom w:val="single" w:color="auto" w:sz="4" w:space="0"/>
              <w:right w:val="single" w:color="auto" w:sz="4" w:space="0"/>
            </w:tcBorders>
          </w:tcPr>
          <w:p>
            <w:pPr>
              <w:pStyle w:val="84"/>
              <w:rPr>
                <w:rFonts w:ascii="仿宋" w:hAnsi="仿宋" w:cs="仿宋"/>
                <w:b w:val="0"/>
                <w:bCs/>
                <w:sz w:val="24"/>
                <w:szCs w:val="24"/>
                <w:highlight w:val="none"/>
              </w:rPr>
            </w:pPr>
            <w:r>
              <w:rPr>
                <w:rFonts w:hint="eastAsia" w:ascii="仿宋" w:hAnsi="仿宋" w:cs="仿宋"/>
                <w:b w:val="0"/>
                <w:bCs/>
                <w:sz w:val="24"/>
                <w:szCs w:val="24"/>
                <w:highlight w:val="none"/>
              </w:rPr>
              <w:t>乙方每月度汇总场地租用等费用通知单，甲方对费用进行确认；</w:t>
            </w:r>
          </w:p>
          <w:p>
            <w:pPr>
              <w:pStyle w:val="84"/>
              <w:rPr>
                <w:rFonts w:ascii="仿宋" w:hAnsi="仿宋" w:cs="仿宋"/>
                <w:b w:val="0"/>
                <w:bCs/>
                <w:sz w:val="24"/>
                <w:szCs w:val="24"/>
                <w:highlight w:val="none"/>
              </w:rPr>
            </w:pPr>
            <w:r>
              <w:rPr>
                <w:rFonts w:hint="eastAsia" w:ascii="仿宋" w:hAnsi="仿宋" w:cs="仿宋"/>
                <w:b w:val="0"/>
                <w:bCs/>
                <w:sz w:val="24"/>
                <w:szCs w:val="24"/>
                <w:highlight w:val="none"/>
              </w:rPr>
              <w:t>每季度结算；</w:t>
            </w:r>
          </w:p>
          <w:p>
            <w:pPr>
              <w:pStyle w:val="84"/>
              <w:rPr>
                <w:rFonts w:ascii="仿宋" w:hAnsi="仿宋" w:cs="仿宋"/>
                <w:b w:val="0"/>
                <w:bCs/>
                <w:sz w:val="24"/>
                <w:szCs w:val="24"/>
                <w:highlight w:val="none"/>
              </w:rPr>
            </w:pPr>
            <w:r>
              <w:rPr>
                <w:rFonts w:hint="eastAsia" w:ascii="仿宋" w:hAnsi="仿宋" w:cs="仿宋"/>
                <w:b w:val="0"/>
                <w:bCs/>
                <w:sz w:val="24"/>
                <w:szCs w:val="24"/>
                <w:highlight w:val="none"/>
              </w:rPr>
              <w:t>乙方在甲方费用通知单确认后5个工作日开具全额增值税专用发票，甲方在收到乙方发票30日内一次性支付。</w:t>
            </w:r>
          </w:p>
        </w:tc>
        <w:tc>
          <w:tcPr>
            <w:tcW w:w="2625" w:type="dxa"/>
            <w:tcBorders>
              <w:top w:val="single" w:color="auto" w:sz="4" w:space="0"/>
              <w:left w:val="single" w:color="auto" w:sz="4" w:space="0"/>
              <w:bottom w:val="single" w:color="auto" w:sz="4" w:space="0"/>
              <w:right w:val="single" w:color="auto" w:sz="4" w:space="0"/>
            </w:tcBorders>
            <w:vAlign w:val="center"/>
          </w:tcPr>
          <w:p>
            <w:pPr>
              <w:pStyle w:val="84"/>
              <w:rPr>
                <w:rFonts w:ascii="仿宋" w:hAnsi="仿宋" w:cs="仿宋"/>
                <w:b w:val="0"/>
                <w:bCs/>
                <w:sz w:val="24"/>
                <w:szCs w:val="24"/>
                <w:highlight w:val="none"/>
              </w:rPr>
            </w:pPr>
          </w:p>
        </w:tc>
        <w:tc>
          <w:tcPr>
            <w:tcW w:w="1645" w:type="dxa"/>
            <w:tcBorders>
              <w:top w:val="single" w:color="auto" w:sz="4" w:space="0"/>
              <w:left w:val="single" w:color="auto" w:sz="4" w:space="0"/>
              <w:bottom w:val="single" w:color="auto" w:sz="4" w:space="0"/>
              <w:right w:val="single" w:color="auto" w:sz="4" w:space="0"/>
            </w:tcBorders>
            <w:vAlign w:val="center"/>
          </w:tcPr>
          <w:p>
            <w:pPr>
              <w:pStyle w:val="84"/>
              <w:rPr>
                <w:rFonts w:ascii="仿宋" w:hAnsi="仿宋" w:cs="仿宋"/>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9"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84"/>
              <w:rPr>
                <w:rFonts w:ascii="仿宋" w:hAnsi="仿宋" w:cs="仿宋"/>
                <w:b w:val="0"/>
                <w:bCs/>
                <w:sz w:val="24"/>
                <w:szCs w:val="24"/>
                <w:highlight w:val="none"/>
              </w:rPr>
            </w:pPr>
            <w:r>
              <w:rPr>
                <w:rFonts w:hint="eastAsia" w:ascii="仿宋" w:hAnsi="仿宋" w:cs="仿宋"/>
                <w:b w:val="0"/>
                <w:bCs/>
                <w:sz w:val="24"/>
                <w:szCs w:val="24"/>
                <w:highlight w:val="none"/>
              </w:rPr>
              <w:t>交货方式及其他技术服务要求</w:t>
            </w:r>
          </w:p>
        </w:tc>
        <w:tc>
          <w:tcPr>
            <w:tcW w:w="3135" w:type="dxa"/>
            <w:tcBorders>
              <w:top w:val="single" w:color="auto" w:sz="4" w:space="0"/>
              <w:left w:val="single" w:color="auto" w:sz="4" w:space="0"/>
              <w:bottom w:val="single" w:color="auto" w:sz="4" w:space="0"/>
              <w:right w:val="single" w:color="auto" w:sz="4" w:space="0"/>
            </w:tcBorders>
            <w:vAlign w:val="center"/>
          </w:tcPr>
          <w:p>
            <w:pPr>
              <w:pStyle w:val="84"/>
              <w:rPr>
                <w:rFonts w:ascii="仿宋" w:hAnsi="仿宋" w:cs="仿宋"/>
                <w:b w:val="0"/>
                <w:bCs/>
                <w:sz w:val="24"/>
                <w:szCs w:val="24"/>
                <w:highlight w:val="none"/>
              </w:rPr>
            </w:pPr>
            <w:r>
              <w:rPr>
                <w:rFonts w:hint="eastAsia" w:ascii="仿宋" w:hAnsi="仿宋" w:cs="仿宋"/>
                <w:b w:val="0"/>
                <w:bCs/>
                <w:sz w:val="24"/>
                <w:szCs w:val="24"/>
                <w:highlight w:val="none"/>
              </w:rPr>
              <w:t>根据乙方使用需要，优先提供场地租赁及维修等服务。</w:t>
            </w:r>
          </w:p>
        </w:tc>
        <w:tc>
          <w:tcPr>
            <w:tcW w:w="2625" w:type="dxa"/>
            <w:tcBorders>
              <w:top w:val="single" w:color="auto" w:sz="4" w:space="0"/>
              <w:left w:val="single" w:color="auto" w:sz="4" w:space="0"/>
              <w:bottom w:val="single" w:color="auto" w:sz="4" w:space="0"/>
              <w:right w:val="single" w:color="auto" w:sz="4" w:space="0"/>
            </w:tcBorders>
            <w:vAlign w:val="center"/>
          </w:tcPr>
          <w:p>
            <w:pPr>
              <w:pStyle w:val="84"/>
              <w:rPr>
                <w:rFonts w:ascii="仿宋" w:hAnsi="仿宋" w:cs="仿宋"/>
                <w:b w:val="0"/>
                <w:bCs/>
                <w:sz w:val="24"/>
                <w:szCs w:val="24"/>
                <w:highlight w:val="none"/>
              </w:rPr>
            </w:pPr>
          </w:p>
        </w:tc>
        <w:tc>
          <w:tcPr>
            <w:tcW w:w="1645" w:type="dxa"/>
            <w:tcBorders>
              <w:top w:val="single" w:color="auto" w:sz="4" w:space="0"/>
              <w:left w:val="single" w:color="auto" w:sz="4" w:space="0"/>
              <w:bottom w:val="single" w:color="auto" w:sz="4" w:space="0"/>
              <w:right w:val="single" w:color="auto" w:sz="4" w:space="0"/>
            </w:tcBorders>
            <w:vAlign w:val="center"/>
          </w:tcPr>
          <w:p>
            <w:pPr>
              <w:pStyle w:val="84"/>
              <w:rPr>
                <w:rFonts w:ascii="仿宋" w:hAnsi="仿宋" w:cs="仿宋"/>
                <w:b w:val="0"/>
                <w:bCs/>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651" w:type="dxa"/>
            <w:tcBorders>
              <w:top w:val="single" w:color="auto" w:sz="4" w:space="0"/>
              <w:left w:val="single" w:color="auto" w:sz="4" w:space="0"/>
              <w:bottom w:val="single" w:color="auto" w:sz="4" w:space="0"/>
              <w:right w:val="single" w:color="auto" w:sz="4" w:space="0"/>
            </w:tcBorders>
            <w:vAlign w:val="center"/>
          </w:tcPr>
          <w:p>
            <w:pPr>
              <w:pStyle w:val="84"/>
              <w:rPr>
                <w:rFonts w:ascii="仿宋" w:hAnsi="仿宋" w:cs="仿宋"/>
                <w:b w:val="0"/>
                <w:bCs/>
                <w:sz w:val="24"/>
                <w:szCs w:val="24"/>
                <w:highlight w:val="none"/>
              </w:rPr>
            </w:pPr>
          </w:p>
        </w:tc>
        <w:tc>
          <w:tcPr>
            <w:tcW w:w="3135" w:type="dxa"/>
            <w:tcBorders>
              <w:top w:val="single" w:color="auto" w:sz="4" w:space="0"/>
              <w:left w:val="single" w:color="auto" w:sz="4" w:space="0"/>
              <w:bottom w:val="single" w:color="auto" w:sz="4" w:space="0"/>
              <w:right w:val="single" w:color="auto" w:sz="4" w:space="0"/>
            </w:tcBorders>
            <w:vAlign w:val="center"/>
          </w:tcPr>
          <w:p>
            <w:pPr>
              <w:pStyle w:val="84"/>
              <w:rPr>
                <w:rFonts w:ascii="仿宋" w:hAnsi="仿宋" w:cs="仿宋"/>
                <w:b w:val="0"/>
                <w:bCs/>
                <w:sz w:val="24"/>
                <w:szCs w:val="24"/>
                <w:highlight w:val="none"/>
              </w:rPr>
            </w:pPr>
          </w:p>
        </w:tc>
        <w:tc>
          <w:tcPr>
            <w:tcW w:w="2625" w:type="dxa"/>
            <w:tcBorders>
              <w:top w:val="single" w:color="auto" w:sz="4" w:space="0"/>
              <w:left w:val="single" w:color="auto" w:sz="4" w:space="0"/>
              <w:bottom w:val="single" w:color="auto" w:sz="4" w:space="0"/>
              <w:right w:val="single" w:color="auto" w:sz="4" w:space="0"/>
            </w:tcBorders>
            <w:vAlign w:val="center"/>
          </w:tcPr>
          <w:p>
            <w:pPr>
              <w:pStyle w:val="84"/>
              <w:rPr>
                <w:rFonts w:ascii="仿宋" w:hAnsi="仿宋" w:cs="仿宋"/>
                <w:b w:val="0"/>
                <w:bCs/>
                <w:sz w:val="24"/>
                <w:szCs w:val="24"/>
                <w:highlight w:val="none"/>
              </w:rPr>
            </w:pPr>
          </w:p>
        </w:tc>
        <w:tc>
          <w:tcPr>
            <w:tcW w:w="1645" w:type="dxa"/>
            <w:tcBorders>
              <w:top w:val="single" w:color="auto" w:sz="4" w:space="0"/>
              <w:left w:val="single" w:color="auto" w:sz="4" w:space="0"/>
              <w:bottom w:val="single" w:color="auto" w:sz="4" w:space="0"/>
              <w:right w:val="single" w:color="auto" w:sz="4" w:space="0"/>
            </w:tcBorders>
            <w:vAlign w:val="center"/>
          </w:tcPr>
          <w:p>
            <w:pPr>
              <w:pStyle w:val="84"/>
              <w:rPr>
                <w:rFonts w:ascii="仿宋" w:hAnsi="仿宋" w:cs="仿宋"/>
                <w:b w:val="0"/>
                <w:bCs/>
                <w:sz w:val="24"/>
                <w:szCs w:val="24"/>
                <w:highlight w:val="none"/>
              </w:rPr>
            </w:pPr>
          </w:p>
        </w:tc>
      </w:tr>
    </w:tbl>
    <w:p>
      <w:pPr>
        <w:pStyle w:val="54"/>
        <w:rPr>
          <w:rFonts w:ascii="仿宋" w:hAnsi="仿宋" w:cs="仿宋"/>
          <w:highlight w:val="none"/>
        </w:rPr>
      </w:pPr>
      <w:r>
        <w:rPr>
          <w:rFonts w:hint="eastAsia" w:ascii="仿宋" w:hAnsi="仿宋" w:cs="仿宋"/>
          <w:highlight w:val="none"/>
        </w:rPr>
        <w:t>注：为避免歧义，无偏离也应要提报该表，并注明“无”字。如无该表则即使</w:t>
      </w:r>
      <w:r>
        <w:rPr>
          <w:rFonts w:hint="eastAsia" w:ascii="仿宋" w:hAnsi="仿宋" w:cs="仿宋"/>
          <w:highlight w:val="none"/>
          <w:lang w:eastAsia="zh-CN"/>
        </w:rPr>
        <w:t>在其他</w:t>
      </w:r>
      <w:r>
        <w:rPr>
          <w:rFonts w:hint="eastAsia" w:ascii="仿宋" w:hAnsi="仿宋" w:cs="仿宋"/>
          <w:highlight w:val="none"/>
        </w:rPr>
        <w:t>部分已</w:t>
      </w:r>
      <w:r>
        <w:rPr>
          <w:rFonts w:hint="eastAsia" w:ascii="仿宋" w:hAnsi="仿宋" w:cs="仿宋"/>
          <w:highlight w:val="none"/>
          <w:lang w:eastAsia="zh-CN"/>
        </w:rPr>
        <w:t>反应</w:t>
      </w:r>
      <w:r>
        <w:rPr>
          <w:rFonts w:hint="eastAsia" w:ascii="仿宋" w:hAnsi="仿宋" w:cs="仿宋"/>
          <w:highlight w:val="none"/>
        </w:rPr>
        <w:t>，将也被视为“无偏离”。</w:t>
      </w:r>
    </w:p>
    <w:p>
      <w:pPr>
        <w:spacing w:line="660" w:lineRule="exact"/>
        <w:rPr>
          <w:rFonts w:ascii="仿宋" w:hAnsi="仿宋" w:eastAsia="仿宋" w:cs="仿宋"/>
          <w:sz w:val="24"/>
          <w:szCs w:val="24"/>
          <w:highlight w:val="none"/>
        </w:rPr>
      </w:pPr>
      <w:r>
        <w:rPr>
          <w:rFonts w:hint="eastAsia" w:ascii="仿宋" w:hAnsi="仿宋" w:eastAsia="仿宋" w:cs="仿宋"/>
          <w:sz w:val="24"/>
          <w:szCs w:val="24"/>
          <w:highlight w:val="none"/>
        </w:rPr>
        <w:t>投标人：（盖章）</w:t>
      </w:r>
    </w:p>
    <w:p>
      <w:pPr>
        <w:spacing w:line="660" w:lineRule="exact"/>
        <w:rPr>
          <w:rFonts w:ascii="仿宋" w:hAnsi="仿宋" w:eastAsia="仿宋" w:cs="仿宋"/>
          <w:sz w:val="24"/>
          <w:szCs w:val="24"/>
          <w:highlight w:val="none"/>
        </w:rPr>
      </w:pPr>
      <w:r>
        <w:rPr>
          <w:rFonts w:hint="eastAsia" w:ascii="仿宋" w:hAnsi="仿宋" w:eastAsia="仿宋" w:cs="仿宋"/>
          <w:sz w:val="24"/>
          <w:szCs w:val="24"/>
          <w:highlight w:val="none"/>
        </w:rPr>
        <w:t>法定代表人（委托代理人）：（签字）</w:t>
      </w:r>
    </w:p>
    <w:p>
      <w:pPr>
        <w:spacing w:line="660" w:lineRule="exact"/>
        <w:rPr>
          <w:rFonts w:ascii="仿宋" w:hAnsi="仿宋" w:eastAsia="仿宋" w:cs="仿宋"/>
          <w:sz w:val="24"/>
          <w:szCs w:val="24"/>
          <w:highlight w:val="none"/>
        </w:rPr>
      </w:pPr>
    </w:p>
    <w:p>
      <w:pPr>
        <w:rPr>
          <w:rFonts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kern w:val="0"/>
          <w:sz w:val="24"/>
          <w:highlight w:val="none"/>
        </w:rPr>
        <w:t xml:space="preserve">       </w:t>
      </w:r>
      <w:r>
        <w:rPr>
          <w:rFonts w:hint="eastAsia" w:ascii="仿宋" w:hAnsi="仿宋" w:eastAsia="仿宋" w:cs="仿宋"/>
          <w:sz w:val="24"/>
          <w:szCs w:val="24"/>
          <w:highlight w:val="none"/>
        </w:rPr>
        <w:t>年</w:t>
      </w:r>
      <w:r>
        <w:rPr>
          <w:rFonts w:hint="eastAsia" w:ascii="仿宋" w:hAnsi="仿宋" w:eastAsia="仿宋" w:cs="仿宋"/>
          <w:kern w:val="0"/>
          <w:sz w:val="24"/>
          <w:highlight w:val="none"/>
        </w:rPr>
        <w:t xml:space="preserve">    </w:t>
      </w:r>
      <w:r>
        <w:rPr>
          <w:rFonts w:hint="eastAsia" w:ascii="仿宋" w:hAnsi="仿宋" w:eastAsia="仿宋" w:cs="仿宋"/>
          <w:sz w:val="24"/>
          <w:szCs w:val="24"/>
          <w:highlight w:val="none"/>
        </w:rPr>
        <w:t>月</w:t>
      </w:r>
      <w:r>
        <w:rPr>
          <w:rFonts w:hint="eastAsia" w:ascii="仿宋" w:hAnsi="仿宋" w:eastAsia="仿宋" w:cs="仿宋"/>
          <w:kern w:val="0"/>
          <w:sz w:val="24"/>
          <w:highlight w:val="none"/>
        </w:rPr>
        <w:t xml:space="preserve">    </w:t>
      </w:r>
      <w:r>
        <w:rPr>
          <w:rFonts w:hint="eastAsia" w:ascii="仿宋" w:hAnsi="仿宋" w:eastAsia="仿宋" w:cs="仿宋"/>
          <w:sz w:val="24"/>
          <w:szCs w:val="24"/>
          <w:highlight w:val="none"/>
        </w:rPr>
        <w:t>日</w:t>
      </w:r>
    </w:p>
    <w:p>
      <w:pPr>
        <w:pStyle w:val="2"/>
        <w:rPr>
          <w:rFonts w:ascii="仿宋" w:hAnsi="仿宋" w:eastAsia="仿宋" w:cs="仿宋"/>
          <w:sz w:val="24"/>
          <w:szCs w:val="24"/>
          <w:highlight w:val="none"/>
        </w:rPr>
      </w:pPr>
    </w:p>
    <w:p>
      <w:pPr>
        <w:pStyle w:val="2"/>
        <w:rPr>
          <w:rFonts w:ascii="仿宋" w:hAnsi="仿宋" w:eastAsia="仿宋" w:cs="仿宋"/>
          <w:sz w:val="24"/>
          <w:szCs w:val="24"/>
          <w:highlight w:val="none"/>
        </w:rPr>
      </w:pPr>
    </w:p>
    <w:p>
      <w:pPr>
        <w:widowControl/>
        <w:jc w:val="left"/>
        <w:rPr>
          <w:rFonts w:ascii="仿宋" w:hAnsi="仿宋" w:eastAsia="仿宋" w:cs="仿宋"/>
          <w:sz w:val="24"/>
          <w:szCs w:val="24"/>
          <w:highlight w:val="none"/>
        </w:rPr>
      </w:pPr>
      <w:r>
        <w:rPr>
          <w:rFonts w:ascii="仿宋" w:hAnsi="仿宋" w:eastAsia="仿宋" w:cs="仿宋"/>
          <w:sz w:val="24"/>
          <w:szCs w:val="24"/>
          <w:highlight w:val="none"/>
        </w:rPr>
        <w:br w:type="page"/>
      </w:r>
    </w:p>
    <w:p>
      <w:pPr>
        <w:pStyle w:val="2"/>
        <w:rPr>
          <w:rFonts w:ascii="仿宋" w:hAnsi="仿宋" w:eastAsia="仿宋" w:cs="仿宋"/>
          <w:sz w:val="24"/>
          <w:szCs w:val="24"/>
          <w:highlight w:val="none"/>
        </w:rPr>
      </w:pPr>
    </w:p>
    <w:p>
      <w:pPr>
        <w:pStyle w:val="2"/>
        <w:rPr>
          <w:rFonts w:ascii="仿宋" w:hAnsi="仿宋" w:eastAsia="仿宋" w:cs="仿宋"/>
          <w:sz w:val="24"/>
          <w:szCs w:val="24"/>
          <w:highlight w:val="none"/>
        </w:rPr>
      </w:pPr>
    </w:p>
    <w:p>
      <w:pPr>
        <w:pStyle w:val="50"/>
        <w:rPr>
          <w:highlight w:val="none"/>
        </w:rPr>
      </w:pPr>
      <w:bookmarkStart w:id="30" w:name="_Toc24647"/>
      <w:r>
        <w:rPr>
          <w:rFonts w:hint="eastAsia"/>
          <w:highlight w:val="none"/>
        </w:rPr>
        <w:t>附件</w:t>
      </w:r>
      <w:bookmarkStart w:id="31" w:name="_Toc92678174"/>
      <w:bookmarkStart w:id="32" w:name="_Toc15535"/>
      <w:bookmarkStart w:id="33" w:name="_Toc353881023"/>
      <w:bookmarkStart w:id="34" w:name="_Toc212369556"/>
      <w:bookmarkStart w:id="35" w:name="_Toc639014"/>
      <w:r>
        <w:rPr>
          <w:rFonts w:hint="eastAsia"/>
          <w:highlight w:val="none"/>
        </w:rPr>
        <w:t>9投标文件封面及封口</w:t>
      </w:r>
      <w:bookmarkEnd w:id="31"/>
      <w:r>
        <w:rPr>
          <w:rFonts w:hint="eastAsia"/>
          <w:highlight w:val="none"/>
        </w:rPr>
        <w:t>格式</w:t>
      </w:r>
      <w:bookmarkEnd w:id="30"/>
      <w:bookmarkEnd w:id="32"/>
      <w:bookmarkEnd w:id="33"/>
      <w:bookmarkEnd w:id="34"/>
      <w:bookmarkEnd w:id="35"/>
    </w:p>
    <w:p>
      <w:pPr>
        <w:pStyle w:val="54"/>
        <w:rPr>
          <w:highlight w:val="none"/>
        </w:rPr>
      </w:pPr>
      <w:r>
        <w:rPr>
          <w:rFonts w:hint="eastAsia"/>
          <w:highlight w:val="none"/>
        </w:rPr>
        <w:t>封面格式：</w:t>
      </w:r>
    </w:p>
    <w:tbl>
      <w:tblPr>
        <w:tblStyle w:val="32"/>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9" w:hRule="atLeast"/>
        </w:trPr>
        <w:tc>
          <w:tcPr>
            <w:tcW w:w="8958" w:type="dxa"/>
          </w:tcPr>
          <w:p>
            <w:pPr>
              <w:pStyle w:val="84"/>
              <w:rPr>
                <w:highlight w:val="none"/>
              </w:rPr>
            </w:pPr>
          </w:p>
          <w:p>
            <w:pPr>
              <w:pStyle w:val="84"/>
              <w:rPr>
                <w:highlight w:val="none"/>
              </w:rPr>
            </w:pPr>
          </w:p>
          <w:p>
            <w:pPr>
              <w:pStyle w:val="84"/>
              <w:rPr>
                <w:rFonts w:hint="eastAsia" w:ascii="宋体" w:hAnsi="宋体" w:eastAsia="宋体" w:cs="宋体"/>
                <w:sz w:val="44"/>
                <w:szCs w:val="44"/>
                <w:highlight w:val="none"/>
              </w:rPr>
            </w:pPr>
            <w:r>
              <w:rPr>
                <w:rFonts w:hint="eastAsia" w:ascii="宋体" w:hAnsi="宋体" w:eastAsia="宋体" w:cs="宋体"/>
                <w:sz w:val="44"/>
                <w:szCs w:val="44"/>
                <w:highlight w:val="none"/>
              </w:rPr>
              <w:t>资质文件/技术文件/商务文件</w:t>
            </w:r>
          </w:p>
          <w:p>
            <w:pPr>
              <w:pStyle w:val="84"/>
              <w:rPr>
                <w:rFonts w:hint="eastAsia" w:ascii="宋体" w:hAnsi="宋体" w:eastAsia="宋体" w:cs="宋体"/>
                <w:sz w:val="30"/>
                <w:szCs w:val="30"/>
                <w:highlight w:val="none"/>
              </w:rPr>
            </w:pPr>
          </w:p>
          <w:p>
            <w:pPr>
              <w:pStyle w:val="84"/>
              <w:jc w:val="both"/>
              <w:rPr>
                <w:rFonts w:eastAsia="等线"/>
                <w:sz w:val="30"/>
                <w:szCs w:val="30"/>
                <w:highlight w:val="none"/>
              </w:rPr>
            </w:pPr>
          </w:p>
          <w:p>
            <w:pPr>
              <w:pStyle w:val="84"/>
              <w:rPr>
                <w:rFonts w:hint="eastAsia" w:ascii="宋体" w:hAnsi="宋体" w:eastAsia="宋体" w:cs="宋体"/>
                <w:sz w:val="30"/>
                <w:szCs w:val="30"/>
                <w:highlight w:val="none"/>
              </w:rPr>
            </w:pPr>
            <w:r>
              <w:rPr>
                <w:rFonts w:hint="eastAsia" w:ascii="宋体" w:hAnsi="宋体" w:eastAsia="宋体" w:cs="宋体"/>
                <w:sz w:val="30"/>
                <w:szCs w:val="30"/>
                <w:highlight w:val="none"/>
              </w:rPr>
              <w:t>（正本/副本）</w:t>
            </w:r>
          </w:p>
          <w:p>
            <w:pPr>
              <w:pStyle w:val="84"/>
              <w:rPr>
                <w:rFonts w:hint="eastAsia" w:ascii="宋体" w:hAnsi="宋体" w:eastAsia="宋体" w:cs="宋体"/>
                <w:sz w:val="30"/>
                <w:szCs w:val="30"/>
                <w:highlight w:val="none"/>
              </w:rPr>
            </w:pPr>
          </w:p>
          <w:p>
            <w:pPr>
              <w:pStyle w:val="84"/>
              <w:rPr>
                <w:highlight w:val="none"/>
              </w:rPr>
            </w:pPr>
          </w:p>
          <w:p>
            <w:pPr>
              <w:pStyle w:val="84"/>
              <w:rPr>
                <w:highlight w:val="none"/>
              </w:rPr>
            </w:pPr>
          </w:p>
          <w:p>
            <w:pPr>
              <w:pStyle w:val="84"/>
              <w:ind w:left="0" w:leftChars="0" w:firstLine="1906" w:firstLineChars="791"/>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整车性能及可靠性试验场地技术服务项目</w:t>
            </w:r>
          </w:p>
          <w:p>
            <w:pPr>
              <w:pStyle w:val="84"/>
              <w:ind w:left="0" w:leftChars="0" w:firstLine="2788" w:firstLineChars="1157"/>
              <w:jc w:val="left"/>
              <w:rPr>
                <w:rFonts w:hint="eastAsia" w:ascii="宋体" w:hAnsi="宋体" w:eastAsia="宋体" w:cs="宋体"/>
                <w:sz w:val="28"/>
                <w:szCs w:val="28"/>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整车性能/轻卡可靠性/重卡可靠性</w:t>
            </w:r>
            <w:r>
              <w:rPr>
                <w:rFonts w:hint="eastAsia" w:ascii="宋体" w:hAnsi="宋体" w:eastAsia="宋体" w:cs="宋体"/>
                <w:sz w:val="24"/>
                <w:szCs w:val="24"/>
                <w:highlight w:val="none"/>
                <w:lang w:eastAsia="zh-CN"/>
              </w:rPr>
              <w:t>）</w:t>
            </w:r>
          </w:p>
          <w:p>
            <w:pPr>
              <w:pStyle w:val="84"/>
              <w:ind w:left="0" w:leftChars="0" w:firstLine="3252" w:firstLineChars="1157"/>
              <w:jc w:val="left"/>
              <w:rPr>
                <w:rFonts w:hint="eastAsia" w:ascii="宋体" w:hAnsi="宋体" w:eastAsia="宋体" w:cs="宋体"/>
                <w:sz w:val="28"/>
                <w:szCs w:val="28"/>
                <w:highlight w:val="none"/>
                <w:lang w:eastAsia="zh-CN"/>
              </w:rPr>
            </w:pPr>
          </w:p>
          <w:p>
            <w:pPr>
              <w:pStyle w:val="84"/>
              <w:ind w:left="0" w:leftChars="0" w:firstLine="1906" w:firstLineChars="791"/>
              <w:rPr>
                <w:rFonts w:ascii="宋体" w:hAnsi="宋体" w:eastAsia="宋体" w:cs="宋体"/>
                <w:sz w:val="24"/>
                <w:szCs w:val="24"/>
                <w:highlight w:val="none"/>
              </w:rPr>
            </w:pPr>
          </w:p>
          <w:p>
            <w:pPr>
              <w:pStyle w:val="84"/>
              <w:ind w:left="0" w:leftChars="0" w:firstLine="1906" w:firstLineChars="79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投标人名称（公章）：</w:t>
            </w:r>
          </w:p>
          <w:p>
            <w:pPr>
              <w:pStyle w:val="84"/>
              <w:ind w:left="0" w:leftChars="0" w:firstLine="1906" w:firstLineChars="791"/>
              <w:jc w:val="left"/>
              <w:rPr>
                <w:rFonts w:hint="eastAsia" w:ascii="宋体" w:hAnsi="宋体" w:eastAsia="宋体" w:cs="宋体"/>
                <w:sz w:val="24"/>
                <w:szCs w:val="24"/>
                <w:highlight w:val="none"/>
              </w:rPr>
            </w:pPr>
          </w:p>
          <w:p>
            <w:pPr>
              <w:pStyle w:val="84"/>
              <w:ind w:left="0" w:leftChars="0" w:firstLine="1906" w:firstLineChars="791"/>
              <w:jc w:val="left"/>
              <w:rPr>
                <w:rFonts w:hint="eastAsia" w:ascii="宋体" w:hAnsi="宋体" w:eastAsia="宋体" w:cs="宋体"/>
                <w:sz w:val="24"/>
                <w:szCs w:val="24"/>
                <w:highlight w:val="none"/>
              </w:rPr>
            </w:pPr>
          </w:p>
          <w:p>
            <w:pPr>
              <w:pStyle w:val="84"/>
              <w:ind w:left="0" w:leftChars="0" w:firstLine="1906" w:firstLineChars="791"/>
              <w:jc w:val="left"/>
              <w:rPr>
                <w:rFonts w:ascii="仿宋" w:hAnsi="仿宋" w:eastAsia="仿宋" w:cs="仿宋"/>
                <w:sz w:val="24"/>
                <w:szCs w:val="24"/>
                <w:highlight w:val="none"/>
              </w:rPr>
            </w:pPr>
            <w:r>
              <w:rPr>
                <w:rFonts w:hint="eastAsia" w:ascii="宋体" w:hAnsi="宋体" w:eastAsia="宋体" w:cs="宋体"/>
                <w:b/>
                <w:kern w:val="2"/>
                <w:sz w:val="24"/>
                <w:szCs w:val="24"/>
                <w:highlight w:val="none"/>
                <w:lang w:val="en-US" w:eastAsia="zh-CN" w:bidi="ar-SA"/>
              </w:rPr>
              <w:t>法定</w:t>
            </w:r>
            <w:r>
              <w:rPr>
                <w:rFonts w:hint="eastAsia" w:ascii="宋体" w:hAnsi="宋体" w:eastAsia="宋体" w:cs="宋体"/>
                <w:sz w:val="24"/>
                <w:szCs w:val="24"/>
                <w:highlight w:val="none"/>
                <w:lang w:val="en-US" w:eastAsia="zh-CN"/>
              </w:rPr>
              <w:t>代表人</w:t>
            </w:r>
            <w:r>
              <w:rPr>
                <w:rFonts w:hint="eastAsia" w:ascii="宋体" w:hAnsi="宋体" w:eastAsia="宋体" w:cs="宋体"/>
                <w:b/>
                <w:kern w:val="2"/>
                <w:sz w:val="24"/>
                <w:szCs w:val="24"/>
                <w:highlight w:val="none"/>
                <w:lang w:val="en-US" w:eastAsia="zh-CN" w:bidi="ar-SA"/>
              </w:rPr>
              <w:t>（委托代理人）：（签字）</w:t>
            </w:r>
          </w:p>
          <w:p>
            <w:pPr>
              <w:pStyle w:val="84"/>
              <w:ind w:left="0" w:leftChars="0" w:firstLine="1906" w:firstLineChars="791"/>
              <w:jc w:val="left"/>
              <w:rPr>
                <w:rFonts w:ascii="宋体" w:hAnsi="宋体" w:eastAsia="宋体" w:cs="宋体"/>
                <w:sz w:val="24"/>
                <w:szCs w:val="24"/>
                <w:highlight w:val="none"/>
              </w:rPr>
            </w:pPr>
          </w:p>
          <w:p>
            <w:pPr>
              <w:pStyle w:val="84"/>
              <w:ind w:left="0" w:leftChars="0" w:firstLine="1906" w:firstLineChars="791"/>
              <w:jc w:val="left"/>
              <w:rPr>
                <w:rFonts w:ascii="宋体" w:hAnsi="宋体" w:eastAsia="宋体" w:cs="宋体"/>
                <w:sz w:val="24"/>
                <w:szCs w:val="24"/>
                <w:highlight w:val="none"/>
              </w:rPr>
            </w:pPr>
          </w:p>
          <w:p>
            <w:pPr>
              <w:pStyle w:val="84"/>
              <w:ind w:left="0" w:leftChars="0" w:firstLine="1906" w:firstLineChars="791"/>
              <w:jc w:val="left"/>
              <w:rPr>
                <w:rFonts w:ascii="宋体" w:hAnsi="宋体" w:eastAsia="宋体" w:cs="宋体"/>
                <w:sz w:val="24"/>
                <w:szCs w:val="24"/>
                <w:highlight w:val="none"/>
              </w:rPr>
            </w:pPr>
            <w:r>
              <w:rPr>
                <w:rFonts w:hint="eastAsia" w:ascii="宋体" w:hAnsi="宋体" w:eastAsia="宋体" w:cs="宋体"/>
                <w:sz w:val="24"/>
                <w:szCs w:val="24"/>
                <w:highlight w:val="none"/>
              </w:rPr>
              <w:t>地址：</w:t>
            </w:r>
          </w:p>
          <w:p>
            <w:pPr>
              <w:pStyle w:val="84"/>
              <w:ind w:left="0" w:leftChars="0" w:firstLine="1906" w:firstLineChars="791"/>
              <w:jc w:val="left"/>
              <w:rPr>
                <w:rFonts w:ascii="宋体" w:hAnsi="宋体" w:eastAsia="宋体" w:cs="宋体"/>
                <w:sz w:val="24"/>
                <w:szCs w:val="24"/>
                <w:highlight w:val="none"/>
              </w:rPr>
            </w:pPr>
          </w:p>
          <w:p>
            <w:pPr>
              <w:pStyle w:val="84"/>
              <w:ind w:left="0" w:leftChars="0" w:firstLine="1906" w:firstLineChars="791"/>
              <w:jc w:val="left"/>
              <w:rPr>
                <w:rFonts w:ascii="宋体" w:hAnsi="宋体" w:eastAsia="宋体" w:cs="宋体"/>
                <w:sz w:val="24"/>
                <w:szCs w:val="24"/>
                <w:highlight w:val="none"/>
              </w:rPr>
            </w:pPr>
          </w:p>
          <w:p>
            <w:pPr>
              <w:pStyle w:val="84"/>
              <w:ind w:left="0" w:leftChars="0" w:firstLine="1906" w:firstLineChars="791"/>
              <w:jc w:val="left"/>
              <w:rPr>
                <w:rFonts w:ascii="宋体" w:hAnsi="宋体" w:eastAsia="宋体" w:cs="宋体"/>
                <w:sz w:val="24"/>
                <w:szCs w:val="24"/>
                <w:highlight w:val="none"/>
              </w:rPr>
            </w:pPr>
            <w:r>
              <w:rPr>
                <w:rFonts w:hint="eastAsia" w:ascii="宋体" w:hAnsi="宋体" w:eastAsia="宋体" w:cs="宋体"/>
                <w:sz w:val="24"/>
                <w:szCs w:val="24"/>
                <w:highlight w:val="none"/>
              </w:rPr>
              <w:t>授权代表电话：</w:t>
            </w:r>
          </w:p>
          <w:p>
            <w:pPr>
              <w:pStyle w:val="84"/>
              <w:ind w:left="0" w:leftChars="0" w:firstLine="1906" w:firstLineChars="791"/>
              <w:jc w:val="left"/>
              <w:rPr>
                <w:rFonts w:ascii="宋体" w:hAnsi="宋体" w:eastAsia="宋体" w:cs="宋体"/>
                <w:sz w:val="24"/>
                <w:szCs w:val="24"/>
                <w:highlight w:val="none"/>
              </w:rPr>
            </w:pPr>
          </w:p>
          <w:p>
            <w:pPr>
              <w:pStyle w:val="84"/>
              <w:ind w:left="0" w:leftChars="0" w:firstLine="1906" w:firstLineChars="791"/>
              <w:jc w:val="left"/>
              <w:rPr>
                <w:rFonts w:ascii="宋体" w:hAnsi="宋体" w:eastAsia="宋体" w:cs="宋体"/>
                <w:sz w:val="24"/>
                <w:szCs w:val="24"/>
                <w:highlight w:val="none"/>
              </w:rPr>
            </w:pPr>
          </w:p>
          <w:p>
            <w:pPr>
              <w:pStyle w:val="84"/>
              <w:ind w:left="0" w:leftChars="0" w:firstLine="1906" w:firstLineChars="791"/>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p>
            <w:pPr>
              <w:pStyle w:val="84"/>
              <w:ind w:left="0" w:leftChars="0" w:firstLine="1906" w:firstLineChars="791"/>
              <w:jc w:val="left"/>
              <w:rPr>
                <w:rFonts w:hint="eastAsia" w:ascii="宋体" w:hAnsi="宋体" w:eastAsia="宋体" w:cs="宋体"/>
                <w:sz w:val="24"/>
                <w:szCs w:val="24"/>
                <w:highlight w:val="none"/>
              </w:rPr>
            </w:pPr>
          </w:p>
          <w:p>
            <w:pPr>
              <w:pStyle w:val="84"/>
              <w:ind w:left="0" w:leftChars="0" w:firstLine="1906" w:firstLineChars="791"/>
              <w:jc w:val="left"/>
              <w:rPr>
                <w:rFonts w:hint="eastAsia" w:ascii="宋体" w:hAnsi="宋体" w:eastAsia="宋体" w:cs="宋体"/>
                <w:sz w:val="24"/>
                <w:szCs w:val="24"/>
                <w:highlight w:val="none"/>
              </w:rPr>
            </w:pPr>
          </w:p>
          <w:p>
            <w:pPr>
              <w:pStyle w:val="84"/>
              <w:ind w:left="0" w:leftChars="0" w:firstLine="1906" w:firstLineChars="791"/>
              <w:jc w:val="left"/>
              <w:rPr>
                <w:rFonts w:ascii="宋体" w:hAnsi="宋体" w:eastAsia="宋体" w:cs="宋体"/>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kern w:val="0"/>
                <w:sz w:val="24"/>
                <w:highlight w:val="none"/>
              </w:rPr>
              <w:t xml:space="preserve">       </w:t>
            </w:r>
            <w:r>
              <w:rPr>
                <w:rFonts w:hint="eastAsia" w:ascii="仿宋" w:hAnsi="仿宋" w:eastAsia="仿宋" w:cs="仿宋"/>
                <w:sz w:val="24"/>
                <w:szCs w:val="24"/>
                <w:highlight w:val="none"/>
              </w:rPr>
              <w:t>年</w:t>
            </w:r>
            <w:r>
              <w:rPr>
                <w:rFonts w:hint="eastAsia" w:ascii="仿宋" w:hAnsi="仿宋" w:eastAsia="仿宋" w:cs="仿宋"/>
                <w:kern w:val="0"/>
                <w:sz w:val="24"/>
                <w:highlight w:val="none"/>
              </w:rPr>
              <w:t xml:space="preserve">    </w:t>
            </w:r>
            <w:r>
              <w:rPr>
                <w:rFonts w:hint="eastAsia" w:ascii="仿宋" w:hAnsi="仿宋" w:eastAsia="仿宋" w:cs="仿宋"/>
                <w:sz w:val="24"/>
                <w:szCs w:val="24"/>
                <w:highlight w:val="none"/>
              </w:rPr>
              <w:t>月</w:t>
            </w:r>
            <w:r>
              <w:rPr>
                <w:rFonts w:hint="eastAsia" w:ascii="仿宋" w:hAnsi="仿宋" w:eastAsia="仿宋" w:cs="仿宋"/>
                <w:kern w:val="0"/>
                <w:sz w:val="24"/>
                <w:highlight w:val="none"/>
              </w:rPr>
              <w:t xml:space="preserve">    </w:t>
            </w:r>
            <w:r>
              <w:rPr>
                <w:rFonts w:hint="eastAsia" w:ascii="仿宋" w:hAnsi="仿宋" w:eastAsia="仿宋" w:cs="仿宋"/>
                <w:sz w:val="24"/>
                <w:szCs w:val="24"/>
                <w:highlight w:val="none"/>
              </w:rPr>
              <w:t>日</w:t>
            </w:r>
          </w:p>
          <w:p>
            <w:pPr>
              <w:pStyle w:val="84"/>
              <w:jc w:val="left"/>
              <w:rPr>
                <w:rFonts w:ascii="宋体" w:hAnsi="宋体" w:eastAsia="宋体" w:cs="宋体"/>
                <w:sz w:val="24"/>
                <w:szCs w:val="24"/>
                <w:highlight w:val="none"/>
              </w:rPr>
            </w:pPr>
          </w:p>
          <w:p>
            <w:pPr>
              <w:pStyle w:val="84"/>
              <w:rPr>
                <w:highlight w:val="none"/>
              </w:rPr>
            </w:pPr>
          </w:p>
          <w:p>
            <w:pPr>
              <w:pStyle w:val="84"/>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8" w:type="dxa"/>
          </w:tcPr>
          <w:p>
            <w:pPr>
              <w:pStyle w:val="84"/>
              <w:rPr>
                <w:highlight w:val="none"/>
              </w:rPr>
            </w:pPr>
          </w:p>
        </w:tc>
      </w:tr>
    </w:tbl>
    <w:p>
      <w:pPr>
        <w:spacing w:line="660" w:lineRule="exact"/>
        <w:rPr>
          <w:rFonts w:ascii="仿宋" w:hAnsi="仿宋" w:eastAsia="仿宋" w:cs="仿宋"/>
          <w:sz w:val="24"/>
          <w:szCs w:val="24"/>
          <w:highlight w:val="none"/>
        </w:rPr>
      </w:pPr>
    </w:p>
    <w:p>
      <w:pPr>
        <w:rPr>
          <w:rFonts w:ascii="仿宋" w:hAnsi="仿宋" w:cs="仿宋"/>
          <w:highlight w:val="none"/>
        </w:rPr>
      </w:pPr>
      <w:r>
        <w:rPr>
          <w:rFonts w:ascii="仿宋" w:hAnsi="仿宋" w:cs="仿宋"/>
          <w:highlight w:val="none"/>
        </w:rPr>
        <w:br w:type="page"/>
      </w:r>
    </w:p>
    <w:p>
      <w:pPr>
        <w:pStyle w:val="80"/>
        <w:rPr>
          <w:highlight w:val="none"/>
        </w:rPr>
      </w:pPr>
      <w:bookmarkStart w:id="36" w:name="_Toc5711"/>
      <w:r>
        <w:rPr>
          <w:rFonts w:hint="eastAsia"/>
          <w:highlight w:val="none"/>
        </w:rPr>
        <w:t>五、议程安排</w:t>
      </w:r>
      <w:bookmarkEnd w:id="36"/>
    </w:p>
    <w:p>
      <w:pPr>
        <w:pStyle w:val="50"/>
        <w:rPr>
          <w:highlight w:val="none"/>
        </w:rPr>
      </w:pPr>
      <w:bookmarkStart w:id="37" w:name="_Toc20026"/>
      <w:r>
        <w:rPr>
          <w:rFonts w:hint="eastAsia"/>
          <w:highlight w:val="none"/>
        </w:rPr>
        <w:t>1、发标时间</w:t>
      </w:r>
      <w:bookmarkEnd w:id="37"/>
    </w:p>
    <w:p>
      <w:pPr>
        <w:pStyle w:val="54"/>
        <w:rPr>
          <w:rFonts w:ascii="仿宋" w:hAnsi="仿宋" w:cs="仿宋"/>
          <w:highlight w:val="none"/>
        </w:rPr>
      </w:pPr>
      <w:r>
        <w:rPr>
          <w:rFonts w:hint="eastAsia" w:ascii="仿宋" w:hAnsi="仿宋" w:cs="仿宋"/>
          <w:highlight w:val="none"/>
        </w:rPr>
        <w:t>202</w:t>
      </w:r>
      <w:r>
        <w:rPr>
          <w:rFonts w:hint="eastAsia" w:ascii="仿宋" w:hAnsi="仿宋" w:cs="仿宋"/>
          <w:highlight w:val="none"/>
          <w:lang w:val="en-US" w:eastAsia="zh-CN"/>
        </w:rPr>
        <w:t>2</w:t>
      </w:r>
      <w:r>
        <w:rPr>
          <w:rFonts w:hint="eastAsia" w:ascii="仿宋" w:hAnsi="仿宋" w:cs="仿宋"/>
          <w:highlight w:val="none"/>
        </w:rPr>
        <w:t>年</w:t>
      </w:r>
      <w:r>
        <w:rPr>
          <w:rFonts w:hint="eastAsia" w:ascii="仿宋" w:hAnsi="仿宋" w:cs="仿宋"/>
          <w:highlight w:val="none"/>
          <w:lang w:val="en-US" w:eastAsia="zh-CN"/>
        </w:rPr>
        <w:t>10</w:t>
      </w:r>
      <w:r>
        <w:rPr>
          <w:rFonts w:hint="eastAsia" w:ascii="仿宋" w:hAnsi="仿宋" w:cs="仿宋"/>
          <w:highlight w:val="none"/>
        </w:rPr>
        <w:t>月</w:t>
      </w:r>
      <w:r>
        <w:rPr>
          <w:rFonts w:hint="eastAsia" w:ascii="仿宋" w:hAnsi="仿宋" w:cs="仿宋"/>
          <w:highlight w:val="none"/>
          <w:lang w:val="en-US" w:eastAsia="zh-CN"/>
        </w:rPr>
        <w:t>28</w:t>
      </w:r>
      <w:r>
        <w:rPr>
          <w:rFonts w:hint="eastAsia" w:ascii="仿宋" w:hAnsi="仿宋" w:cs="仿宋"/>
          <w:highlight w:val="none"/>
        </w:rPr>
        <w:t>日（周</w:t>
      </w:r>
      <w:r>
        <w:rPr>
          <w:rFonts w:hint="eastAsia" w:ascii="仿宋" w:hAnsi="仿宋" w:cs="仿宋"/>
          <w:highlight w:val="none"/>
          <w:lang w:val="en-US" w:eastAsia="zh-CN"/>
        </w:rPr>
        <w:t>五</w:t>
      </w:r>
      <w:r>
        <w:rPr>
          <w:rFonts w:hint="eastAsia" w:ascii="仿宋" w:hAnsi="仿宋" w:cs="仿宋"/>
          <w:highlight w:val="none"/>
        </w:rPr>
        <w:t>）。</w:t>
      </w:r>
    </w:p>
    <w:p>
      <w:pPr>
        <w:pStyle w:val="50"/>
        <w:rPr>
          <w:highlight w:val="none"/>
        </w:rPr>
      </w:pPr>
      <w:bookmarkStart w:id="38" w:name="_Toc25699"/>
      <w:r>
        <w:rPr>
          <w:rFonts w:hint="eastAsia"/>
          <w:highlight w:val="none"/>
        </w:rPr>
        <w:t>2、</w:t>
      </w:r>
      <w:r>
        <w:rPr>
          <w:highlight w:val="none"/>
        </w:rPr>
        <w:t>发布招标方式</w:t>
      </w:r>
      <w:bookmarkEnd w:id="38"/>
    </w:p>
    <w:p>
      <w:pPr>
        <w:pStyle w:val="54"/>
        <w:rPr>
          <w:highlight w:val="none"/>
        </w:rPr>
      </w:pPr>
      <w:r>
        <w:rPr>
          <w:rFonts w:hint="eastAsia"/>
          <w:highlight w:val="none"/>
        </w:rPr>
        <w:t>中国重汽官网→快讯中心→通知公告栏</w:t>
      </w:r>
      <w:r>
        <w:rPr>
          <w:highlight w:val="none"/>
        </w:rPr>
        <w:t>公布</w:t>
      </w:r>
      <w:r>
        <w:rPr>
          <w:rFonts w:hint="eastAsia"/>
          <w:highlight w:val="none"/>
        </w:rPr>
        <w:t>。</w:t>
      </w:r>
    </w:p>
    <w:p>
      <w:pPr>
        <w:pStyle w:val="54"/>
        <w:ind w:firstLine="482"/>
        <w:rPr>
          <w:highlight w:val="none"/>
        </w:rPr>
      </w:pPr>
      <w:r>
        <w:rPr>
          <w:rFonts w:hint="eastAsia"/>
          <w:b/>
          <w:highlight w:val="none"/>
        </w:rPr>
        <w:t>注意：此渠道为官方唯一发布渠道，切勿相信其他来源的信息。</w:t>
      </w:r>
    </w:p>
    <w:p>
      <w:pPr>
        <w:pStyle w:val="50"/>
        <w:rPr>
          <w:highlight w:val="none"/>
        </w:rPr>
      </w:pPr>
      <w:bookmarkStart w:id="39" w:name="_Toc17501"/>
      <w:r>
        <w:rPr>
          <w:rFonts w:hint="eastAsia"/>
          <w:highlight w:val="none"/>
        </w:rPr>
        <w:t>3、技术答疑</w:t>
      </w:r>
      <w:bookmarkEnd w:id="39"/>
    </w:p>
    <w:p>
      <w:pPr>
        <w:pStyle w:val="54"/>
        <w:rPr>
          <w:rFonts w:ascii="仿宋" w:hAnsi="仿宋" w:cs="仿宋"/>
          <w:highlight w:val="none"/>
        </w:rPr>
      </w:pPr>
      <w:r>
        <w:rPr>
          <w:rFonts w:hint="eastAsia" w:ascii="仿宋" w:hAnsi="仿宋" w:cs="仿宋"/>
          <w:highlight w:val="none"/>
        </w:rPr>
        <w:t>答疑时间：截止至202</w:t>
      </w:r>
      <w:r>
        <w:rPr>
          <w:rFonts w:hint="eastAsia" w:ascii="仿宋" w:hAnsi="仿宋" w:cs="仿宋"/>
          <w:highlight w:val="none"/>
          <w:lang w:val="en-US" w:eastAsia="zh-CN"/>
        </w:rPr>
        <w:t>2</w:t>
      </w:r>
      <w:r>
        <w:rPr>
          <w:rFonts w:hint="eastAsia" w:ascii="仿宋" w:hAnsi="仿宋" w:cs="仿宋"/>
          <w:highlight w:val="none"/>
        </w:rPr>
        <w:t>年</w:t>
      </w:r>
      <w:r>
        <w:rPr>
          <w:rFonts w:hint="eastAsia" w:ascii="仿宋" w:hAnsi="仿宋" w:cs="仿宋"/>
          <w:highlight w:val="none"/>
          <w:lang w:val="en-US" w:eastAsia="zh-CN"/>
        </w:rPr>
        <w:t>11</w:t>
      </w:r>
      <w:r>
        <w:rPr>
          <w:rFonts w:hint="eastAsia" w:ascii="仿宋" w:hAnsi="仿宋" w:cs="仿宋"/>
          <w:highlight w:val="none"/>
        </w:rPr>
        <w:t>月</w:t>
      </w:r>
      <w:r>
        <w:rPr>
          <w:rFonts w:hint="eastAsia" w:ascii="仿宋" w:hAnsi="仿宋" w:cs="仿宋"/>
          <w:highlight w:val="none"/>
          <w:lang w:val="en-US" w:eastAsia="zh-CN"/>
        </w:rPr>
        <w:t>9</w:t>
      </w:r>
      <w:r>
        <w:rPr>
          <w:rFonts w:hint="eastAsia" w:ascii="仿宋" w:hAnsi="仿宋" w:cs="仿宋"/>
          <w:highlight w:val="none"/>
        </w:rPr>
        <w:t>日</w:t>
      </w:r>
      <w:r>
        <w:rPr>
          <w:rFonts w:hint="eastAsia" w:ascii="仿宋" w:hAnsi="仿宋" w:cs="仿宋"/>
          <w:highlight w:val="none"/>
          <w:lang w:eastAsia="zh-CN"/>
        </w:rPr>
        <w:t>下午5点</w:t>
      </w:r>
      <w:r>
        <w:rPr>
          <w:rFonts w:hint="eastAsia" w:ascii="仿宋" w:hAnsi="仿宋" w:cs="仿宋"/>
          <w:highlight w:val="none"/>
        </w:rPr>
        <w:t>前，逾期不受理。</w:t>
      </w:r>
    </w:p>
    <w:p>
      <w:pPr>
        <w:pStyle w:val="54"/>
        <w:rPr>
          <w:rFonts w:ascii="仿宋" w:hAnsi="仿宋" w:cs="仿宋"/>
          <w:highlight w:val="none"/>
        </w:rPr>
      </w:pPr>
      <w:r>
        <w:rPr>
          <w:rFonts w:hint="eastAsia" w:ascii="仿宋" w:hAnsi="仿宋" w:cs="仿宋"/>
          <w:highlight w:val="none"/>
        </w:rPr>
        <w:t>答疑方式：书面及邮件。</w:t>
      </w:r>
    </w:p>
    <w:p>
      <w:pPr>
        <w:pStyle w:val="54"/>
        <w:rPr>
          <w:rFonts w:ascii="仿宋" w:hAnsi="仿宋" w:cs="仿宋"/>
          <w:highlight w:val="none"/>
        </w:rPr>
      </w:pPr>
      <w:r>
        <w:rPr>
          <w:rFonts w:hint="eastAsia" w:ascii="仿宋" w:hAnsi="仿宋" w:cs="仿宋"/>
          <w:highlight w:val="none"/>
        </w:rPr>
        <w:t xml:space="preserve">联 系 人：高佃波 王佳 </w:t>
      </w:r>
    </w:p>
    <w:p>
      <w:pPr>
        <w:pStyle w:val="54"/>
        <w:rPr>
          <w:rFonts w:ascii="仿宋" w:hAnsi="仿宋" w:cs="仿宋"/>
          <w:highlight w:val="none"/>
        </w:rPr>
      </w:pPr>
      <w:r>
        <w:rPr>
          <w:rFonts w:hint="eastAsia" w:ascii="仿宋" w:hAnsi="仿宋" w:cs="仿宋"/>
          <w:highlight w:val="none"/>
        </w:rPr>
        <w:t>电    话：0531-58066163。</w:t>
      </w:r>
    </w:p>
    <w:p>
      <w:pPr>
        <w:pStyle w:val="54"/>
        <w:rPr>
          <w:rFonts w:ascii="仿宋" w:hAnsi="仿宋" w:cs="仿宋"/>
          <w:highlight w:val="none"/>
        </w:rPr>
      </w:pPr>
      <w:r>
        <w:rPr>
          <w:rFonts w:hint="eastAsia" w:ascii="仿宋" w:hAnsi="仿宋" w:cs="仿宋"/>
          <w:highlight w:val="none"/>
        </w:rPr>
        <w:t>邮    箱：</w:t>
      </w:r>
    </w:p>
    <w:p>
      <w:pPr>
        <w:pStyle w:val="50"/>
        <w:rPr>
          <w:highlight w:val="none"/>
        </w:rPr>
      </w:pPr>
      <w:bookmarkStart w:id="40" w:name="_Toc26753"/>
      <w:r>
        <w:rPr>
          <w:highlight w:val="none"/>
        </w:rPr>
        <w:t>4</w:t>
      </w:r>
      <w:r>
        <w:rPr>
          <w:rFonts w:hint="eastAsia"/>
          <w:highlight w:val="none"/>
        </w:rPr>
        <w:t>、商务答疑</w:t>
      </w:r>
      <w:bookmarkEnd w:id="40"/>
    </w:p>
    <w:p>
      <w:pPr>
        <w:pStyle w:val="54"/>
        <w:spacing w:line="324" w:lineRule="auto"/>
        <w:rPr>
          <w:rFonts w:ascii="宋体" w:hAnsi="宋体" w:eastAsia="宋体" w:cs="宋体"/>
        </w:rPr>
      </w:pPr>
      <w:r>
        <w:rPr>
          <w:rFonts w:hint="eastAsia" w:ascii="宋体" w:hAnsi="宋体" w:eastAsia="宋体" w:cs="宋体"/>
        </w:rPr>
        <w:t>答疑方式：邮件（电话不受理）</w:t>
      </w:r>
    </w:p>
    <w:p>
      <w:pPr>
        <w:pStyle w:val="54"/>
        <w:spacing w:line="324" w:lineRule="auto"/>
        <w:rPr>
          <w:rFonts w:ascii="宋体" w:hAnsi="宋体" w:eastAsia="宋体" w:cs="宋体"/>
        </w:rPr>
      </w:pPr>
      <w:r>
        <w:rPr>
          <w:rFonts w:hint="eastAsia" w:ascii="宋体" w:hAnsi="宋体" w:eastAsia="宋体" w:cs="宋体"/>
        </w:rPr>
        <w:t>联系人：沈晓峰</w:t>
      </w:r>
    </w:p>
    <w:p>
      <w:pPr>
        <w:pStyle w:val="54"/>
        <w:spacing w:line="324" w:lineRule="auto"/>
        <w:rPr>
          <w:rFonts w:ascii="宋体" w:hAnsi="宋体" w:eastAsia="宋体" w:cs="宋体"/>
        </w:rPr>
      </w:pPr>
      <w:r>
        <w:rPr>
          <w:rFonts w:hint="eastAsia" w:ascii="宋体" w:hAnsi="宋体" w:eastAsia="宋体" w:cs="宋体"/>
        </w:rPr>
        <w:t>电话：电话不受理</w:t>
      </w:r>
    </w:p>
    <w:p>
      <w:pPr>
        <w:pStyle w:val="54"/>
        <w:spacing w:line="324" w:lineRule="auto"/>
        <w:rPr>
          <w:rFonts w:ascii="仿宋" w:hAnsi="仿宋" w:cs="仿宋"/>
          <w:highlight w:val="none"/>
        </w:rPr>
      </w:pPr>
      <w:r>
        <w:rPr>
          <w:rFonts w:hint="eastAsia" w:ascii="宋体" w:hAnsi="宋体" w:eastAsia="宋体" w:cs="宋体"/>
        </w:rPr>
        <w:t>邮    箱：</w:t>
      </w:r>
      <w:r>
        <w:fldChar w:fldCharType="begin"/>
      </w:r>
      <w:r>
        <w:instrText xml:space="preserve"> HYPERLINK "mailto:576591917@qq.com5" </w:instrText>
      </w:r>
      <w:r>
        <w:fldChar w:fldCharType="separate"/>
      </w:r>
      <w:r>
        <w:rPr>
          <w:rStyle w:val="39"/>
          <w:rFonts w:hint="eastAsia" w:ascii="宋体" w:hAnsi="宋体" w:eastAsia="宋体" w:cs="宋体"/>
          <w:color w:val="auto"/>
        </w:rPr>
        <w:t>shenxiaofeng@sinotruk.com</w:t>
      </w:r>
      <w:r>
        <w:rPr>
          <w:rStyle w:val="39"/>
          <w:rFonts w:hint="eastAsia" w:ascii="宋体" w:hAnsi="宋体" w:eastAsia="宋体" w:cs="宋体"/>
          <w:color w:val="auto"/>
        </w:rPr>
        <w:fldChar w:fldCharType="end"/>
      </w:r>
    </w:p>
    <w:p>
      <w:pPr>
        <w:pStyle w:val="50"/>
        <w:numPr>
          <w:ilvl w:val="0"/>
          <w:numId w:val="7"/>
        </w:numPr>
        <w:rPr>
          <w:highlight w:val="none"/>
        </w:rPr>
      </w:pPr>
      <w:bookmarkStart w:id="41" w:name="_Toc28043"/>
      <w:r>
        <w:rPr>
          <w:rFonts w:hint="eastAsia"/>
          <w:highlight w:val="none"/>
        </w:rPr>
        <w:t>投标报名及注意事项</w:t>
      </w:r>
      <w:bookmarkEnd w:id="41"/>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5.1投标人在报名参与本项目的同时，应提供</w:t>
      </w:r>
      <w:r>
        <w:rPr>
          <w:rFonts w:hint="eastAsia" w:ascii="宋体" w:hAnsi="宋体" w:cs="宋体"/>
          <w:color w:val="000000"/>
          <w:sz w:val="24"/>
          <w:szCs w:val="24"/>
          <w:lang w:val="en-US" w:eastAsia="zh-CN"/>
        </w:rPr>
        <w:t>10万元的</w:t>
      </w:r>
      <w:r>
        <w:rPr>
          <w:rFonts w:hint="eastAsia" w:ascii="宋体" w:hAnsi="宋体" w:cs="宋体"/>
          <w:color w:val="000000"/>
          <w:sz w:val="24"/>
          <w:szCs w:val="24"/>
        </w:rPr>
        <w:t>投标保证金，并作为其投标文件的组成部分。</w:t>
      </w:r>
      <w:r>
        <w:rPr>
          <w:rFonts w:hint="eastAsia" w:ascii="宋体" w:hAnsi="宋体" w:cs="宋体"/>
          <w:color w:val="000000"/>
          <w:sz w:val="24"/>
          <w:szCs w:val="24"/>
          <w:lang w:val="en-US" w:eastAsia="zh-CN"/>
        </w:rPr>
        <w:t>投标保证金</w:t>
      </w:r>
      <w:r>
        <w:rPr>
          <w:rFonts w:hint="eastAsia" w:ascii="宋体" w:hAnsi="宋体" w:cs="宋体"/>
          <w:color w:val="000000"/>
          <w:sz w:val="24"/>
          <w:szCs w:val="24"/>
        </w:rPr>
        <w:t>应在投标截止时间3日前将投标保证金从投标人单位基本帐户转出并到账或银行保函电子版确认（保函原件于开标之日交于招标人），否则按否决投标处理；未按规定提交保证金的投标人，其投标文件按否决投标处理；</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5.2招标人银行账户信息如下：</w:t>
      </w:r>
    </w:p>
    <w:p>
      <w:pPr>
        <w:spacing w:line="360" w:lineRule="auto"/>
        <w:ind w:left="479" w:leftChars="228"/>
        <w:rPr>
          <w:rFonts w:ascii="宋体" w:hAnsi="宋体" w:cs="宋体"/>
          <w:color w:val="000000"/>
          <w:sz w:val="24"/>
          <w:szCs w:val="24"/>
        </w:rPr>
      </w:pPr>
      <w:r>
        <w:rPr>
          <w:rFonts w:hint="eastAsia" w:ascii="宋体" w:hAnsi="宋体" w:cs="宋体"/>
          <w:color w:val="000000"/>
          <w:sz w:val="24"/>
          <w:szCs w:val="24"/>
        </w:rPr>
        <w:t>单位名称：中国重汽集团济南动力有限公司</w:t>
      </w:r>
      <w:r>
        <w:rPr>
          <w:rFonts w:hint="eastAsia" w:ascii="宋体" w:hAnsi="宋体" w:cs="宋体"/>
          <w:color w:val="000000"/>
          <w:sz w:val="24"/>
          <w:szCs w:val="24"/>
        </w:rPr>
        <w:br w:type="textWrapping"/>
      </w:r>
      <w:r>
        <w:rPr>
          <w:rFonts w:hint="eastAsia" w:ascii="宋体" w:hAnsi="宋体" w:cs="宋体"/>
          <w:color w:val="000000"/>
          <w:sz w:val="24"/>
          <w:szCs w:val="24"/>
        </w:rPr>
        <w:t>开户行：中国工商银行股份有限公司济南天桥支行</w:t>
      </w:r>
      <w:r>
        <w:rPr>
          <w:rFonts w:hint="eastAsia" w:ascii="宋体" w:hAnsi="宋体" w:cs="宋体"/>
          <w:color w:val="000000"/>
          <w:sz w:val="24"/>
          <w:szCs w:val="24"/>
        </w:rPr>
        <w:br w:type="textWrapping"/>
      </w:r>
      <w:r>
        <w:rPr>
          <w:rFonts w:hint="eastAsia" w:ascii="宋体" w:hAnsi="宋体" w:cs="宋体"/>
          <w:color w:val="000000"/>
          <w:sz w:val="24"/>
          <w:szCs w:val="24"/>
        </w:rPr>
        <w:t>账号：1602005019200116248</w:t>
      </w:r>
      <w:r>
        <w:rPr>
          <w:rFonts w:hint="eastAsia" w:ascii="宋体" w:hAnsi="宋体" w:cs="宋体"/>
          <w:color w:val="000000"/>
          <w:sz w:val="24"/>
          <w:szCs w:val="24"/>
        </w:rPr>
        <w:br w:type="textWrapping"/>
      </w:r>
      <w:r>
        <w:rPr>
          <w:rFonts w:hint="eastAsia" w:ascii="宋体" w:hAnsi="宋体" w:cs="宋体"/>
          <w:color w:val="000000"/>
          <w:sz w:val="24"/>
          <w:szCs w:val="24"/>
        </w:rPr>
        <w:t>行号：102451000504</w:t>
      </w:r>
    </w:p>
    <w:p>
      <w:pPr>
        <w:spacing w:line="360" w:lineRule="auto"/>
        <w:ind w:firstLine="480" w:firstLineChars="200"/>
        <w:rPr>
          <w:rFonts w:ascii="宋体" w:hAnsi="宋体" w:cs="宋体"/>
          <w:color w:val="000000"/>
          <w:sz w:val="24"/>
          <w:szCs w:val="24"/>
          <w:highlight w:val="green"/>
        </w:rPr>
      </w:pPr>
      <w:r>
        <w:rPr>
          <w:rFonts w:hint="eastAsia" w:ascii="宋体" w:hAnsi="宋体" w:cs="宋体"/>
          <w:color w:val="000000"/>
          <w:sz w:val="24"/>
          <w:szCs w:val="24"/>
          <w:highlight w:val="green"/>
        </w:rPr>
        <w:t>注意事项：</w:t>
      </w:r>
    </w:p>
    <w:p>
      <w:pPr>
        <w:numPr>
          <w:ilvl w:val="0"/>
          <w:numId w:val="8"/>
        </w:numPr>
        <w:spacing w:line="360" w:lineRule="auto"/>
        <w:rPr>
          <w:rFonts w:ascii="宋体" w:hAnsi="宋体" w:cs="宋体"/>
          <w:color w:val="000000"/>
          <w:sz w:val="24"/>
          <w:szCs w:val="24"/>
          <w:highlight w:val="green"/>
        </w:rPr>
      </w:pPr>
      <w:r>
        <w:rPr>
          <w:rFonts w:hint="eastAsia" w:ascii="宋体" w:hAnsi="宋体" w:cs="宋体"/>
          <w:color w:val="000000"/>
          <w:sz w:val="24"/>
          <w:szCs w:val="24"/>
          <w:highlight w:val="green"/>
        </w:rPr>
        <w:t>转账时，请注意备注投标的项目名称，方便后期核对退款。</w:t>
      </w:r>
    </w:p>
    <w:p>
      <w:pPr>
        <w:numPr>
          <w:ilvl w:val="0"/>
          <w:numId w:val="8"/>
        </w:numPr>
        <w:spacing w:line="360" w:lineRule="auto"/>
        <w:rPr>
          <w:rFonts w:ascii="宋体" w:hAnsi="宋体" w:cs="宋体"/>
          <w:color w:val="000000"/>
          <w:sz w:val="24"/>
          <w:szCs w:val="24"/>
          <w:highlight w:val="green"/>
        </w:rPr>
      </w:pPr>
      <w:r>
        <w:rPr>
          <w:rFonts w:hint="eastAsia" w:ascii="宋体" w:hAnsi="宋体" w:cs="宋体"/>
          <w:color w:val="000000"/>
          <w:sz w:val="24"/>
          <w:szCs w:val="24"/>
          <w:highlight w:val="green"/>
        </w:rPr>
        <w:t>报名时提供电子回单（含贵公司账户及我公司账户信息）</w:t>
      </w:r>
    </w:p>
    <w:p>
      <w:pPr>
        <w:numPr>
          <w:ilvl w:val="0"/>
          <w:numId w:val="8"/>
        </w:numPr>
        <w:spacing w:line="360" w:lineRule="auto"/>
        <w:rPr>
          <w:rFonts w:ascii="宋体" w:hAnsi="宋体" w:cs="宋体"/>
          <w:color w:val="000000"/>
          <w:sz w:val="24"/>
          <w:szCs w:val="24"/>
          <w:highlight w:val="green"/>
        </w:rPr>
      </w:pPr>
      <w:r>
        <w:rPr>
          <w:rFonts w:hint="eastAsia" w:ascii="宋体" w:hAnsi="宋体" w:cs="宋体"/>
          <w:color w:val="000000"/>
          <w:sz w:val="24"/>
          <w:szCs w:val="24"/>
          <w:highlight w:val="green"/>
        </w:rPr>
        <w:t>报名时候，请务必在邮件正文中文字表述付款账号、户名、开户行名称、开户行行号、保证金金额。</w:t>
      </w:r>
    </w:p>
    <w:p>
      <w:pPr>
        <w:numPr>
          <w:ilvl w:val="0"/>
          <w:numId w:val="8"/>
        </w:numPr>
        <w:spacing w:line="360" w:lineRule="auto"/>
        <w:rPr>
          <w:rFonts w:ascii="宋体" w:hAnsi="宋体" w:cs="宋体"/>
          <w:color w:val="000000"/>
          <w:sz w:val="24"/>
          <w:szCs w:val="24"/>
          <w:highlight w:val="green"/>
        </w:rPr>
      </w:pPr>
      <w:r>
        <w:rPr>
          <w:rFonts w:hint="eastAsia" w:ascii="宋体" w:hAnsi="宋体" w:cs="宋体"/>
          <w:color w:val="000000"/>
          <w:sz w:val="24"/>
          <w:szCs w:val="24"/>
          <w:highlight w:val="green"/>
        </w:rPr>
        <w:t>未按照本要求提供信息，导致保证金退回困难等事宜，由投标单位承担。</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投标保证金形式：</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 该银行账户只接受外币电开保函和电汇。</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(二) 境外投标单位缴纳投标保证金形式应采用电开保函形式；境内投标单位缴纳投标保证金应采用电汇形式；若有其他特殊情况，请提前与我们沟通，做好转账信息备注工作。</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(三) 对于没有中标的投标单位，投标保证金将于招标人内部完成中标人评审并确认最终中标人后在</w:t>
      </w:r>
      <w:r>
        <w:rPr>
          <w:rFonts w:hint="eastAsia" w:ascii="宋体" w:hAnsi="宋体" w:cs="宋体"/>
          <w:color w:val="000000"/>
          <w:sz w:val="24"/>
          <w:szCs w:val="24"/>
          <w:u w:val="single"/>
        </w:rPr>
        <w:t>30</w:t>
      </w:r>
      <w:r>
        <w:rPr>
          <w:rFonts w:hint="eastAsia" w:ascii="宋体" w:hAnsi="宋体" w:cs="宋体"/>
          <w:color w:val="000000"/>
          <w:sz w:val="24"/>
          <w:szCs w:val="24"/>
        </w:rPr>
        <w:t>工作日内予以原路返还；对于中标供应商，投标保证金将在签订合同后</w:t>
      </w:r>
      <w:r>
        <w:rPr>
          <w:rFonts w:hint="eastAsia" w:ascii="宋体" w:hAnsi="宋体" w:cs="宋体"/>
          <w:color w:val="000000"/>
          <w:sz w:val="24"/>
          <w:szCs w:val="24"/>
          <w:u w:val="single"/>
        </w:rPr>
        <w:t>30</w:t>
      </w:r>
      <w:r>
        <w:rPr>
          <w:rFonts w:hint="eastAsia" w:ascii="宋体" w:hAnsi="宋体" w:cs="宋体"/>
          <w:color w:val="000000"/>
          <w:sz w:val="24"/>
          <w:szCs w:val="24"/>
        </w:rPr>
        <w:t>工作日内返还，保证金无息返还。</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5.3发生以下情况时，有权没收保证金：</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①截至开标前3天，供应商无正当理由、未以书面形式递交说明而在投标截止日不来投标的；</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②供应商递送文件后，无正当理由放弃投标的；</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③自中标（成交）通知书发出之日起30日内，中标（成交）供应商无正当理由不签订合同的；</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④投标过程中被查实有串标、围标、陪标等违规违纪行为的；</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⑤供应商有违约违规行为或被投诉、举报的，在调查处理期间，保证金暂不退还，待调查处理结束后按有关规定处理。</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5.4投标报名截止时间：</w:t>
      </w:r>
      <w:r>
        <w:rPr>
          <w:rFonts w:hint="eastAsia" w:ascii="宋体" w:hAnsi="宋体" w:cs="宋体"/>
          <w:sz w:val="24"/>
          <w:szCs w:val="22"/>
          <w:highlight w:val="yellow"/>
        </w:rPr>
        <w:t>2022年1</w:t>
      </w:r>
      <w:r>
        <w:rPr>
          <w:rFonts w:hint="eastAsia" w:ascii="宋体" w:hAnsi="宋体" w:cs="宋体"/>
          <w:sz w:val="24"/>
          <w:szCs w:val="22"/>
          <w:highlight w:val="yellow"/>
          <w:lang w:val="en-US" w:eastAsia="zh-CN"/>
        </w:rPr>
        <w:t>1</w:t>
      </w:r>
      <w:r>
        <w:rPr>
          <w:rFonts w:hint="eastAsia" w:ascii="宋体" w:hAnsi="宋体" w:cs="宋体"/>
          <w:sz w:val="24"/>
          <w:szCs w:val="22"/>
          <w:highlight w:val="yellow"/>
        </w:rPr>
        <w:t>月</w:t>
      </w:r>
      <w:r>
        <w:rPr>
          <w:rFonts w:hint="eastAsia" w:ascii="宋体" w:hAnsi="宋体" w:cs="宋体"/>
          <w:sz w:val="24"/>
          <w:szCs w:val="22"/>
          <w:highlight w:val="yellow"/>
          <w:lang w:val="en-US" w:eastAsia="zh-CN"/>
        </w:rPr>
        <w:t>9</w:t>
      </w:r>
      <w:r>
        <w:rPr>
          <w:rFonts w:hint="eastAsia" w:ascii="宋体" w:hAnsi="宋体" w:cs="宋体"/>
          <w:sz w:val="24"/>
          <w:szCs w:val="22"/>
          <w:highlight w:val="yellow"/>
        </w:rPr>
        <w:t>日（周</w:t>
      </w:r>
      <w:r>
        <w:rPr>
          <w:rFonts w:hint="eastAsia" w:ascii="宋体" w:hAnsi="宋体" w:cs="宋体"/>
          <w:sz w:val="24"/>
          <w:szCs w:val="22"/>
          <w:highlight w:val="yellow"/>
          <w:lang w:val="en-US" w:eastAsia="zh-CN"/>
        </w:rPr>
        <w:t>三</w:t>
      </w:r>
      <w:r>
        <w:rPr>
          <w:rFonts w:hint="eastAsia" w:ascii="宋体" w:hAnsi="宋体" w:cs="宋体"/>
          <w:sz w:val="24"/>
          <w:szCs w:val="22"/>
          <w:highlight w:val="yellow"/>
        </w:rPr>
        <w:t>）下午17点前</w:t>
      </w:r>
      <w:r>
        <w:rPr>
          <w:rFonts w:hint="eastAsia" w:ascii="宋体" w:hAnsi="宋体" w:cs="宋体"/>
          <w:color w:val="000000"/>
          <w:sz w:val="24"/>
          <w:szCs w:val="24"/>
        </w:rPr>
        <w:t>，逾期不受理。</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报名方式：邮件（电话不受理）</w:t>
      </w:r>
    </w:p>
    <w:p>
      <w:pPr>
        <w:widowControl/>
        <w:spacing w:line="324" w:lineRule="auto"/>
        <w:ind w:firstLine="482" w:firstLineChars="200"/>
        <w:rPr>
          <w:rFonts w:ascii="宋体" w:hAnsi="宋体" w:cs="宋体"/>
          <w:b/>
          <w:sz w:val="24"/>
          <w:szCs w:val="24"/>
        </w:rPr>
      </w:pPr>
      <w:r>
        <w:rPr>
          <w:rFonts w:hint="eastAsia" w:ascii="宋体" w:hAnsi="宋体" w:cs="宋体"/>
          <w:b/>
          <w:color w:val="000000"/>
          <w:sz w:val="24"/>
          <w:szCs w:val="24"/>
        </w:rPr>
        <w:t>邮    箱：</w:t>
      </w:r>
      <w:r>
        <w:fldChar w:fldCharType="begin"/>
      </w:r>
      <w:r>
        <w:instrText xml:space="preserve"> HYPERLINK "mailto:576591917@qq.com5" </w:instrText>
      </w:r>
      <w:r>
        <w:fldChar w:fldCharType="separate"/>
      </w:r>
      <w:r>
        <w:rPr>
          <w:rFonts w:hint="eastAsia" w:ascii="宋体" w:hAnsi="宋体" w:cs="宋体"/>
          <w:sz w:val="24"/>
          <w:szCs w:val="24"/>
        </w:rPr>
        <w:t>shenxiaofeng@sinotruk.com</w:t>
      </w:r>
      <w:r>
        <w:rPr>
          <w:rFonts w:hint="eastAsia" w:ascii="宋体" w:hAnsi="宋体" w:cs="宋体"/>
          <w:sz w:val="24"/>
          <w:szCs w:val="24"/>
        </w:rPr>
        <w:fldChar w:fldCharType="end"/>
      </w:r>
    </w:p>
    <w:p>
      <w:pPr>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 xml:space="preserve">投标邮件主题：某单位授权某代表参与投标某项目+授权代表电话    </w:t>
      </w:r>
    </w:p>
    <w:p>
      <w:pPr>
        <w:spacing w:line="360" w:lineRule="auto"/>
        <w:ind w:firstLine="482" w:firstLineChars="200"/>
        <w:rPr>
          <w:rFonts w:ascii="宋体" w:hAnsi="宋体" w:cs="宋体"/>
          <w:color w:val="000000"/>
          <w:sz w:val="24"/>
          <w:szCs w:val="24"/>
        </w:rPr>
      </w:pPr>
      <w:r>
        <w:rPr>
          <w:rFonts w:hint="eastAsia" w:ascii="宋体" w:hAnsi="宋体" w:cs="宋体"/>
          <w:b/>
          <w:color w:val="000000"/>
          <w:sz w:val="24"/>
          <w:szCs w:val="24"/>
        </w:rPr>
        <w:t>报名提交资料：营业执照、授权书、投标保证金电子回单，</w:t>
      </w:r>
      <w:r>
        <w:rPr>
          <w:rFonts w:hint="eastAsia" w:ascii="宋体" w:hAnsi="宋体" w:cs="宋体"/>
          <w:color w:val="000000"/>
          <w:sz w:val="24"/>
          <w:szCs w:val="24"/>
        </w:rPr>
        <w:t>（三个附件发送，不要发压缩包，不要使用126或者123邮箱报名，我公司无法打开下载）</w:t>
      </w:r>
    </w:p>
    <w:p>
      <w:pPr>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邮件正文</w:t>
      </w:r>
      <w:r>
        <w:rPr>
          <w:rFonts w:hint="eastAsia" w:ascii="宋体" w:hAnsi="宋体" w:cs="宋体"/>
          <w:color w:val="000000"/>
          <w:sz w:val="24"/>
          <w:szCs w:val="24"/>
        </w:rPr>
        <w:t>：请务必在邮件正文中文字表述</w:t>
      </w:r>
      <w:r>
        <w:rPr>
          <w:rFonts w:hint="eastAsia" w:ascii="宋体" w:hAnsi="宋体" w:cs="宋体"/>
          <w:b/>
          <w:color w:val="000000"/>
          <w:sz w:val="24"/>
          <w:szCs w:val="24"/>
        </w:rPr>
        <w:t>付款账号、户名、开户行行号、保证金金额。</w:t>
      </w:r>
    </w:p>
    <w:p>
      <w:pPr>
        <w:spacing w:line="360" w:lineRule="auto"/>
        <w:ind w:firstLine="482" w:firstLineChars="200"/>
        <w:rPr>
          <w:rFonts w:ascii="宋体" w:hAnsi="宋体" w:cs="宋体"/>
          <w:b/>
          <w:color w:val="000000"/>
          <w:sz w:val="24"/>
          <w:szCs w:val="24"/>
        </w:rPr>
      </w:pPr>
      <w:r>
        <w:rPr>
          <w:rFonts w:hint="eastAsia" w:ascii="宋体" w:hAnsi="宋体" w:cs="宋体"/>
          <w:b/>
          <w:color w:val="000000"/>
          <w:sz w:val="24"/>
          <w:szCs w:val="24"/>
        </w:rPr>
        <w:t>投标保证金缴纳时候，务必备注所投标的项目名称。</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highlight w:val="green"/>
        </w:rPr>
        <w:t>不按要求报名的，或因未提供相关信息导致后期无法退回保证金的，需投标单位承担。报名后无需电话询问是否报名成功，我单位会通过邮件一一回复。</w:t>
      </w:r>
    </w:p>
    <w:p>
      <w:pPr>
        <w:numPr>
          <w:ilvl w:val="0"/>
          <w:numId w:val="9"/>
        </w:numPr>
        <w:spacing w:line="360" w:lineRule="auto"/>
        <w:ind w:left="976" w:hanging="396"/>
        <w:rPr>
          <w:rFonts w:ascii="宋体" w:hAnsi="宋体" w:cs="宋体"/>
          <w:color w:val="000000"/>
          <w:sz w:val="24"/>
          <w:szCs w:val="24"/>
        </w:rPr>
      </w:pPr>
      <w:r>
        <w:rPr>
          <w:rFonts w:hint="eastAsia" w:ascii="宋体" w:hAnsi="宋体" w:cs="宋体"/>
          <w:b/>
          <w:color w:val="000000"/>
          <w:sz w:val="24"/>
          <w:szCs w:val="24"/>
        </w:rPr>
        <w:t>如果是授权委托人投标，</w:t>
      </w:r>
      <w:r>
        <w:rPr>
          <w:rFonts w:hint="eastAsia" w:ascii="宋体" w:hAnsi="宋体" w:cs="宋体"/>
          <w:color w:val="000000"/>
          <w:sz w:val="24"/>
          <w:szCs w:val="24"/>
        </w:rPr>
        <w:t>要提交三证合一的营业执照副本、法人授权委托书（含法人及授权人身份信息证明、授权代表联系方式）</w:t>
      </w:r>
    </w:p>
    <w:p>
      <w:pPr>
        <w:numPr>
          <w:ilvl w:val="0"/>
          <w:numId w:val="9"/>
        </w:numPr>
        <w:spacing w:line="360" w:lineRule="auto"/>
        <w:ind w:left="976" w:hanging="396"/>
        <w:rPr>
          <w:rFonts w:ascii="宋体" w:hAnsi="宋体" w:cs="宋体"/>
          <w:color w:val="000000"/>
          <w:sz w:val="24"/>
          <w:szCs w:val="24"/>
        </w:rPr>
      </w:pPr>
      <w:r>
        <w:rPr>
          <w:rFonts w:hint="eastAsia" w:ascii="宋体" w:hAnsi="宋体" w:cs="宋体"/>
          <w:b/>
          <w:color w:val="000000"/>
          <w:sz w:val="24"/>
          <w:szCs w:val="24"/>
        </w:rPr>
        <w:t>如果是法人参加投标</w:t>
      </w:r>
      <w:r>
        <w:rPr>
          <w:rFonts w:hint="eastAsia" w:ascii="宋体" w:hAnsi="宋体" w:cs="宋体"/>
          <w:color w:val="000000"/>
          <w:sz w:val="24"/>
          <w:szCs w:val="24"/>
        </w:rPr>
        <w:t>，要提交三证合一的营业执照副本、法人代表证明文件</w:t>
      </w:r>
    </w:p>
    <w:p>
      <w:pPr>
        <w:numPr>
          <w:ilvl w:val="0"/>
          <w:numId w:val="9"/>
        </w:numPr>
        <w:spacing w:line="360" w:lineRule="auto"/>
        <w:ind w:left="976" w:hanging="396"/>
        <w:rPr>
          <w:rFonts w:ascii="宋体" w:hAnsi="宋体" w:cs="宋体"/>
          <w:color w:val="000000"/>
          <w:sz w:val="24"/>
          <w:szCs w:val="24"/>
        </w:rPr>
      </w:pPr>
      <w:r>
        <w:rPr>
          <w:rFonts w:hint="eastAsia" w:ascii="宋体" w:hAnsi="宋体" w:cs="宋体"/>
          <w:b/>
          <w:color w:val="000000"/>
          <w:sz w:val="24"/>
          <w:szCs w:val="24"/>
        </w:rPr>
        <w:t>如果是代理商投标</w:t>
      </w:r>
      <w:r>
        <w:rPr>
          <w:rFonts w:hint="eastAsia" w:ascii="宋体" w:hAnsi="宋体" w:cs="宋体"/>
          <w:color w:val="000000"/>
          <w:sz w:val="24"/>
          <w:szCs w:val="24"/>
        </w:rPr>
        <w:t>，除上述a)b)中要求的资料，要另外携带生产商的授权书、原厂售后服务承诺书</w:t>
      </w:r>
    </w:p>
    <w:p>
      <w:pPr>
        <w:pStyle w:val="50"/>
        <w:rPr>
          <w:highlight w:val="none"/>
        </w:rPr>
      </w:pPr>
      <w:bookmarkStart w:id="42" w:name="_Toc4349"/>
      <w:r>
        <w:rPr>
          <w:rFonts w:hint="eastAsia"/>
          <w:highlight w:val="none"/>
        </w:rPr>
        <w:t>6、开标时间</w:t>
      </w:r>
      <w:bookmarkEnd w:id="42"/>
    </w:p>
    <w:p>
      <w:pPr>
        <w:pStyle w:val="2"/>
        <w:spacing w:line="36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11</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日下午</w:t>
      </w:r>
      <w:r>
        <w:rPr>
          <w:rFonts w:ascii="仿宋" w:hAnsi="仿宋" w:eastAsia="仿宋" w:cs="仿宋"/>
          <w:color w:val="000000"/>
          <w:sz w:val="24"/>
          <w:szCs w:val="24"/>
          <w:highlight w:val="none"/>
        </w:rPr>
        <w:t>13</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0开始，若有变动另行通知。</w:t>
      </w:r>
    </w:p>
    <w:p>
      <w:pPr>
        <w:pStyle w:val="50"/>
        <w:rPr>
          <w:highlight w:val="none"/>
        </w:rPr>
      </w:pPr>
      <w:bookmarkStart w:id="43" w:name="_Toc14885"/>
      <w:r>
        <w:rPr>
          <w:highlight w:val="none"/>
        </w:rPr>
        <w:t>7</w:t>
      </w:r>
      <w:r>
        <w:rPr>
          <w:rFonts w:hint="eastAsia"/>
          <w:highlight w:val="none"/>
        </w:rPr>
        <w:t>、开标方式</w:t>
      </w:r>
      <w:bookmarkEnd w:id="43"/>
    </w:p>
    <w:p>
      <w:pPr>
        <w:pStyle w:val="54"/>
        <w:rPr>
          <w:highlight w:val="none"/>
        </w:rPr>
      </w:pPr>
      <w:r>
        <w:rPr>
          <w:rFonts w:hint="eastAsia" w:ascii="仿宋" w:hAnsi="仿宋" w:cs="仿宋"/>
          <w:color w:val="000000"/>
          <w:highlight w:val="none"/>
        </w:rPr>
        <w:t>根据授权代表近期出行状况而定。授权代表自行在国务院客户端（微信小程序名称）进行查询，若授权代表及所在公司在中高风险区，选择视频参与投标，视频链接会在报名后统一邮件回复，提前邮寄投标文件即可；若授权代表及所在公司在低风险区，则可以来现场进行投标，需提供健康码、到达济南后进行的三天以内的核酸检测阴性结果和国务院客户端的两个证明：疫情风险查询和防疫行程卡（近14天）。</w:t>
      </w:r>
      <w:r>
        <w:rPr>
          <w:rFonts w:hint="eastAsia"/>
          <w:highlight w:val="none"/>
        </w:rPr>
        <w:t>具体执行济南市及中国重型汽车集团有限公司疫情防控政策，投标方出行前请与招标方沟通。</w:t>
      </w:r>
    </w:p>
    <w:p>
      <w:pPr>
        <w:pStyle w:val="54"/>
        <w:rPr>
          <w:highlight w:val="none"/>
        </w:rPr>
      </w:pPr>
      <w:r>
        <w:rPr>
          <w:rFonts w:hint="eastAsia"/>
          <w:bCs/>
          <w:highlight w:val="none"/>
        </w:rPr>
        <w:t>邮寄时注意：</w:t>
      </w:r>
      <w:r>
        <w:rPr>
          <w:rFonts w:hint="eastAsia"/>
          <w:highlight w:val="none"/>
        </w:rPr>
        <w:t>快递封面上请务必填写清楚是项目名称、公司名称及授权代表电话。</w:t>
      </w:r>
    </w:p>
    <w:p>
      <w:pPr>
        <w:pStyle w:val="54"/>
        <w:rPr>
          <w:highlight w:val="none"/>
        </w:rPr>
      </w:pPr>
      <w:r>
        <w:rPr>
          <w:rFonts w:hint="eastAsia"/>
          <w:highlight w:val="none"/>
        </w:rPr>
        <w:t>招标文件邮寄地址：山东省济南市历城区华奥路777号重汽科技大厦，王佳05</w:t>
      </w:r>
      <w:r>
        <w:rPr>
          <w:highlight w:val="none"/>
        </w:rPr>
        <w:t>3</w:t>
      </w:r>
      <w:r>
        <w:rPr>
          <w:rFonts w:hint="eastAsia"/>
          <w:highlight w:val="none"/>
        </w:rPr>
        <w:t>1-</w:t>
      </w:r>
      <w:r>
        <w:rPr>
          <w:highlight w:val="none"/>
        </w:rPr>
        <w:t>58066</w:t>
      </w:r>
      <w:r>
        <w:rPr>
          <w:rFonts w:hint="eastAsia"/>
          <w:highlight w:val="none"/>
        </w:rPr>
        <w:t>163。</w:t>
      </w:r>
    </w:p>
    <w:p>
      <w:pPr>
        <w:pStyle w:val="50"/>
        <w:rPr>
          <w:highlight w:val="none"/>
        </w:rPr>
      </w:pPr>
      <w:bookmarkStart w:id="44" w:name="_Toc17062"/>
      <w:r>
        <w:rPr>
          <w:highlight w:val="none"/>
        </w:rPr>
        <w:t>8</w:t>
      </w:r>
      <w:r>
        <w:rPr>
          <w:rFonts w:hint="eastAsia"/>
          <w:highlight w:val="none"/>
        </w:rPr>
        <w:t>、现场资质审验</w:t>
      </w:r>
      <w:bookmarkEnd w:id="44"/>
    </w:p>
    <w:p>
      <w:pPr>
        <w:pStyle w:val="54"/>
        <w:rPr>
          <w:rFonts w:ascii="仿宋" w:hAnsi="仿宋" w:cs="仿宋"/>
          <w:highlight w:val="none"/>
        </w:rPr>
      </w:pPr>
      <w:r>
        <w:rPr>
          <w:rFonts w:hint="eastAsia" w:ascii="仿宋" w:hAnsi="仿宋" w:cs="仿宋"/>
          <w:highlight w:val="none"/>
        </w:rPr>
        <w:t>详见投标条件→资质证明文件。（本文档搜索“资质证明文件”查找即可）</w:t>
      </w:r>
    </w:p>
    <w:p>
      <w:pPr>
        <w:pStyle w:val="54"/>
        <w:rPr>
          <w:rFonts w:ascii="仿宋" w:hAnsi="仿宋" w:cs="仿宋"/>
          <w:highlight w:val="none"/>
        </w:rPr>
      </w:pPr>
      <w:r>
        <w:rPr>
          <w:rFonts w:hint="eastAsia" w:ascii="仿宋" w:hAnsi="仿宋" w:cs="仿宋"/>
          <w:highlight w:val="none"/>
        </w:rPr>
        <w:t>投标地点：</w:t>
      </w:r>
      <w:bookmarkStart w:id="45" w:name="OLE_LINK2"/>
      <w:bookmarkStart w:id="46" w:name="OLE_LINK3"/>
      <w:r>
        <w:rPr>
          <w:rFonts w:hint="eastAsia" w:ascii="仿宋" w:hAnsi="仿宋" w:cs="仿宋"/>
          <w:highlight w:val="none"/>
        </w:rPr>
        <w:t>重汽科技</w:t>
      </w:r>
      <w:r>
        <w:rPr>
          <w:rFonts w:hint="eastAsia" w:ascii="仿宋" w:hAnsi="仿宋" w:cs="仿宋"/>
          <w:highlight w:val="none"/>
          <w:lang w:val="en-US" w:eastAsia="zh-CN"/>
        </w:rPr>
        <w:t>园区8号</w:t>
      </w:r>
      <w:r>
        <w:rPr>
          <w:rFonts w:hint="eastAsia" w:ascii="仿宋" w:hAnsi="仿宋" w:cs="仿宋"/>
          <w:highlight w:val="none"/>
        </w:rPr>
        <w:t>楼会议室</w:t>
      </w:r>
      <w:bookmarkEnd w:id="45"/>
      <w:bookmarkEnd w:id="46"/>
    </w:p>
    <w:p>
      <w:pPr>
        <w:pStyle w:val="80"/>
        <w:rPr>
          <w:highlight w:val="none"/>
        </w:rPr>
      </w:pPr>
      <w:bookmarkStart w:id="47" w:name="_Toc8678"/>
      <w:r>
        <w:rPr>
          <w:rFonts w:hint="eastAsia"/>
          <w:highlight w:val="none"/>
        </w:rPr>
        <w:t>六、评标</w:t>
      </w:r>
      <w:bookmarkEnd w:id="47"/>
    </w:p>
    <w:p>
      <w:pPr>
        <w:pStyle w:val="50"/>
        <w:rPr>
          <w:rFonts w:ascii="宋体" w:hAnsi="宋体" w:cs="宋体"/>
          <w:highlight w:val="none"/>
        </w:rPr>
      </w:pPr>
      <w:bookmarkStart w:id="48" w:name="_Toc19405"/>
      <w:r>
        <w:rPr>
          <w:rFonts w:hint="eastAsia" w:ascii="宋体" w:hAnsi="宋体" w:cs="宋体"/>
          <w:highlight w:val="none"/>
        </w:rPr>
        <w:t>1、评标</w:t>
      </w:r>
      <w:bookmarkEnd w:id="48"/>
    </w:p>
    <w:p>
      <w:pPr>
        <w:pStyle w:val="54"/>
        <w:rPr>
          <w:rFonts w:ascii="仿宋" w:hAnsi="仿宋" w:cs="仿宋"/>
          <w:highlight w:val="none"/>
        </w:rPr>
      </w:pPr>
      <w:r>
        <w:rPr>
          <w:rFonts w:hint="eastAsia" w:ascii="仿宋" w:hAnsi="仿宋" w:cs="仿宋"/>
          <w:highlight w:val="none"/>
        </w:rPr>
        <w:t>为保证项目顺利实施，由招标人组织、按国家法律法规及公司相关规章制度要求，设立评标工作小组，同时依据以下评分标准，采用综合评定法，本着公平、公正、公开的原则，在最大限度地满足招标文件实质性要求的前提下，对招标文件中规定的各项因素进行综合评审，推荐中标人（不保证最低价格中标），对未中标单位不</w:t>
      </w:r>
      <w:r>
        <w:rPr>
          <w:rFonts w:hint="eastAsia" w:ascii="仿宋" w:hAnsi="仿宋" w:cs="仿宋"/>
          <w:highlight w:val="none"/>
          <w:lang w:eastAsia="zh-CN"/>
        </w:rPr>
        <w:t>作</w:t>
      </w:r>
      <w:r>
        <w:rPr>
          <w:rFonts w:hint="eastAsia" w:ascii="仿宋" w:hAnsi="仿宋" w:cs="仿宋"/>
          <w:highlight w:val="none"/>
        </w:rPr>
        <w:t>任何解释。招标人有权根据项目情况，采取多级评标模式，最终确定推荐中标人。</w:t>
      </w:r>
    </w:p>
    <w:p>
      <w:pPr>
        <w:pStyle w:val="54"/>
        <w:rPr>
          <w:rFonts w:ascii="仿宋" w:hAnsi="仿宋" w:cs="仿宋"/>
          <w:highlight w:val="none"/>
        </w:rPr>
      </w:pPr>
      <w:r>
        <w:rPr>
          <w:rFonts w:hint="eastAsia" w:ascii="仿宋" w:hAnsi="仿宋" w:cs="仿宋"/>
          <w:highlight w:val="none"/>
        </w:rPr>
        <w:t>评标流程：</w:t>
      </w:r>
    </w:p>
    <w:p>
      <w:pPr>
        <w:pStyle w:val="54"/>
        <w:numPr>
          <w:ilvl w:val="0"/>
          <w:numId w:val="10"/>
        </w:numPr>
        <w:ind w:firstLineChars="0"/>
        <w:rPr>
          <w:rFonts w:ascii="仿宋" w:hAnsi="仿宋" w:cs="仿宋"/>
          <w:highlight w:val="none"/>
        </w:rPr>
      </w:pPr>
      <w:r>
        <w:rPr>
          <w:rFonts w:hint="eastAsia" w:ascii="仿宋" w:hAnsi="仿宋" w:cs="仿宋"/>
          <w:highlight w:val="none"/>
        </w:rPr>
        <w:t>资质审核：投标文件组成8.1中要求的（1）-（8）资质证明文件审核；通过资质审核的单位可以进入技术评议，没有通过的单位不能进入技术评议。</w:t>
      </w:r>
    </w:p>
    <w:p>
      <w:pPr>
        <w:pStyle w:val="54"/>
        <w:numPr>
          <w:ilvl w:val="0"/>
          <w:numId w:val="10"/>
        </w:numPr>
        <w:ind w:firstLineChars="0"/>
        <w:rPr>
          <w:rFonts w:ascii="仿宋" w:hAnsi="仿宋" w:cs="仿宋"/>
          <w:highlight w:val="none"/>
        </w:rPr>
      </w:pPr>
      <w:r>
        <w:rPr>
          <w:rFonts w:hint="eastAsia" w:ascii="仿宋" w:hAnsi="仿宋" w:cs="仿宋"/>
          <w:highlight w:val="none"/>
        </w:rPr>
        <w:t>技术评议合格的单位可以进入商务评议环节，技术评议不合格的单位会面临淘汰。</w:t>
      </w:r>
    </w:p>
    <w:p>
      <w:pPr>
        <w:pStyle w:val="54"/>
        <w:numPr>
          <w:ilvl w:val="0"/>
          <w:numId w:val="10"/>
        </w:numPr>
        <w:ind w:firstLineChars="0"/>
        <w:rPr>
          <w:rFonts w:ascii="仿宋" w:hAnsi="仿宋" w:cs="仿宋"/>
          <w:highlight w:val="none"/>
        </w:rPr>
      </w:pPr>
      <w:r>
        <w:rPr>
          <w:rFonts w:hint="eastAsia" w:ascii="仿宋" w:hAnsi="仿宋" w:cs="仿宋"/>
          <w:highlight w:val="none"/>
        </w:rPr>
        <w:t>商务评议：先公开唱标→商务条款相应确认→商务评议；</w:t>
      </w:r>
    </w:p>
    <w:p>
      <w:pPr>
        <w:pStyle w:val="54"/>
        <w:numPr>
          <w:ilvl w:val="0"/>
          <w:numId w:val="10"/>
        </w:numPr>
        <w:ind w:firstLineChars="0"/>
        <w:rPr>
          <w:rFonts w:ascii="仿宋" w:hAnsi="仿宋" w:cs="仿宋"/>
          <w:highlight w:val="none"/>
        </w:rPr>
      </w:pPr>
      <w:r>
        <w:rPr>
          <w:rFonts w:hint="eastAsia" w:ascii="仿宋" w:hAnsi="仿宋" w:cs="仿宋"/>
          <w:highlight w:val="none"/>
        </w:rPr>
        <w:t>综合评价：根据技术和价格综合得分，择优选择供应商。</w:t>
      </w:r>
    </w:p>
    <w:p>
      <w:pPr>
        <w:rPr>
          <w:rFonts w:ascii="仿宋" w:hAnsi="仿宋" w:cs="仿宋"/>
          <w:highlight w:val="none"/>
        </w:rPr>
      </w:pPr>
      <w:r>
        <w:rPr>
          <w:rFonts w:hint="eastAsia" w:ascii="仿宋" w:hAnsi="仿宋" w:cs="仿宋"/>
          <w:highlight w:val="none"/>
        </w:rPr>
        <w:br w:type="page"/>
      </w:r>
    </w:p>
    <w:p>
      <w:pPr>
        <w:pStyle w:val="50"/>
        <w:rPr>
          <w:rFonts w:hint="default" w:ascii="宋体" w:hAnsi="宋体" w:eastAsia="宋体" w:cs="宋体"/>
          <w:highlight w:val="none"/>
          <w:lang w:val="en-US" w:eastAsia="zh-CN"/>
        </w:rPr>
      </w:pPr>
      <w:bookmarkStart w:id="49" w:name="_Toc8537"/>
      <w:r>
        <w:rPr>
          <w:rFonts w:hint="eastAsia" w:ascii="宋体" w:hAnsi="宋体" w:cs="宋体"/>
          <w:highlight w:val="none"/>
        </w:rPr>
        <w:t>2、</w:t>
      </w:r>
      <w:bookmarkStart w:id="50" w:name="OLE_LINK4"/>
      <w:r>
        <w:rPr>
          <w:rFonts w:hint="eastAsia" w:ascii="宋体" w:hAnsi="宋体" w:cs="宋体"/>
          <w:highlight w:val="none"/>
        </w:rPr>
        <w:t>评分标准</w:t>
      </w:r>
      <w:bookmarkEnd w:id="49"/>
    </w:p>
    <w:p>
      <w:pPr>
        <w:pStyle w:val="2"/>
        <w:spacing w:line="360" w:lineRule="auto"/>
        <w:ind w:firstLine="470" w:firstLineChars="196"/>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评标依据：采用综合评分法</w:t>
      </w:r>
      <w:r>
        <w:rPr>
          <w:rFonts w:hint="eastAsia" w:ascii="仿宋" w:hAnsi="仿宋" w:eastAsia="仿宋" w:cs="仿宋"/>
          <w:color w:val="000000"/>
          <w:sz w:val="24"/>
          <w:szCs w:val="24"/>
          <w:highlight w:val="none"/>
          <w:lang w:val="en-US" w:eastAsia="zh-CN"/>
        </w:rPr>
        <w:t>---</w:t>
      </w:r>
      <w:r>
        <w:rPr>
          <w:rFonts w:hint="eastAsia" w:ascii="宋体" w:hAnsi="宋体" w:eastAsia="宋体" w:cs="宋体"/>
          <w:b/>
          <w:bCs/>
          <w:color w:val="auto"/>
          <w:sz w:val="21"/>
          <w:szCs w:val="20"/>
          <w:highlight w:val="none"/>
          <w:lang w:val="en-US" w:eastAsia="zh-CN"/>
        </w:rPr>
        <w:t>整车</w:t>
      </w:r>
      <w:r>
        <w:rPr>
          <w:rFonts w:hint="eastAsia" w:ascii="宋体" w:hAnsi="宋体" w:cs="宋体"/>
          <w:b/>
          <w:bCs/>
          <w:highlight w:val="none"/>
          <w:lang w:val="en-US" w:eastAsia="zh-CN"/>
        </w:rPr>
        <w:t>性能场地子项目</w:t>
      </w:r>
      <w:r>
        <w:rPr>
          <w:rFonts w:hint="eastAsia" w:hAnsi="宋体" w:cs="宋体"/>
          <w:b/>
          <w:bCs/>
          <w:highlight w:val="none"/>
          <w:lang w:val="en-US" w:eastAsia="zh-CN"/>
        </w:rPr>
        <w:t>适用</w:t>
      </w:r>
    </w:p>
    <w:bookmarkEnd w:id="50"/>
    <w:tbl>
      <w:tblPr>
        <w:tblStyle w:val="32"/>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7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11" w:type="dxa"/>
            <w:vAlign w:val="center"/>
          </w:tcPr>
          <w:p>
            <w:pPr>
              <w:tabs>
                <w:tab w:val="left" w:pos="7854"/>
              </w:tabs>
              <w:spacing w:line="300" w:lineRule="exact"/>
              <w:jc w:val="center"/>
              <w:rPr>
                <w:rFonts w:ascii="宋体" w:hAnsi="宋体"/>
                <w:b/>
                <w:color w:val="000000"/>
                <w:sz w:val="24"/>
                <w:szCs w:val="24"/>
                <w:highlight w:val="none"/>
              </w:rPr>
            </w:pPr>
            <w:r>
              <w:rPr>
                <w:rFonts w:hint="eastAsia" w:ascii="宋体" w:hAnsi="宋体"/>
                <w:b/>
                <w:color w:val="000000"/>
                <w:sz w:val="24"/>
                <w:szCs w:val="24"/>
                <w:highlight w:val="none"/>
              </w:rPr>
              <w:t>评审项目</w:t>
            </w:r>
          </w:p>
        </w:tc>
        <w:tc>
          <w:tcPr>
            <w:tcW w:w="7851" w:type="dxa"/>
            <w:vAlign w:val="center"/>
          </w:tcPr>
          <w:p>
            <w:pPr>
              <w:tabs>
                <w:tab w:val="left" w:pos="7854"/>
              </w:tabs>
              <w:spacing w:line="300" w:lineRule="exact"/>
              <w:jc w:val="center"/>
              <w:rPr>
                <w:rFonts w:ascii="宋体" w:hAnsi="宋体"/>
                <w:b/>
                <w:color w:val="000000"/>
                <w:sz w:val="24"/>
                <w:szCs w:val="24"/>
                <w:highlight w:val="none"/>
              </w:rPr>
            </w:pPr>
            <w:r>
              <w:rPr>
                <w:rFonts w:hint="eastAsia" w:ascii="宋体" w:hAnsi="宋体"/>
                <w:b/>
                <w:color w:val="000000"/>
                <w:sz w:val="24"/>
                <w:szCs w:val="24"/>
                <w:highlight w:val="none"/>
              </w:rPr>
              <w:t>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jc w:val="center"/>
        </w:trPr>
        <w:tc>
          <w:tcPr>
            <w:tcW w:w="1211" w:type="dxa"/>
            <w:vMerge w:val="restart"/>
            <w:vAlign w:val="center"/>
          </w:tcPr>
          <w:p>
            <w:pPr>
              <w:tabs>
                <w:tab w:val="left" w:pos="7854"/>
              </w:tabs>
              <w:spacing w:line="300" w:lineRule="exact"/>
              <w:jc w:val="center"/>
              <w:rPr>
                <w:rFonts w:ascii="宋体" w:hAnsi="宋体"/>
                <w:b/>
                <w:color w:val="000000"/>
                <w:sz w:val="24"/>
                <w:szCs w:val="24"/>
                <w:highlight w:val="none"/>
              </w:rPr>
            </w:pPr>
            <w:r>
              <w:rPr>
                <w:rFonts w:hint="eastAsia" w:ascii="宋体" w:hAnsi="宋体"/>
                <w:b/>
                <w:color w:val="000000"/>
                <w:sz w:val="24"/>
                <w:szCs w:val="24"/>
                <w:highlight w:val="none"/>
                <w:lang w:val="en-US" w:eastAsia="zh-CN"/>
              </w:rPr>
              <w:t>商务部分（60分）</w:t>
            </w:r>
          </w:p>
        </w:tc>
        <w:tc>
          <w:tcPr>
            <w:tcW w:w="7851" w:type="dxa"/>
            <w:vAlign w:val="center"/>
          </w:tcPr>
          <w:p>
            <w:pPr>
              <w:numPr>
                <w:ilvl w:val="-1"/>
                <w:numId w:val="0"/>
              </w:numPr>
              <w:tabs>
                <w:tab w:val="left" w:pos="7854"/>
              </w:tabs>
              <w:spacing w:line="300" w:lineRule="exact"/>
              <w:ind w:firstLine="0" w:firstLineChars="0"/>
              <w:rPr>
                <w:rFonts w:ascii="宋体" w:hAnsi="宋体"/>
                <w:color w:val="000000"/>
                <w:sz w:val="24"/>
                <w:szCs w:val="24"/>
                <w:highlight w:val="none"/>
              </w:rPr>
            </w:pPr>
            <w:r>
              <w:rPr>
                <w:rFonts w:hint="eastAsia" w:ascii="宋体" w:hAnsi="宋体"/>
                <w:color w:val="000000"/>
                <w:sz w:val="24"/>
                <w:szCs w:val="24"/>
                <w:highlight w:val="none"/>
                <w:lang w:val="en-US" w:eastAsia="zh-CN"/>
              </w:rPr>
              <w:t>a）</w:t>
            </w:r>
            <w:r>
              <w:rPr>
                <w:rFonts w:hint="eastAsia" w:ascii="宋体" w:hAnsi="宋体"/>
                <w:color w:val="000000"/>
                <w:sz w:val="24"/>
                <w:szCs w:val="24"/>
                <w:highlight w:val="none"/>
              </w:rPr>
              <w:t>场地</w:t>
            </w:r>
            <w:r>
              <w:rPr>
                <w:rFonts w:hint="eastAsia" w:ascii="宋体" w:hAnsi="宋体"/>
                <w:color w:val="000000"/>
                <w:sz w:val="24"/>
                <w:szCs w:val="24"/>
                <w:highlight w:val="none"/>
                <w:lang w:val="en-US" w:eastAsia="zh-CN"/>
              </w:rPr>
              <w:t>租用</w:t>
            </w:r>
            <w:r>
              <w:rPr>
                <w:rFonts w:hint="eastAsia" w:ascii="宋体" w:hAnsi="宋体"/>
                <w:color w:val="000000"/>
                <w:sz w:val="24"/>
                <w:szCs w:val="24"/>
                <w:highlight w:val="none"/>
              </w:rPr>
              <w:t>服务</w:t>
            </w:r>
            <w:r>
              <w:rPr>
                <w:rFonts w:hint="eastAsia" w:ascii="宋体" w:hAnsi="宋体"/>
                <w:color w:val="000000"/>
                <w:sz w:val="24"/>
                <w:szCs w:val="24"/>
                <w:highlight w:val="none"/>
                <w:lang w:eastAsia="zh-CN"/>
              </w:rPr>
              <w:t>（</w:t>
            </w:r>
            <w:r>
              <w:rPr>
                <w:rFonts w:hint="eastAsia" w:ascii="宋体" w:hAnsi="宋体"/>
                <w:b/>
                <w:bCs/>
                <w:color w:val="000000"/>
                <w:sz w:val="24"/>
                <w:szCs w:val="24"/>
                <w:highlight w:val="none"/>
                <w:lang w:val="en-US" w:eastAsia="zh-CN"/>
              </w:rPr>
              <w:t>50分</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w:t>
            </w:r>
          </w:p>
          <w:p>
            <w:pPr>
              <w:tabs>
                <w:tab w:val="left" w:pos="7854"/>
              </w:tabs>
              <w:spacing w:line="300" w:lineRule="exact"/>
              <w:ind w:firstLine="480" w:firstLineChars="200"/>
              <w:rPr>
                <w:rFonts w:hAnsi="宋体"/>
                <w:color w:val="000000"/>
                <w:sz w:val="24"/>
                <w:szCs w:val="24"/>
                <w:highlight w:val="none"/>
              </w:rPr>
            </w:pPr>
            <w:r>
              <w:rPr>
                <w:rFonts w:hint="eastAsia" w:ascii="宋体" w:hAnsi="宋体" w:cs="宋体"/>
                <w:color w:val="000000"/>
                <w:sz w:val="24"/>
                <w:szCs w:val="24"/>
                <w:highlight w:val="none"/>
              </w:rPr>
              <w:t>满足招标文件要求</w:t>
            </w:r>
            <w:r>
              <w:rPr>
                <w:rFonts w:hint="eastAsia" w:ascii="宋体" w:hAnsi="宋体" w:cs="宋体"/>
                <w:color w:val="000000"/>
                <w:sz w:val="24"/>
                <w:szCs w:val="24"/>
                <w:highlight w:val="none"/>
                <w:lang w:eastAsia="zh-CN"/>
              </w:rPr>
              <w:t>，</w:t>
            </w:r>
            <w:r>
              <w:rPr>
                <w:rFonts w:hint="eastAsia" w:ascii="宋体" w:hAnsi="宋体" w:cs="宋体"/>
                <w:sz w:val="24"/>
                <w:szCs w:val="24"/>
                <w:highlight w:val="none"/>
              </w:rPr>
              <w:t>有效报价</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直线</w:t>
            </w:r>
            <w:r>
              <w:rPr>
                <w:rFonts w:hint="eastAsia" w:ascii="宋体" w:hAnsi="宋体" w:cs="宋体"/>
                <w:color w:val="auto"/>
                <w:sz w:val="24"/>
                <w:szCs w:val="24"/>
                <w:highlight w:val="none"/>
              </w:rPr>
              <w:t>性能路每分钟报价×</w:t>
            </w:r>
            <w:r>
              <w:rPr>
                <w:rFonts w:hint="eastAsia" w:ascii="宋体" w:hAnsi="宋体" w:cs="宋体"/>
                <w:color w:val="auto"/>
                <w:sz w:val="24"/>
                <w:szCs w:val="24"/>
                <w:highlight w:val="none"/>
                <w:lang w:val="en-US" w:eastAsia="zh-CN"/>
              </w:rPr>
              <w:t>32%</w:t>
            </w:r>
            <w:r>
              <w:rPr>
                <w:rFonts w:hint="eastAsia" w:ascii="宋体" w:hAnsi="宋体" w:cs="宋体"/>
                <w:color w:val="auto"/>
                <w:sz w:val="24"/>
                <w:szCs w:val="24"/>
                <w:highlight w:val="none"/>
              </w:rPr>
              <w:t>+动态广场每分钟报价×</w:t>
            </w:r>
            <w:r>
              <w:rPr>
                <w:rFonts w:hint="eastAsia" w:ascii="宋体" w:hAnsi="宋体" w:cs="宋体"/>
                <w:color w:val="auto"/>
                <w:sz w:val="24"/>
                <w:szCs w:val="24"/>
                <w:highlight w:val="none"/>
                <w:lang w:val="en-US" w:eastAsia="zh-CN"/>
              </w:rPr>
              <w:t>51%</w:t>
            </w:r>
            <w:r>
              <w:rPr>
                <w:rFonts w:hint="eastAsia" w:ascii="宋体" w:hAnsi="宋体" w:cs="宋体"/>
                <w:color w:val="auto"/>
                <w:sz w:val="24"/>
                <w:szCs w:val="24"/>
                <w:highlight w:val="none"/>
              </w:rPr>
              <w:t>+ABS路每分钟报价×1</w:t>
            </w:r>
            <w:r>
              <w:rPr>
                <w:rFonts w:hint="eastAsia" w:ascii="宋体" w:hAnsi="宋体" w:cs="宋体"/>
                <w:color w:val="auto"/>
                <w:sz w:val="24"/>
                <w:szCs w:val="24"/>
                <w:highlight w:val="none"/>
                <w:lang w:val="en-US" w:eastAsia="zh-CN"/>
              </w:rPr>
              <w:t>7%</w:t>
            </w:r>
            <w:r>
              <w:rPr>
                <w:rFonts w:hint="eastAsia" w:ascii="宋体" w:hAnsi="宋体" w:cs="宋体"/>
                <w:sz w:val="24"/>
                <w:szCs w:val="24"/>
                <w:highlight w:val="none"/>
                <w:lang w:val="en-US" w:eastAsia="zh-CN"/>
              </w:rPr>
              <w:t>。</w:t>
            </w:r>
            <w:r>
              <w:rPr>
                <w:rFonts w:hint="eastAsia" w:ascii="宋体" w:hAnsi="宋体" w:cs="宋体"/>
                <w:color w:val="000000"/>
                <w:sz w:val="24"/>
                <w:szCs w:val="24"/>
                <w:highlight w:val="none"/>
                <w:lang w:val="en-US" w:eastAsia="zh-CN"/>
              </w:rPr>
              <w:t>投标方有效报价</w:t>
            </w:r>
            <w:r>
              <w:rPr>
                <w:rFonts w:hint="eastAsia" w:ascii="宋体" w:hAnsi="宋体" w:cs="宋体"/>
                <w:color w:val="000000"/>
                <w:sz w:val="24"/>
                <w:szCs w:val="24"/>
                <w:highlight w:val="none"/>
              </w:rPr>
              <w:t>最低</w:t>
            </w:r>
            <w:r>
              <w:rPr>
                <w:rFonts w:hint="eastAsia" w:ascii="宋体" w:hAnsi="宋体" w:cs="宋体"/>
                <w:color w:val="000000"/>
                <w:sz w:val="24"/>
                <w:szCs w:val="24"/>
                <w:highlight w:val="none"/>
                <w:lang w:val="en-US" w:eastAsia="zh-CN"/>
              </w:rPr>
              <w:t>的</w:t>
            </w:r>
            <w:r>
              <w:rPr>
                <w:rFonts w:hint="eastAsia" w:ascii="宋体" w:hAnsi="宋体" w:cs="宋体"/>
                <w:color w:val="000000"/>
                <w:sz w:val="24"/>
                <w:szCs w:val="24"/>
                <w:highlight w:val="none"/>
              </w:rPr>
              <w:t>为评标基准价，其</w:t>
            </w:r>
            <w:r>
              <w:rPr>
                <w:rFonts w:hint="eastAsia" w:ascii="宋体" w:hAnsi="宋体" w:cs="宋体"/>
                <w:color w:val="000000"/>
                <w:sz w:val="24"/>
                <w:szCs w:val="24"/>
                <w:highlight w:val="none"/>
                <w:lang w:val="en-US" w:eastAsia="zh-CN"/>
              </w:rPr>
              <w:t>得</w:t>
            </w:r>
            <w:r>
              <w:rPr>
                <w:rFonts w:hint="eastAsia" w:ascii="宋体" w:hAnsi="宋体" w:cs="宋体"/>
                <w:color w:val="000000"/>
                <w:sz w:val="24"/>
                <w:szCs w:val="24"/>
                <w:highlight w:val="none"/>
              </w:rPr>
              <w:t>分为满分（</w:t>
            </w:r>
            <w:r>
              <w:rPr>
                <w:rFonts w:hint="eastAsia" w:ascii="宋体" w:hAnsi="宋体" w:cs="宋体"/>
                <w:color w:val="000000"/>
                <w:sz w:val="24"/>
                <w:szCs w:val="24"/>
                <w:highlight w:val="none"/>
                <w:lang w:val="en-US" w:eastAsia="zh-CN"/>
              </w:rPr>
              <w:t>50</w:t>
            </w:r>
            <w:r>
              <w:rPr>
                <w:rFonts w:hint="eastAsia" w:ascii="宋体" w:hAnsi="宋体" w:cs="宋体"/>
                <w:color w:val="000000"/>
                <w:sz w:val="24"/>
                <w:szCs w:val="24"/>
                <w:highlight w:val="none"/>
              </w:rPr>
              <w:t>分）。其他</w:t>
            </w:r>
            <w:r>
              <w:rPr>
                <w:rFonts w:hint="eastAsia" w:ascii="宋体" w:hAnsi="宋体" w:cs="宋体"/>
                <w:color w:val="000000"/>
                <w:sz w:val="24"/>
                <w:szCs w:val="24"/>
                <w:highlight w:val="none"/>
                <w:lang w:val="en-US" w:eastAsia="zh-CN"/>
              </w:rPr>
              <w:t>投标方</w:t>
            </w:r>
            <w:r>
              <w:rPr>
                <w:rFonts w:hint="eastAsia" w:ascii="宋体" w:hAnsi="宋体" w:cs="宋体"/>
                <w:color w:val="000000"/>
                <w:sz w:val="24"/>
                <w:szCs w:val="24"/>
                <w:highlight w:val="none"/>
              </w:rPr>
              <w:t>的</w:t>
            </w:r>
            <w:r>
              <w:rPr>
                <w:rFonts w:hint="eastAsia" w:ascii="宋体" w:hAnsi="宋体" w:cs="宋体"/>
                <w:color w:val="000000"/>
                <w:sz w:val="24"/>
                <w:szCs w:val="24"/>
                <w:highlight w:val="none"/>
                <w:lang w:val="en-US" w:eastAsia="zh-CN"/>
              </w:rPr>
              <w:t>得分</w:t>
            </w:r>
            <w:r>
              <w:rPr>
                <w:rFonts w:hint="eastAsia" w:ascii="宋体" w:hAnsi="宋体" w:cs="宋体"/>
                <w:color w:val="000000"/>
                <w:sz w:val="24"/>
                <w:szCs w:val="24"/>
                <w:highlight w:val="none"/>
              </w:rPr>
              <w:t>统一按照下列公式计算：</w:t>
            </w:r>
            <w:r>
              <w:rPr>
                <w:rFonts w:hint="eastAsia" w:ascii="宋体" w:hAnsi="宋体" w:cs="宋体"/>
                <w:color w:val="000000"/>
                <w:sz w:val="24"/>
                <w:szCs w:val="24"/>
                <w:highlight w:val="none"/>
                <w:lang w:val="en-US" w:eastAsia="zh-CN"/>
              </w:rPr>
              <w:t>报价</w:t>
            </w:r>
            <w:r>
              <w:rPr>
                <w:rFonts w:hint="eastAsia" w:ascii="宋体" w:hAnsi="宋体" w:cs="宋体"/>
                <w:color w:val="000000"/>
                <w:sz w:val="24"/>
                <w:szCs w:val="24"/>
                <w:highlight w:val="none"/>
              </w:rPr>
              <w:t>得分＝（评标基准价/</w:t>
            </w:r>
            <w:r>
              <w:rPr>
                <w:rFonts w:hint="eastAsia" w:ascii="宋体" w:hAnsi="宋体" w:cs="宋体"/>
                <w:color w:val="000000"/>
                <w:sz w:val="24"/>
                <w:szCs w:val="24"/>
                <w:highlight w:val="none"/>
                <w:lang w:val="en-US" w:eastAsia="zh-CN"/>
              </w:rPr>
              <w:t>有效</w:t>
            </w:r>
            <w:r>
              <w:rPr>
                <w:rFonts w:hint="eastAsia" w:ascii="宋体" w:hAnsi="宋体" w:cs="宋体"/>
                <w:color w:val="000000"/>
                <w:sz w:val="24"/>
                <w:szCs w:val="24"/>
                <w:highlight w:val="none"/>
              </w:rPr>
              <w:t>报价）×价格权重（</w:t>
            </w:r>
            <w:r>
              <w:rPr>
                <w:rFonts w:hint="eastAsia" w:ascii="宋体" w:hAnsi="宋体" w:cs="宋体"/>
                <w:color w:val="000000"/>
                <w:sz w:val="24"/>
                <w:szCs w:val="24"/>
                <w:highlight w:val="none"/>
                <w:lang w:val="en-US" w:eastAsia="zh-CN"/>
              </w:rPr>
              <w:t>50</w:t>
            </w:r>
            <w:r>
              <w:rPr>
                <w:rFonts w:hint="eastAsia" w:ascii="宋体" w:hAnsi="宋体" w:cs="宋体"/>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1211" w:type="dxa"/>
            <w:vMerge w:val="continue"/>
            <w:vAlign w:val="center"/>
          </w:tcPr>
          <w:p>
            <w:pPr>
              <w:tabs>
                <w:tab w:val="left" w:pos="7854"/>
              </w:tabs>
              <w:spacing w:line="300" w:lineRule="exact"/>
              <w:jc w:val="center"/>
              <w:rPr>
                <w:rFonts w:hint="eastAsia" w:ascii="宋体" w:hAnsi="宋体"/>
                <w:b/>
                <w:color w:val="000000"/>
                <w:sz w:val="24"/>
                <w:szCs w:val="24"/>
                <w:highlight w:val="none"/>
                <w:lang w:val="en-US" w:eastAsia="zh-CN"/>
              </w:rPr>
            </w:pPr>
          </w:p>
        </w:tc>
        <w:tc>
          <w:tcPr>
            <w:tcW w:w="7851" w:type="dxa"/>
            <w:vAlign w:val="center"/>
          </w:tcPr>
          <w:p>
            <w:pPr>
              <w:pStyle w:val="2"/>
              <w:rPr>
                <w:rFonts w:hint="eastAsia" w:hAnsi="宋体" w:eastAsia="宋体"/>
                <w:color w:val="000000"/>
                <w:sz w:val="24"/>
                <w:szCs w:val="24"/>
                <w:highlight w:val="none"/>
                <w:lang w:eastAsia="zh-CN"/>
              </w:rPr>
            </w:pPr>
            <w:r>
              <w:rPr>
                <w:rFonts w:hint="eastAsia"/>
                <w:sz w:val="24"/>
                <w:szCs w:val="22"/>
                <w:highlight w:val="none"/>
              </w:rPr>
              <w:t>b</w:t>
            </w:r>
            <w:r>
              <w:rPr>
                <w:rFonts w:hint="eastAsia" w:ascii="宋体" w:hAnsi="宋体"/>
                <w:color w:val="000000"/>
                <w:sz w:val="24"/>
                <w:szCs w:val="24"/>
                <w:highlight w:val="none"/>
                <w:lang w:val="en-US" w:eastAsia="zh-CN"/>
              </w:rPr>
              <w:t>）</w:t>
            </w:r>
            <w:r>
              <w:rPr>
                <w:rFonts w:hint="eastAsia" w:hAnsi="宋体"/>
                <w:color w:val="000000"/>
                <w:sz w:val="24"/>
                <w:szCs w:val="24"/>
                <w:highlight w:val="none"/>
              </w:rPr>
              <w:t>维修服务</w:t>
            </w:r>
            <w:r>
              <w:rPr>
                <w:rFonts w:hint="eastAsia" w:hAnsi="宋体"/>
                <w:color w:val="000000"/>
                <w:sz w:val="24"/>
                <w:szCs w:val="24"/>
                <w:highlight w:val="none"/>
                <w:lang w:eastAsia="zh-CN"/>
              </w:rPr>
              <w:t>（</w:t>
            </w:r>
            <w:r>
              <w:rPr>
                <w:rFonts w:hint="eastAsia" w:hAnsi="宋体"/>
                <w:b/>
                <w:bCs/>
                <w:color w:val="000000"/>
                <w:sz w:val="24"/>
                <w:szCs w:val="24"/>
                <w:highlight w:val="none"/>
                <w:lang w:val="en-US" w:eastAsia="zh-CN"/>
              </w:rPr>
              <w:t>6分</w:t>
            </w:r>
            <w:r>
              <w:rPr>
                <w:rFonts w:hint="eastAsia" w:hAnsi="宋体"/>
                <w:color w:val="000000"/>
                <w:sz w:val="24"/>
                <w:szCs w:val="24"/>
                <w:highlight w:val="none"/>
                <w:lang w:eastAsia="zh-CN"/>
              </w:rPr>
              <w:t>）：</w:t>
            </w:r>
          </w:p>
          <w:p>
            <w:pPr>
              <w:pStyle w:val="2"/>
              <w:ind w:firstLine="480" w:firstLineChars="200"/>
              <w:rPr>
                <w:rFonts w:hint="eastAsia" w:hAnsi="宋体"/>
                <w:color w:val="000000"/>
                <w:sz w:val="24"/>
                <w:szCs w:val="24"/>
                <w:highlight w:val="none"/>
              </w:rPr>
            </w:pPr>
            <w:r>
              <w:rPr>
                <w:rFonts w:hint="eastAsia" w:hAnsi="宋体"/>
                <w:color w:val="000000"/>
                <w:sz w:val="24"/>
                <w:szCs w:val="24"/>
                <w:highlight w:val="none"/>
              </w:rPr>
              <w:t>满足招标文件要求且报价最低的为评标基准价，其价格分为满分（6分）。其他</w:t>
            </w:r>
            <w:r>
              <w:rPr>
                <w:rFonts w:hint="eastAsia" w:hAnsi="宋体"/>
                <w:color w:val="000000"/>
                <w:sz w:val="24"/>
                <w:szCs w:val="24"/>
                <w:highlight w:val="none"/>
                <w:lang w:val="en-US" w:eastAsia="zh-CN"/>
              </w:rPr>
              <w:t>投标方</w:t>
            </w:r>
            <w:r>
              <w:rPr>
                <w:rFonts w:hint="eastAsia" w:hAnsi="宋体"/>
                <w:color w:val="000000"/>
                <w:sz w:val="24"/>
                <w:szCs w:val="24"/>
                <w:highlight w:val="none"/>
              </w:rPr>
              <w:t>的价格统一按照下列公式计算：报价得分＝（评标基准价/</w:t>
            </w:r>
            <w:r>
              <w:rPr>
                <w:rFonts w:hint="eastAsia" w:hAnsi="宋体"/>
                <w:color w:val="000000"/>
                <w:sz w:val="24"/>
                <w:szCs w:val="24"/>
                <w:highlight w:val="none"/>
                <w:lang w:val="en-US" w:eastAsia="zh-CN"/>
              </w:rPr>
              <w:t>投</w:t>
            </w:r>
            <w:r>
              <w:rPr>
                <w:rFonts w:hint="eastAsia" w:hAnsi="宋体"/>
                <w:color w:val="000000"/>
                <w:sz w:val="24"/>
                <w:szCs w:val="24"/>
                <w:highlight w:val="none"/>
              </w:rPr>
              <w:t>标报价）×价格权重（6）</w:t>
            </w:r>
            <w:r>
              <w:rPr>
                <w:rFonts w:hint="eastAsia" w:hAnsi="宋体"/>
                <w:color w:val="000000"/>
                <w:sz w:val="24"/>
                <w:szCs w:val="24"/>
                <w:highlight w:val="none"/>
                <w:lang w:eastAsia="zh-CN"/>
              </w:rPr>
              <w:t>；</w:t>
            </w:r>
            <w:r>
              <w:rPr>
                <w:rFonts w:hint="eastAsia" w:hAnsi="宋体"/>
                <w:color w:val="000000"/>
                <w:sz w:val="24"/>
                <w:szCs w:val="24"/>
                <w:highlight w:val="none"/>
                <w:lang w:val="en-US" w:eastAsia="zh-CN"/>
              </w:rPr>
              <w:t>不提供维修服务的赋0分。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1211" w:type="dxa"/>
            <w:vMerge w:val="continue"/>
            <w:vAlign w:val="center"/>
          </w:tcPr>
          <w:p>
            <w:pPr>
              <w:tabs>
                <w:tab w:val="left" w:pos="7854"/>
              </w:tabs>
              <w:spacing w:line="300" w:lineRule="exact"/>
              <w:jc w:val="center"/>
              <w:rPr>
                <w:rFonts w:hint="eastAsia" w:ascii="宋体" w:hAnsi="宋体"/>
                <w:b/>
                <w:color w:val="000000"/>
                <w:sz w:val="24"/>
                <w:szCs w:val="24"/>
                <w:highlight w:val="none"/>
                <w:lang w:val="en-US" w:eastAsia="zh-CN"/>
              </w:rPr>
            </w:pPr>
          </w:p>
        </w:tc>
        <w:tc>
          <w:tcPr>
            <w:tcW w:w="7851" w:type="dxa"/>
            <w:vAlign w:val="center"/>
          </w:tcPr>
          <w:p>
            <w:pPr>
              <w:pStyle w:val="2"/>
              <w:rPr>
                <w:rFonts w:hint="eastAsia" w:hAnsi="宋体" w:eastAsia="宋体"/>
                <w:color w:val="000000"/>
                <w:sz w:val="24"/>
                <w:szCs w:val="24"/>
                <w:highlight w:val="none"/>
                <w:lang w:eastAsia="zh-CN"/>
              </w:rPr>
            </w:pPr>
            <w:r>
              <w:rPr>
                <w:rFonts w:hint="eastAsia" w:hAnsi="宋体"/>
                <w:color w:val="000000"/>
                <w:sz w:val="24"/>
                <w:szCs w:val="24"/>
                <w:highlight w:val="none"/>
              </w:rPr>
              <w:t>c</w:t>
            </w:r>
            <w:r>
              <w:rPr>
                <w:rFonts w:hint="eastAsia" w:ascii="宋体" w:hAnsi="宋体"/>
                <w:color w:val="000000"/>
                <w:sz w:val="24"/>
                <w:szCs w:val="24"/>
                <w:highlight w:val="none"/>
                <w:lang w:val="en-US" w:eastAsia="zh-CN"/>
              </w:rPr>
              <w:t>）</w:t>
            </w:r>
            <w:r>
              <w:rPr>
                <w:rFonts w:hint="eastAsia" w:hAnsi="宋体"/>
                <w:color w:val="000000"/>
                <w:sz w:val="24"/>
                <w:szCs w:val="24"/>
                <w:highlight w:val="none"/>
              </w:rPr>
              <w:t>办公室仓库租赁服务</w:t>
            </w:r>
            <w:r>
              <w:rPr>
                <w:rFonts w:hint="eastAsia" w:hAnsi="宋体"/>
                <w:color w:val="000000"/>
                <w:sz w:val="24"/>
                <w:szCs w:val="24"/>
                <w:highlight w:val="none"/>
                <w:lang w:eastAsia="zh-CN"/>
              </w:rPr>
              <w:t>（</w:t>
            </w:r>
            <w:r>
              <w:rPr>
                <w:rFonts w:hint="eastAsia" w:hAnsi="宋体"/>
                <w:b/>
                <w:bCs/>
                <w:color w:val="000000"/>
                <w:sz w:val="24"/>
                <w:szCs w:val="24"/>
                <w:highlight w:val="none"/>
                <w:lang w:val="en-US" w:eastAsia="zh-CN"/>
              </w:rPr>
              <w:t>2分</w:t>
            </w:r>
            <w:r>
              <w:rPr>
                <w:rFonts w:hint="eastAsia" w:hAnsi="宋体"/>
                <w:color w:val="000000"/>
                <w:sz w:val="24"/>
                <w:szCs w:val="24"/>
                <w:highlight w:val="none"/>
                <w:lang w:eastAsia="zh-CN"/>
              </w:rPr>
              <w:t>）：</w:t>
            </w:r>
          </w:p>
          <w:p>
            <w:pPr>
              <w:pStyle w:val="2"/>
              <w:ind w:firstLine="480" w:firstLineChars="200"/>
              <w:rPr>
                <w:rFonts w:hint="eastAsia" w:hAnsi="宋体"/>
                <w:color w:val="000000"/>
                <w:sz w:val="24"/>
                <w:szCs w:val="24"/>
                <w:highlight w:val="none"/>
              </w:rPr>
            </w:pPr>
            <w:r>
              <w:rPr>
                <w:rFonts w:hint="eastAsia" w:hAnsi="宋体"/>
                <w:color w:val="000000"/>
                <w:sz w:val="24"/>
                <w:szCs w:val="24"/>
                <w:highlight w:val="none"/>
              </w:rPr>
              <w:t>满足招标文件要求且报价最低的为评标基准价，其价格分为满分（</w:t>
            </w:r>
            <w:r>
              <w:rPr>
                <w:rFonts w:hint="eastAsia" w:hAnsi="宋体"/>
                <w:color w:val="000000"/>
                <w:sz w:val="24"/>
                <w:szCs w:val="24"/>
                <w:highlight w:val="none"/>
                <w:lang w:val="en-US" w:eastAsia="zh-CN"/>
              </w:rPr>
              <w:t>2</w:t>
            </w:r>
            <w:r>
              <w:rPr>
                <w:rFonts w:hint="eastAsia" w:hAnsi="宋体"/>
                <w:color w:val="000000"/>
                <w:sz w:val="24"/>
                <w:szCs w:val="24"/>
                <w:highlight w:val="none"/>
              </w:rPr>
              <w:t>分）。其他</w:t>
            </w:r>
            <w:r>
              <w:rPr>
                <w:rFonts w:hint="eastAsia" w:hAnsi="宋体"/>
                <w:color w:val="000000"/>
                <w:sz w:val="24"/>
                <w:szCs w:val="24"/>
                <w:highlight w:val="none"/>
                <w:lang w:val="en-US" w:eastAsia="zh-CN"/>
              </w:rPr>
              <w:t>投标方</w:t>
            </w:r>
            <w:r>
              <w:rPr>
                <w:rFonts w:hint="eastAsia" w:hAnsi="宋体"/>
                <w:color w:val="000000"/>
                <w:sz w:val="24"/>
                <w:szCs w:val="24"/>
                <w:highlight w:val="none"/>
              </w:rPr>
              <w:t>的价格统一按照下列公式计算：报价得分＝（评标基准价/</w:t>
            </w:r>
            <w:r>
              <w:rPr>
                <w:rFonts w:hint="eastAsia" w:hAnsi="宋体"/>
                <w:color w:val="000000"/>
                <w:sz w:val="24"/>
                <w:szCs w:val="24"/>
                <w:highlight w:val="none"/>
                <w:lang w:val="en-US" w:eastAsia="zh-CN"/>
              </w:rPr>
              <w:t>投</w:t>
            </w:r>
            <w:r>
              <w:rPr>
                <w:rFonts w:hint="eastAsia" w:hAnsi="宋体"/>
                <w:color w:val="000000"/>
                <w:sz w:val="24"/>
                <w:szCs w:val="24"/>
                <w:highlight w:val="none"/>
              </w:rPr>
              <w:t>标报价）×价格权重（</w:t>
            </w:r>
            <w:r>
              <w:rPr>
                <w:rFonts w:hint="eastAsia" w:hAnsi="宋体"/>
                <w:color w:val="000000"/>
                <w:sz w:val="24"/>
                <w:szCs w:val="24"/>
                <w:highlight w:val="none"/>
                <w:lang w:val="en-US" w:eastAsia="zh-CN"/>
              </w:rPr>
              <w:t>2</w:t>
            </w:r>
            <w:r>
              <w:rPr>
                <w:rFonts w:hint="eastAsia" w:hAnsi="宋体"/>
                <w:color w:val="000000"/>
                <w:sz w:val="24"/>
                <w:szCs w:val="24"/>
                <w:highlight w:val="none"/>
              </w:rPr>
              <w:t>）</w:t>
            </w:r>
            <w:r>
              <w:rPr>
                <w:rFonts w:hint="eastAsia" w:hAnsi="宋体"/>
                <w:color w:val="000000"/>
                <w:sz w:val="24"/>
                <w:szCs w:val="24"/>
                <w:highlight w:val="none"/>
                <w:lang w:eastAsia="zh-CN"/>
              </w:rPr>
              <w:t>；</w:t>
            </w:r>
            <w:r>
              <w:rPr>
                <w:rFonts w:hint="eastAsia" w:hAnsi="宋体"/>
                <w:color w:val="000000"/>
                <w:sz w:val="24"/>
                <w:szCs w:val="24"/>
                <w:highlight w:val="none"/>
                <w:lang w:val="en-US" w:eastAsia="zh-CN"/>
              </w:rPr>
              <w:t>不提供服务的赋0分。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jc w:val="center"/>
        </w:trPr>
        <w:tc>
          <w:tcPr>
            <w:tcW w:w="1211" w:type="dxa"/>
            <w:vMerge w:val="continue"/>
            <w:vAlign w:val="center"/>
          </w:tcPr>
          <w:p>
            <w:pPr>
              <w:tabs>
                <w:tab w:val="left" w:pos="7854"/>
              </w:tabs>
              <w:spacing w:line="300" w:lineRule="exact"/>
              <w:jc w:val="center"/>
              <w:rPr>
                <w:rFonts w:hint="eastAsia" w:ascii="宋体" w:hAnsi="宋体"/>
                <w:b/>
                <w:color w:val="000000"/>
                <w:sz w:val="24"/>
                <w:szCs w:val="24"/>
                <w:highlight w:val="none"/>
                <w:lang w:val="en-US" w:eastAsia="zh-CN"/>
              </w:rPr>
            </w:pPr>
          </w:p>
        </w:tc>
        <w:tc>
          <w:tcPr>
            <w:tcW w:w="7851" w:type="dxa"/>
            <w:vAlign w:val="center"/>
          </w:tcPr>
          <w:p>
            <w:pPr>
              <w:pStyle w:val="2"/>
              <w:rPr>
                <w:rFonts w:hint="eastAsia" w:hAnsi="宋体" w:eastAsia="宋体"/>
                <w:color w:val="000000"/>
                <w:sz w:val="24"/>
                <w:szCs w:val="24"/>
                <w:highlight w:val="none"/>
                <w:lang w:eastAsia="zh-CN"/>
              </w:rPr>
            </w:pPr>
            <w:r>
              <w:rPr>
                <w:rFonts w:hint="eastAsia" w:hAnsi="宋体"/>
                <w:color w:val="000000"/>
                <w:sz w:val="24"/>
                <w:szCs w:val="24"/>
                <w:highlight w:val="none"/>
              </w:rPr>
              <w:t>d</w:t>
            </w:r>
            <w:r>
              <w:rPr>
                <w:rFonts w:hint="eastAsia" w:ascii="宋体" w:hAnsi="宋体"/>
                <w:color w:val="000000"/>
                <w:sz w:val="24"/>
                <w:szCs w:val="24"/>
                <w:highlight w:val="none"/>
                <w:lang w:val="en-US" w:eastAsia="zh-CN"/>
              </w:rPr>
              <w:t>）</w:t>
            </w:r>
            <w:r>
              <w:rPr>
                <w:rFonts w:hint="eastAsia" w:hAnsi="宋体"/>
                <w:color w:val="000000"/>
                <w:sz w:val="24"/>
                <w:szCs w:val="24"/>
                <w:highlight w:val="none"/>
                <w:lang w:val="en-US" w:eastAsia="zh-CN"/>
              </w:rPr>
              <w:t>燃料供给</w:t>
            </w:r>
            <w:r>
              <w:rPr>
                <w:rFonts w:hint="eastAsia" w:hAnsi="宋体"/>
                <w:color w:val="000000"/>
                <w:sz w:val="24"/>
                <w:szCs w:val="24"/>
                <w:highlight w:val="none"/>
              </w:rPr>
              <w:t>服务</w:t>
            </w:r>
            <w:r>
              <w:rPr>
                <w:rFonts w:hint="eastAsia" w:hAnsi="宋体"/>
                <w:color w:val="000000"/>
                <w:sz w:val="24"/>
                <w:szCs w:val="24"/>
                <w:highlight w:val="none"/>
                <w:lang w:eastAsia="zh-CN"/>
              </w:rPr>
              <w:t>（</w:t>
            </w:r>
            <w:r>
              <w:rPr>
                <w:rFonts w:hint="eastAsia" w:hAnsi="宋体"/>
                <w:b/>
                <w:bCs/>
                <w:color w:val="000000"/>
                <w:sz w:val="24"/>
                <w:szCs w:val="24"/>
                <w:highlight w:val="none"/>
                <w:lang w:val="en-US" w:eastAsia="zh-CN"/>
              </w:rPr>
              <w:t>2分</w:t>
            </w:r>
            <w:r>
              <w:rPr>
                <w:rFonts w:hint="eastAsia" w:hAnsi="宋体"/>
                <w:color w:val="000000"/>
                <w:sz w:val="24"/>
                <w:szCs w:val="24"/>
                <w:highlight w:val="none"/>
                <w:lang w:eastAsia="zh-CN"/>
              </w:rPr>
              <w:t>）：</w:t>
            </w:r>
          </w:p>
          <w:p>
            <w:pPr>
              <w:pStyle w:val="2"/>
              <w:ind w:firstLine="480" w:firstLineChars="200"/>
              <w:rPr>
                <w:rFonts w:hint="eastAsia" w:hAnsi="宋体"/>
                <w:color w:val="000000"/>
                <w:sz w:val="24"/>
                <w:szCs w:val="24"/>
                <w:highlight w:val="none"/>
              </w:rPr>
            </w:pPr>
            <w:r>
              <w:rPr>
                <w:rFonts w:hint="eastAsia" w:hAnsi="宋体"/>
                <w:color w:val="000000"/>
                <w:sz w:val="24"/>
                <w:szCs w:val="24"/>
                <w:highlight w:val="none"/>
              </w:rPr>
              <w:t>提供加油服务，按照投标人所报的每升柴油单价相比当地中国石化加油站价格折扣大小进行赋分，折扣最大者得</w:t>
            </w:r>
            <w:r>
              <w:rPr>
                <w:rFonts w:hint="eastAsia" w:hAnsi="宋体"/>
                <w:color w:val="000000"/>
                <w:sz w:val="24"/>
                <w:szCs w:val="24"/>
                <w:highlight w:val="none"/>
                <w:lang w:val="en-US" w:eastAsia="zh-CN"/>
              </w:rPr>
              <w:t>2</w:t>
            </w:r>
            <w:r>
              <w:rPr>
                <w:rFonts w:hint="eastAsia" w:hAnsi="宋体"/>
                <w:color w:val="000000"/>
                <w:sz w:val="24"/>
                <w:szCs w:val="24"/>
                <w:highlight w:val="none"/>
              </w:rPr>
              <w:t>分，无折扣者得</w:t>
            </w:r>
            <w:r>
              <w:rPr>
                <w:rFonts w:hint="eastAsia" w:hAnsi="宋体"/>
                <w:color w:val="000000"/>
                <w:sz w:val="24"/>
                <w:szCs w:val="24"/>
                <w:highlight w:val="none"/>
                <w:lang w:val="en-US" w:eastAsia="zh-CN"/>
              </w:rPr>
              <w:t>0.5</w:t>
            </w:r>
            <w:r>
              <w:rPr>
                <w:rFonts w:hint="eastAsia" w:hAnsi="宋体"/>
                <w:color w:val="000000"/>
                <w:sz w:val="24"/>
                <w:szCs w:val="24"/>
                <w:highlight w:val="none"/>
              </w:rPr>
              <w:t>分，折扣介于中间者通过线性差值赋分；价格上浮或不提供加油服务者得</w:t>
            </w:r>
            <w:r>
              <w:rPr>
                <w:rFonts w:hint="eastAsia" w:hAnsi="宋体"/>
                <w:color w:val="000000"/>
                <w:sz w:val="24"/>
                <w:szCs w:val="24"/>
                <w:highlight w:val="none"/>
                <w:lang w:val="en-US" w:eastAsia="zh-CN"/>
              </w:rPr>
              <w:t>0</w:t>
            </w:r>
            <w:r>
              <w:rPr>
                <w:rFonts w:hint="eastAsia" w:hAnsi="宋体"/>
                <w:color w:val="00000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jc w:val="center"/>
        </w:trPr>
        <w:tc>
          <w:tcPr>
            <w:tcW w:w="1211" w:type="dxa"/>
            <w:vMerge w:val="restart"/>
            <w:vAlign w:val="center"/>
          </w:tcPr>
          <w:p>
            <w:pPr>
              <w:tabs>
                <w:tab w:val="left" w:pos="7854"/>
              </w:tabs>
              <w:spacing w:line="300" w:lineRule="exact"/>
              <w:jc w:val="center"/>
              <w:rPr>
                <w:rFonts w:hint="eastAsia" w:ascii="宋体" w:hAnsi="宋体" w:eastAsia="宋体"/>
                <w:b/>
                <w:color w:val="000000"/>
                <w:sz w:val="24"/>
                <w:szCs w:val="24"/>
                <w:highlight w:val="none"/>
                <w:lang w:eastAsia="zh-CN"/>
              </w:rPr>
            </w:pPr>
            <w:r>
              <w:rPr>
                <w:rFonts w:hint="eastAsia" w:ascii="宋体" w:hAnsi="宋体"/>
                <w:b/>
                <w:color w:val="000000"/>
                <w:sz w:val="24"/>
                <w:szCs w:val="24"/>
                <w:highlight w:val="none"/>
              </w:rPr>
              <w:t>技术部分</w:t>
            </w:r>
            <w:r>
              <w:rPr>
                <w:rFonts w:hint="eastAsia" w:ascii="宋体" w:hAnsi="宋体"/>
                <w:b/>
                <w:color w:val="000000"/>
                <w:sz w:val="24"/>
                <w:szCs w:val="24"/>
                <w:highlight w:val="none"/>
                <w:lang w:eastAsia="zh-CN"/>
              </w:rPr>
              <w:t>（</w:t>
            </w:r>
            <w:r>
              <w:rPr>
                <w:rFonts w:hint="eastAsia" w:ascii="宋体" w:hAnsi="宋体"/>
                <w:b/>
                <w:color w:val="000000"/>
                <w:sz w:val="24"/>
                <w:szCs w:val="24"/>
                <w:highlight w:val="none"/>
                <w:lang w:val="en-US" w:eastAsia="zh-CN"/>
              </w:rPr>
              <w:t>40分</w:t>
            </w:r>
            <w:r>
              <w:rPr>
                <w:rFonts w:hint="eastAsia" w:ascii="宋体" w:hAnsi="宋体"/>
                <w:b/>
                <w:color w:val="000000"/>
                <w:sz w:val="24"/>
                <w:szCs w:val="24"/>
                <w:highlight w:val="none"/>
                <w:lang w:eastAsia="zh-CN"/>
              </w:rPr>
              <w:t>）</w:t>
            </w:r>
          </w:p>
        </w:tc>
        <w:tc>
          <w:tcPr>
            <w:tcW w:w="7851" w:type="dxa"/>
            <w:vAlign w:val="center"/>
          </w:tcPr>
          <w:p>
            <w:pPr>
              <w:numPr>
                <w:ilvl w:val="0"/>
                <w:numId w:val="0"/>
              </w:numPr>
              <w:tabs>
                <w:tab w:val="left" w:pos="7854"/>
              </w:tabs>
              <w:spacing w:line="30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a）场地技术要求（</w:t>
            </w:r>
            <w:r>
              <w:rPr>
                <w:rFonts w:hint="eastAsia" w:ascii="宋体" w:hAnsi="宋体"/>
                <w:b/>
                <w:bCs/>
                <w:sz w:val="24"/>
                <w:szCs w:val="24"/>
                <w:highlight w:val="none"/>
                <w:lang w:val="en-US" w:eastAsia="zh-CN"/>
              </w:rPr>
              <w:t>21分</w:t>
            </w:r>
            <w:r>
              <w:rPr>
                <w:rFonts w:hint="eastAsia" w:ascii="宋体" w:hAnsi="宋体"/>
                <w:sz w:val="24"/>
                <w:szCs w:val="24"/>
                <w:highlight w:val="none"/>
                <w:lang w:val="en-US" w:eastAsia="zh-CN"/>
              </w:rPr>
              <w:t>）：</w:t>
            </w:r>
          </w:p>
          <w:p>
            <w:pPr>
              <w:pStyle w:val="2"/>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第二章技术要求的第一节第二条</w:t>
            </w:r>
            <w:r>
              <w:rPr>
                <w:rFonts w:hint="eastAsia" w:ascii="宋体" w:hAnsi="宋体"/>
                <w:sz w:val="24"/>
                <w:szCs w:val="24"/>
                <w:highlight w:val="none"/>
                <w:lang w:val="en-US" w:eastAsia="zh-CN"/>
              </w:rPr>
              <w:t>“</w:t>
            </w:r>
            <w:r>
              <w:rPr>
                <w:rFonts w:hint="eastAsia" w:ascii="宋体" w:hAnsi="宋体"/>
                <w:sz w:val="24"/>
                <w:szCs w:val="24"/>
                <w:highlight w:val="none"/>
              </w:rPr>
              <w:t>性能场地技术要求</w:t>
            </w:r>
            <w:r>
              <w:rPr>
                <w:rFonts w:hint="eastAsia" w:ascii="宋体" w:hAnsi="宋体"/>
                <w:sz w:val="24"/>
                <w:szCs w:val="24"/>
                <w:highlight w:val="none"/>
                <w:lang w:eastAsia="zh-CN"/>
              </w:rPr>
              <w:t>”</w:t>
            </w:r>
            <w:r>
              <w:rPr>
                <w:rFonts w:hint="eastAsia" w:ascii="宋体" w:hAnsi="宋体"/>
                <w:sz w:val="24"/>
                <w:szCs w:val="24"/>
                <w:highlight w:val="none"/>
                <w:lang w:val="en-US" w:eastAsia="zh-CN"/>
              </w:rPr>
              <w:t>中，2.1</w:t>
            </w:r>
            <w:r>
              <w:rPr>
                <w:rFonts w:hint="eastAsia" w:ascii="仿宋" w:hAnsi="仿宋" w:cs="仿宋"/>
                <w:b/>
                <w:bCs/>
                <w:highlight w:val="none"/>
                <w:lang w:eastAsia="zh-CN"/>
              </w:rPr>
              <w:t>～</w:t>
            </w:r>
            <w:r>
              <w:rPr>
                <w:rFonts w:hint="eastAsia" w:ascii="宋体" w:hAnsi="宋体"/>
                <w:sz w:val="24"/>
                <w:szCs w:val="24"/>
                <w:highlight w:val="none"/>
                <w:lang w:val="en-US" w:eastAsia="zh-CN"/>
              </w:rPr>
              <w:t>2.</w:t>
            </w:r>
            <w:r>
              <w:rPr>
                <w:rFonts w:hint="eastAsia" w:hAnsi="宋体"/>
                <w:sz w:val="24"/>
                <w:szCs w:val="24"/>
                <w:highlight w:val="none"/>
                <w:lang w:val="en-US" w:eastAsia="zh-CN"/>
              </w:rPr>
              <w:t>3</w:t>
            </w:r>
            <w:r>
              <w:rPr>
                <w:rFonts w:hint="eastAsia" w:ascii="宋体" w:hAnsi="宋体"/>
                <w:sz w:val="24"/>
                <w:szCs w:val="24"/>
                <w:highlight w:val="none"/>
                <w:lang w:val="en-US" w:eastAsia="zh-CN"/>
              </w:rPr>
              <w:t>条</w:t>
            </w:r>
            <w:r>
              <w:rPr>
                <w:rFonts w:hint="eastAsia" w:hAnsi="宋体"/>
                <w:sz w:val="24"/>
                <w:szCs w:val="24"/>
                <w:highlight w:val="none"/>
                <w:lang w:val="en-US" w:eastAsia="zh-CN"/>
              </w:rPr>
              <w:t>款</w:t>
            </w:r>
            <w:r>
              <w:rPr>
                <w:rFonts w:hint="eastAsia" w:ascii="宋体" w:hAnsi="宋体"/>
                <w:sz w:val="24"/>
                <w:szCs w:val="24"/>
                <w:highlight w:val="none"/>
                <w:lang w:val="en-US" w:eastAsia="zh-CN"/>
              </w:rPr>
              <w:t>，</w:t>
            </w:r>
            <w:r>
              <w:rPr>
                <w:rFonts w:hint="eastAsia" w:ascii="宋体" w:hAnsi="宋体"/>
                <w:sz w:val="24"/>
                <w:szCs w:val="24"/>
                <w:highlight w:val="none"/>
              </w:rPr>
              <w:t>每</w:t>
            </w:r>
            <w:r>
              <w:rPr>
                <w:rFonts w:hint="eastAsia" w:ascii="宋体" w:hAnsi="宋体"/>
                <w:sz w:val="24"/>
                <w:szCs w:val="24"/>
                <w:highlight w:val="none"/>
                <w:lang w:val="en-US" w:eastAsia="zh-CN"/>
              </w:rPr>
              <w:t>条</w:t>
            </w:r>
            <w:r>
              <w:rPr>
                <w:rFonts w:hint="eastAsia" w:hAnsi="宋体"/>
                <w:sz w:val="24"/>
                <w:szCs w:val="24"/>
                <w:highlight w:val="none"/>
                <w:lang w:val="en-US" w:eastAsia="zh-CN"/>
              </w:rPr>
              <w:t>5</w:t>
            </w:r>
            <w:r>
              <w:rPr>
                <w:rFonts w:hint="eastAsia" w:ascii="宋体" w:hAnsi="宋体"/>
                <w:sz w:val="24"/>
                <w:szCs w:val="24"/>
                <w:highlight w:val="none"/>
              </w:rPr>
              <w:t>分</w:t>
            </w:r>
            <w:r>
              <w:rPr>
                <w:rFonts w:hint="eastAsia" w:hAnsi="宋体"/>
                <w:sz w:val="24"/>
                <w:szCs w:val="24"/>
                <w:highlight w:val="none"/>
                <w:lang w:eastAsia="zh-CN"/>
              </w:rPr>
              <w:t>，</w:t>
            </w:r>
            <w:r>
              <w:rPr>
                <w:rFonts w:hint="eastAsia" w:hAnsi="宋体"/>
                <w:sz w:val="24"/>
                <w:szCs w:val="24"/>
                <w:highlight w:val="none"/>
                <w:lang w:val="en-US" w:eastAsia="zh-CN"/>
              </w:rPr>
              <w:t>2.4</w:t>
            </w:r>
            <w:r>
              <w:rPr>
                <w:rFonts w:hint="eastAsia" w:ascii="仿宋" w:hAnsi="仿宋" w:cs="仿宋"/>
                <w:b/>
                <w:bCs/>
                <w:highlight w:val="none"/>
                <w:lang w:eastAsia="zh-CN"/>
              </w:rPr>
              <w:t>～</w:t>
            </w:r>
            <w:r>
              <w:rPr>
                <w:rFonts w:hint="eastAsia" w:hAnsi="宋体"/>
                <w:sz w:val="24"/>
                <w:szCs w:val="24"/>
                <w:highlight w:val="none"/>
                <w:lang w:val="en-US" w:eastAsia="zh-CN"/>
              </w:rPr>
              <w:t>2.6条款，</w:t>
            </w:r>
            <w:r>
              <w:rPr>
                <w:rFonts w:hint="eastAsia" w:ascii="宋体" w:hAnsi="宋体"/>
                <w:sz w:val="24"/>
                <w:szCs w:val="24"/>
                <w:highlight w:val="none"/>
              </w:rPr>
              <w:t>每</w:t>
            </w:r>
            <w:r>
              <w:rPr>
                <w:rFonts w:hint="eastAsia" w:ascii="宋体" w:hAnsi="宋体"/>
                <w:sz w:val="24"/>
                <w:szCs w:val="24"/>
                <w:highlight w:val="none"/>
                <w:lang w:val="en-US" w:eastAsia="zh-CN"/>
              </w:rPr>
              <w:t>条</w:t>
            </w:r>
            <w:r>
              <w:rPr>
                <w:rFonts w:hint="eastAsia" w:hAnsi="宋体"/>
                <w:sz w:val="24"/>
                <w:szCs w:val="24"/>
                <w:highlight w:val="none"/>
                <w:lang w:val="en-US" w:eastAsia="zh-CN"/>
              </w:rPr>
              <w:t>2</w:t>
            </w:r>
            <w:r>
              <w:rPr>
                <w:rFonts w:hint="eastAsia" w:ascii="宋体" w:hAnsi="宋体"/>
                <w:sz w:val="24"/>
                <w:szCs w:val="24"/>
                <w:highlight w:val="none"/>
              </w:rPr>
              <w:t>分</w:t>
            </w:r>
            <w:r>
              <w:rPr>
                <w:rFonts w:hint="eastAsia" w:hAnsi="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11" w:type="dxa"/>
            <w:vMerge w:val="continue"/>
            <w:vAlign w:val="center"/>
          </w:tcPr>
          <w:p>
            <w:pPr>
              <w:tabs>
                <w:tab w:val="left" w:pos="7854"/>
              </w:tabs>
              <w:spacing w:line="300" w:lineRule="exact"/>
              <w:jc w:val="center"/>
              <w:rPr>
                <w:rFonts w:hint="eastAsia" w:ascii="宋体" w:hAnsi="宋体"/>
                <w:b/>
                <w:color w:val="000000"/>
                <w:sz w:val="24"/>
                <w:szCs w:val="24"/>
                <w:highlight w:val="none"/>
              </w:rPr>
            </w:pPr>
          </w:p>
        </w:tc>
        <w:tc>
          <w:tcPr>
            <w:tcW w:w="7851" w:type="dxa"/>
            <w:vAlign w:val="center"/>
          </w:tcPr>
          <w:p>
            <w:pPr>
              <w:tabs>
                <w:tab w:val="left" w:pos="7854"/>
              </w:tabs>
              <w:spacing w:line="30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b）场地服务要求</w:t>
            </w:r>
            <w:r>
              <w:rPr>
                <w:rFonts w:hint="eastAsia" w:ascii="宋体" w:hAnsi="宋体"/>
                <w:color w:val="000000"/>
                <w:sz w:val="24"/>
                <w:szCs w:val="24"/>
                <w:highlight w:val="none"/>
                <w:lang w:val="en-US" w:eastAsia="zh-CN"/>
              </w:rPr>
              <w:t>（</w:t>
            </w:r>
            <w:r>
              <w:rPr>
                <w:rFonts w:hint="eastAsia" w:ascii="宋体" w:hAnsi="宋体"/>
                <w:b/>
                <w:bCs/>
                <w:color w:val="000000"/>
                <w:sz w:val="24"/>
                <w:szCs w:val="24"/>
                <w:highlight w:val="none"/>
                <w:lang w:val="en-US" w:eastAsia="zh-CN"/>
              </w:rPr>
              <w:t>5分</w:t>
            </w:r>
            <w:r>
              <w:rPr>
                <w:rFonts w:hint="eastAsia" w:ascii="宋体" w:hAnsi="宋体"/>
                <w:color w:val="000000"/>
                <w:sz w:val="24"/>
                <w:szCs w:val="24"/>
                <w:highlight w:val="none"/>
                <w:lang w:val="en-US" w:eastAsia="zh-CN"/>
              </w:rPr>
              <w:t>）</w:t>
            </w:r>
            <w:r>
              <w:rPr>
                <w:rFonts w:hint="eastAsia" w:ascii="宋体" w:hAnsi="宋体"/>
                <w:sz w:val="24"/>
                <w:szCs w:val="24"/>
                <w:highlight w:val="none"/>
                <w:lang w:val="en-US" w:eastAsia="zh-CN"/>
              </w:rPr>
              <w:t>：</w:t>
            </w:r>
          </w:p>
          <w:p>
            <w:pPr>
              <w:pStyle w:val="2"/>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第二章技术要求的第一节第</w:t>
            </w:r>
            <w:r>
              <w:rPr>
                <w:rFonts w:hint="eastAsia" w:ascii="宋体" w:hAnsi="宋体"/>
                <w:sz w:val="24"/>
                <w:szCs w:val="24"/>
                <w:highlight w:val="none"/>
                <w:lang w:val="en-US" w:eastAsia="zh-CN"/>
              </w:rPr>
              <w:t>四</w:t>
            </w:r>
            <w:r>
              <w:rPr>
                <w:rFonts w:hint="eastAsia" w:ascii="宋体" w:hAnsi="宋体"/>
                <w:sz w:val="24"/>
                <w:szCs w:val="24"/>
                <w:highlight w:val="none"/>
              </w:rPr>
              <w:t>条</w:t>
            </w:r>
            <w:r>
              <w:rPr>
                <w:rFonts w:hint="eastAsia" w:ascii="宋体" w:hAnsi="宋体"/>
                <w:sz w:val="24"/>
                <w:szCs w:val="24"/>
                <w:highlight w:val="none"/>
                <w:lang w:eastAsia="zh-CN"/>
              </w:rPr>
              <w:t>“</w:t>
            </w:r>
            <w:r>
              <w:rPr>
                <w:rFonts w:hint="eastAsia" w:ascii="宋体" w:hAnsi="宋体"/>
                <w:sz w:val="24"/>
                <w:szCs w:val="24"/>
                <w:highlight w:val="none"/>
                <w:lang w:val="en-US" w:eastAsia="zh-CN"/>
              </w:rPr>
              <w:t>服务要求”条款</w:t>
            </w:r>
            <w:r>
              <w:rPr>
                <w:rFonts w:hint="eastAsia" w:hAnsi="宋体"/>
                <w:sz w:val="24"/>
                <w:szCs w:val="24"/>
                <w:highlight w:val="none"/>
                <w:lang w:val="en-US" w:eastAsia="zh-CN"/>
              </w:rPr>
              <w:t>。</w:t>
            </w:r>
            <w:r>
              <w:rPr>
                <w:rFonts w:hint="eastAsia" w:hAnsi="宋体"/>
                <w:color w:val="000000"/>
                <w:sz w:val="24"/>
                <w:szCs w:val="24"/>
                <w:highlight w:val="none"/>
                <w:lang w:val="en-US" w:eastAsia="zh-CN"/>
              </w:rPr>
              <w:t>0</w:t>
            </w:r>
            <w:r>
              <w:rPr>
                <w:rFonts w:hint="eastAsia" w:ascii="仿宋" w:hAnsi="仿宋" w:cs="仿宋"/>
                <w:b/>
                <w:bCs/>
                <w:highlight w:val="none"/>
                <w:lang w:eastAsia="zh-CN"/>
              </w:rPr>
              <w:t>～</w:t>
            </w:r>
            <w:r>
              <w:rPr>
                <w:rFonts w:hint="eastAsia" w:hAnsi="宋体"/>
                <w:color w:val="000000"/>
                <w:sz w:val="24"/>
                <w:szCs w:val="24"/>
                <w:highlight w:val="none"/>
                <w:lang w:val="en-US" w:eastAsia="zh-CN"/>
              </w:rPr>
              <w:t>5分</w:t>
            </w:r>
            <w:r>
              <w:rPr>
                <w:rFonts w:hint="eastAsia" w:ascii="宋体" w:hAnsi="宋体"/>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11" w:type="dxa"/>
            <w:vMerge w:val="continue"/>
            <w:vAlign w:val="center"/>
          </w:tcPr>
          <w:p>
            <w:pPr>
              <w:tabs>
                <w:tab w:val="left" w:pos="7854"/>
              </w:tabs>
              <w:spacing w:line="300" w:lineRule="exact"/>
              <w:jc w:val="center"/>
              <w:rPr>
                <w:rFonts w:ascii="宋体" w:hAnsi="宋体"/>
                <w:b/>
                <w:color w:val="000000"/>
                <w:sz w:val="24"/>
                <w:szCs w:val="24"/>
                <w:highlight w:val="none"/>
              </w:rPr>
            </w:pPr>
          </w:p>
        </w:tc>
        <w:tc>
          <w:tcPr>
            <w:tcW w:w="7851" w:type="dxa"/>
            <w:vAlign w:val="center"/>
          </w:tcPr>
          <w:p>
            <w:pPr>
              <w:tabs>
                <w:tab w:val="left" w:pos="7854"/>
              </w:tabs>
              <w:spacing w:line="30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c）场地至招标方距离（</w:t>
            </w:r>
            <w:r>
              <w:rPr>
                <w:rFonts w:hint="eastAsia" w:ascii="宋体" w:hAnsi="宋体"/>
                <w:b/>
                <w:bCs/>
                <w:sz w:val="24"/>
                <w:szCs w:val="24"/>
                <w:highlight w:val="none"/>
                <w:lang w:val="en-US" w:eastAsia="zh-CN"/>
              </w:rPr>
              <w:t>5分</w:t>
            </w:r>
            <w:r>
              <w:rPr>
                <w:rFonts w:hint="eastAsia" w:ascii="宋体" w:hAnsi="宋体"/>
                <w:sz w:val="24"/>
                <w:szCs w:val="24"/>
                <w:highlight w:val="none"/>
                <w:lang w:val="en-US" w:eastAsia="zh-CN"/>
              </w:rPr>
              <w:t>）：</w:t>
            </w:r>
          </w:p>
          <w:p>
            <w:pPr>
              <w:pStyle w:val="2"/>
              <w:ind w:firstLine="480" w:firstLineChars="200"/>
              <w:rPr>
                <w:rFonts w:hint="eastAsia" w:ascii="宋体" w:hAnsi="宋体" w:eastAsia="宋体"/>
                <w:color w:val="FF0000"/>
                <w:sz w:val="24"/>
                <w:szCs w:val="24"/>
                <w:highlight w:val="none"/>
                <w:lang w:eastAsia="zh-CN"/>
              </w:rPr>
            </w:pPr>
            <w:r>
              <w:rPr>
                <w:rFonts w:hint="eastAsia" w:ascii="宋体" w:hAnsi="宋体"/>
                <w:sz w:val="24"/>
                <w:szCs w:val="24"/>
                <w:highlight w:val="none"/>
              </w:rPr>
              <w:t>参照百度地图或高德地图，投标方试验场地</w:t>
            </w:r>
            <w:r>
              <w:rPr>
                <w:rFonts w:hint="eastAsia" w:hAnsi="宋体"/>
                <w:sz w:val="24"/>
                <w:szCs w:val="24"/>
                <w:highlight w:val="none"/>
                <w:lang w:val="en-US" w:eastAsia="zh-CN"/>
              </w:rPr>
              <w:t>所在地</w:t>
            </w:r>
            <w:r>
              <w:rPr>
                <w:rFonts w:hint="eastAsia" w:ascii="宋体" w:hAnsi="宋体"/>
                <w:sz w:val="24"/>
                <w:szCs w:val="24"/>
                <w:highlight w:val="none"/>
              </w:rPr>
              <w:t>与中国重汽科技大厦</w:t>
            </w:r>
            <w:r>
              <w:rPr>
                <w:rFonts w:hint="eastAsia" w:hAnsi="宋体"/>
                <w:sz w:val="24"/>
                <w:szCs w:val="24"/>
                <w:highlight w:val="none"/>
                <w:lang w:val="en-US" w:eastAsia="zh-CN"/>
              </w:rPr>
              <w:t>间汽车行驶</w:t>
            </w:r>
            <w:r>
              <w:rPr>
                <w:rFonts w:hint="eastAsia" w:ascii="宋体" w:hAnsi="宋体"/>
                <w:sz w:val="24"/>
                <w:szCs w:val="24"/>
                <w:highlight w:val="none"/>
              </w:rPr>
              <w:t>距离</w:t>
            </w:r>
            <w:r>
              <w:rPr>
                <w:rFonts w:hint="eastAsia" w:hAnsi="宋体"/>
                <w:sz w:val="24"/>
                <w:szCs w:val="24"/>
                <w:highlight w:val="none"/>
                <w:lang w:val="en-US" w:eastAsia="zh-CN"/>
              </w:rPr>
              <w:t>远近排名，距离最近得5分，其次3分，再次2分，其他0分。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211" w:type="dxa"/>
            <w:vMerge w:val="continue"/>
            <w:vAlign w:val="center"/>
          </w:tcPr>
          <w:p>
            <w:pPr>
              <w:tabs>
                <w:tab w:val="left" w:pos="7854"/>
              </w:tabs>
              <w:spacing w:line="300" w:lineRule="exact"/>
              <w:jc w:val="center"/>
              <w:rPr>
                <w:rFonts w:ascii="宋体" w:hAnsi="宋体"/>
                <w:b/>
                <w:color w:val="000000"/>
                <w:sz w:val="24"/>
                <w:szCs w:val="24"/>
                <w:highlight w:val="none"/>
              </w:rPr>
            </w:pPr>
          </w:p>
        </w:tc>
        <w:tc>
          <w:tcPr>
            <w:tcW w:w="7851" w:type="dxa"/>
            <w:vAlign w:val="center"/>
          </w:tcPr>
          <w:p>
            <w:pPr>
              <w:tabs>
                <w:tab w:val="left" w:pos="7854"/>
              </w:tabs>
              <w:spacing w:line="300" w:lineRule="exact"/>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d）技术答疑</w:t>
            </w:r>
            <w:r>
              <w:rPr>
                <w:rFonts w:hint="eastAsia" w:ascii="宋体" w:hAnsi="宋体"/>
                <w:color w:val="000000"/>
                <w:sz w:val="24"/>
                <w:szCs w:val="24"/>
                <w:highlight w:val="none"/>
                <w:lang w:eastAsia="zh-CN"/>
              </w:rPr>
              <w:t>（</w:t>
            </w:r>
            <w:r>
              <w:rPr>
                <w:rFonts w:hint="eastAsia" w:ascii="宋体" w:hAnsi="宋体"/>
                <w:b/>
                <w:bCs/>
                <w:color w:val="000000"/>
                <w:sz w:val="24"/>
                <w:szCs w:val="24"/>
                <w:highlight w:val="none"/>
                <w:lang w:val="en-US" w:eastAsia="zh-CN"/>
              </w:rPr>
              <w:t>5分</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w:t>
            </w:r>
          </w:p>
          <w:p>
            <w:pPr>
              <w:pStyle w:val="2"/>
              <w:ind w:firstLine="480" w:firstLineChars="200"/>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投标人代表</w:t>
            </w:r>
            <w:r>
              <w:rPr>
                <w:rFonts w:hint="eastAsia" w:ascii="宋体" w:hAnsi="宋体"/>
                <w:color w:val="000000"/>
                <w:sz w:val="24"/>
                <w:szCs w:val="24"/>
                <w:highlight w:val="none"/>
                <w:lang w:val="en-US" w:eastAsia="zh-CN"/>
              </w:rPr>
              <w:t>阐述</w:t>
            </w:r>
            <w:r>
              <w:rPr>
                <w:rFonts w:hint="eastAsia" w:ascii="宋体" w:hAnsi="宋体"/>
                <w:sz w:val="24"/>
                <w:szCs w:val="24"/>
                <w:highlight w:val="none"/>
                <w:lang w:val="en-US" w:eastAsia="zh-CN"/>
              </w:rPr>
              <w:t>场地</w:t>
            </w:r>
            <w:r>
              <w:rPr>
                <w:rFonts w:hint="eastAsia" w:ascii="宋体" w:hAnsi="宋体"/>
                <w:color w:val="000000"/>
                <w:sz w:val="24"/>
                <w:szCs w:val="24"/>
                <w:highlight w:val="none"/>
              </w:rPr>
              <w:t>技术优势，回答评标专家现场提问</w:t>
            </w:r>
            <w:r>
              <w:rPr>
                <w:rFonts w:hint="eastAsia" w:ascii="宋体" w:hAnsi="宋体"/>
                <w:color w:val="000000"/>
                <w:sz w:val="24"/>
                <w:szCs w:val="24"/>
                <w:highlight w:val="none"/>
                <w:lang w:eastAsia="zh-CN"/>
              </w:rPr>
              <w:t>，</w:t>
            </w:r>
            <w:r>
              <w:rPr>
                <w:rFonts w:hint="eastAsia" w:hAnsi="宋体"/>
                <w:color w:val="000000"/>
                <w:sz w:val="24"/>
                <w:szCs w:val="24"/>
                <w:highlight w:val="none"/>
                <w:lang w:val="en-US" w:eastAsia="zh-CN"/>
              </w:rPr>
              <w:t>0</w:t>
            </w:r>
            <w:r>
              <w:rPr>
                <w:rFonts w:hint="eastAsia" w:ascii="仿宋" w:hAnsi="仿宋" w:cs="仿宋"/>
                <w:b/>
                <w:bCs/>
                <w:highlight w:val="none"/>
                <w:lang w:eastAsia="zh-CN"/>
              </w:rPr>
              <w:t>～</w:t>
            </w:r>
            <w:r>
              <w:rPr>
                <w:rFonts w:hint="eastAsia" w:ascii="宋体" w:hAnsi="宋体"/>
                <w:color w:val="000000"/>
                <w:sz w:val="24"/>
                <w:szCs w:val="24"/>
                <w:highlight w:val="none"/>
                <w:lang w:val="en-US" w:eastAsia="zh-CN"/>
              </w:rPr>
              <w:t>5分</w:t>
            </w:r>
            <w:r>
              <w:rPr>
                <w:rFonts w:hint="eastAsia" w:ascii="宋体" w:hAnsi="宋体"/>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211" w:type="dxa"/>
            <w:vMerge w:val="continue"/>
            <w:vAlign w:val="center"/>
          </w:tcPr>
          <w:p>
            <w:pPr>
              <w:tabs>
                <w:tab w:val="left" w:pos="7854"/>
              </w:tabs>
              <w:spacing w:line="300" w:lineRule="exact"/>
              <w:jc w:val="center"/>
              <w:rPr>
                <w:rFonts w:ascii="宋体" w:hAnsi="宋体"/>
                <w:b/>
                <w:color w:val="000000"/>
                <w:sz w:val="24"/>
                <w:szCs w:val="24"/>
                <w:highlight w:val="none"/>
              </w:rPr>
            </w:pPr>
          </w:p>
        </w:tc>
        <w:tc>
          <w:tcPr>
            <w:tcW w:w="7851" w:type="dxa"/>
            <w:vAlign w:val="center"/>
          </w:tcPr>
          <w:p>
            <w:pPr>
              <w:tabs>
                <w:tab w:val="left" w:pos="7854"/>
              </w:tabs>
              <w:spacing w:line="300" w:lineRule="exact"/>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e）场地配套服务</w:t>
            </w:r>
            <w:r>
              <w:rPr>
                <w:rFonts w:hint="eastAsia" w:ascii="宋体" w:hAnsi="宋体"/>
                <w:color w:val="000000"/>
                <w:sz w:val="24"/>
                <w:szCs w:val="24"/>
                <w:highlight w:val="none"/>
                <w:lang w:eastAsia="zh-CN"/>
              </w:rPr>
              <w:t>（</w:t>
            </w:r>
            <w:r>
              <w:rPr>
                <w:rFonts w:hint="eastAsia" w:ascii="宋体" w:hAnsi="宋体"/>
                <w:b/>
                <w:bCs/>
                <w:color w:val="000000"/>
                <w:sz w:val="24"/>
                <w:szCs w:val="24"/>
                <w:highlight w:val="none"/>
                <w:lang w:val="en-US" w:eastAsia="zh-CN"/>
              </w:rPr>
              <w:t>4分</w:t>
            </w:r>
            <w:r>
              <w:rPr>
                <w:rFonts w:hint="eastAsia" w:ascii="宋体" w:hAnsi="宋体"/>
                <w:color w:val="000000"/>
                <w:sz w:val="24"/>
                <w:szCs w:val="24"/>
                <w:highlight w:val="none"/>
                <w:lang w:val="en-US" w:eastAsia="zh-CN"/>
              </w:rPr>
              <w:t>）：</w:t>
            </w:r>
          </w:p>
          <w:p>
            <w:pPr>
              <w:pStyle w:val="2"/>
              <w:ind w:firstLine="480" w:firstLineChars="200"/>
              <w:rPr>
                <w:rFonts w:hint="eastAsia" w:ascii="宋体" w:hAnsi="宋体" w:eastAsia="宋体"/>
                <w:color w:val="000000"/>
                <w:sz w:val="24"/>
                <w:szCs w:val="24"/>
                <w:highlight w:val="none"/>
                <w:lang w:eastAsia="zh-CN"/>
              </w:rPr>
            </w:pPr>
            <w:r>
              <w:rPr>
                <w:rFonts w:hint="eastAsia" w:hAnsi="宋体"/>
                <w:color w:val="000000"/>
                <w:sz w:val="24"/>
                <w:szCs w:val="24"/>
                <w:highlight w:val="none"/>
                <w:lang w:val="en-US" w:eastAsia="zh-CN"/>
              </w:rPr>
              <w:t>综合考虑</w:t>
            </w:r>
            <w:r>
              <w:rPr>
                <w:rFonts w:hint="eastAsia" w:ascii="宋体" w:hAnsi="宋体"/>
                <w:color w:val="000000"/>
                <w:sz w:val="24"/>
                <w:szCs w:val="24"/>
                <w:highlight w:val="none"/>
              </w:rPr>
              <w:t>场地</w:t>
            </w:r>
            <w:r>
              <w:rPr>
                <w:rFonts w:hint="eastAsia" w:hAnsi="宋体"/>
                <w:color w:val="000000"/>
                <w:sz w:val="24"/>
                <w:szCs w:val="24"/>
                <w:highlight w:val="none"/>
                <w:lang w:val="en-US" w:eastAsia="zh-CN"/>
              </w:rPr>
              <w:t>内</w:t>
            </w:r>
            <w:r>
              <w:rPr>
                <w:rFonts w:hint="eastAsia" w:ascii="宋体" w:hAnsi="宋体"/>
                <w:color w:val="000000"/>
                <w:sz w:val="24"/>
                <w:szCs w:val="24"/>
                <w:highlight w:val="none"/>
                <w:lang w:val="en-US" w:eastAsia="zh-CN"/>
              </w:rPr>
              <w:t>维修、仓库租赁、加油充电以及</w:t>
            </w:r>
            <w:r>
              <w:rPr>
                <w:rFonts w:hint="eastAsia" w:ascii="宋体" w:hAnsi="宋体"/>
                <w:color w:val="000000"/>
                <w:sz w:val="24"/>
                <w:szCs w:val="24"/>
                <w:highlight w:val="none"/>
              </w:rPr>
              <w:t>试验人员住宿和生活设施</w:t>
            </w:r>
            <w:r>
              <w:rPr>
                <w:rFonts w:hint="eastAsia" w:ascii="宋体" w:hAnsi="宋体"/>
                <w:color w:val="000000"/>
                <w:sz w:val="24"/>
                <w:szCs w:val="24"/>
                <w:highlight w:val="none"/>
                <w:lang w:val="en-US" w:eastAsia="zh-CN"/>
              </w:rPr>
              <w:t>完备情况</w:t>
            </w:r>
            <w:r>
              <w:rPr>
                <w:rFonts w:hint="eastAsia" w:hAnsi="宋体"/>
                <w:color w:val="000000"/>
                <w:sz w:val="24"/>
                <w:szCs w:val="24"/>
                <w:highlight w:val="none"/>
                <w:lang w:val="en-US" w:eastAsia="zh-CN"/>
              </w:rPr>
              <w:t>，0</w:t>
            </w:r>
            <w:r>
              <w:rPr>
                <w:rFonts w:hint="eastAsia" w:ascii="仿宋" w:hAnsi="仿宋" w:cs="仿宋"/>
                <w:b/>
                <w:bCs/>
                <w:highlight w:val="none"/>
                <w:lang w:eastAsia="zh-CN"/>
              </w:rPr>
              <w:t>～</w:t>
            </w:r>
            <w:r>
              <w:rPr>
                <w:rFonts w:hint="eastAsia" w:hAnsi="宋体"/>
                <w:color w:val="000000"/>
                <w:sz w:val="24"/>
                <w:szCs w:val="24"/>
                <w:highlight w:val="none"/>
                <w:lang w:val="en-US" w:eastAsia="zh-CN"/>
              </w:rPr>
              <w:t>4分。</w:t>
            </w:r>
          </w:p>
        </w:tc>
      </w:tr>
    </w:tbl>
    <w:p>
      <w:pPr>
        <w:pStyle w:val="2"/>
        <w:rPr>
          <w:highlight w:val="none"/>
        </w:rPr>
      </w:pPr>
      <w:r>
        <w:rPr>
          <w:highlight w:val="none"/>
        </w:rPr>
        <w:br w:type="page"/>
      </w:r>
    </w:p>
    <w:p>
      <w:pPr>
        <w:pStyle w:val="2"/>
        <w:spacing w:line="360" w:lineRule="auto"/>
        <w:ind w:firstLine="480" w:firstLineChars="200"/>
        <w:rPr>
          <w:rFonts w:ascii="仿宋" w:hAnsi="仿宋" w:eastAsia="仿宋" w:cs="仿宋"/>
          <w:color w:val="000000"/>
          <w:sz w:val="24"/>
          <w:szCs w:val="24"/>
          <w:highlight w:val="none"/>
        </w:rPr>
      </w:pPr>
      <w:r>
        <w:rPr>
          <w:rFonts w:hint="eastAsia" w:ascii="仿宋" w:hAnsi="仿宋" w:eastAsia="仿宋" w:cs="仿宋"/>
          <w:b w:val="0"/>
          <w:bCs w:val="0"/>
          <w:color w:val="000000"/>
          <w:sz w:val="24"/>
          <w:szCs w:val="24"/>
          <w:highlight w:val="none"/>
        </w:rPr>
        <w:t>(1</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评标依据：采用综合评分法</w:t>
      </w:r>
      <w:r>
        <w:rPr>
          <w:rFonts w:hint="eastAsia" w:ascii="仿宋" w:hAnsi="仿宋" w:eastAsia="仿宋" w:cs="仿宋"/>
          <w:color w:val="000000"/>
          <w:sz w:val="24"/>
          <w:szCs w:val="24"/>
          <w:highlight w:val="none"/>
          <w:lang w:val="en-US" w:eastAsia="zh-CN"/>
        </w:rPr>
        <w:t>---</w:t>
      </w:r>
      <w:r>
        <w:rPr>
          <w:rFonts w:hint="eastAsia" w:ascii="宋体" w:hAnsi="宋体" w:eastAsia="宋体" w:cs="宋体"/>
          <w:b/>
          <w:bCs/>
          <w:color w:val="auto"/>
          <w:sz w:val="21"/>
          <w:szCs w:val="20"/>
          <w:highlight w:val="none"/>
          <w:lang w:val="en-US" w:eastAsia="zh-CN"/>
        </w:rPr>
        <w:t>轻卡</w:t>
      </w:r>
      <w:r>
        <w:rPr>
          <w:rFonts w:hint="eastAsia" w:ascii="宋体" w:hAnsi="宋体" w:cs="宋体"/>
          <w:b/>
          <w:bCs/>
          <w:highlight w:val="none"/>
          <w:lang w:val="en-US" w:eastAsia="zh-CN"/>
        </w:rPr>
        <w:t>可靠性场地子项目</w:t>
      </w:r>
      <w:r>
        <w:rPr>
          <w:rFonts w:hint="eastAsia" w:hAnsi="宋体" w:cs="宋体"/>
          <w:b/>
          <w:bCs/>
          <w:highlight w:val="none"/>
          <w:lang w:val="en-US" w:eastAsia="zh-CN"/>
        </w:rPr>
        <w:t>适用</w:t>
      </w:r>
    </w:p>
    <w:tbl>
      <w:tblPr>
        <w:tblStyle w:val="32"/>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7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03" w:type="dxa"/>
            <w:vAlign w:val="center"/>
          </w:tcPr>
          <w:p>
            <w:pPr>
              <w:tabs>
                <w:tab w:val="left" w:pos="7854"/>
              </w:tabs>
              <w:spacing w:line="300" w:lineRule="exact"/>
              <w:jc w:val="center"/>
              <w:rPr>
                <w:rFonts w:ascii="宋体" w:hAnsi="宋体"/>
                <w:b/>
                <w:color w:val="000000"/>
                <w:sz w:val="24"/>
                <w:szCs w:val="24"/>
                <w:highlight w:val="none"/>
              </w:rPr>
            </w:pPr>
            <w:r>
              <w:rPr>
                <w:rFonts w:hint="eastAsia" w:ascii="宋体" w:hAnsi="宋体"/>
                <w:b/>
                <w:color w:val="000000"/>
                <w:sz w:val="24"/>
                <w:szCs w:val="24"/>
                <w:highlight w:val="none"/>
              </w:rPr>
              <w:t>评审项目</w:t>
            </w:r>
          </w:p>
        </w:tc>
        <w:tc>
          <w:tcPr>
            <w:tcW w:w="7843" w:type="dxa"/>
            <w:vAlign w:val="center"/>
          </w:tcPr>
          <w:p>
            <w:pPr>
              <w:tabs>
                <w:tab w:val="left" w:pos="7854"/>
              </w:tabs>
              <w:spacing w:line="300" w:lineRule="exact"/>
              <w:jc w:val="center"/>
              <w:rPr>
                <w:rFonts w:ascii="宋体" w:hAnsi="宋体"/>
                <w:b/>
                <w:color w:val="000000"/>
                <w:sz w:val="24"/>
                <w:szCs w:val="24"/>
                <w:highlight w:val="none"/>
              </w:rPr>
            </w:pPr>
            <w:r>
              <w:rPr>
                <w:rFonts w:hint="eastAsia" w:ascii="宋体" w:hAnsi="宋体"/>
                <w:b/>
                <w:color w:val="000000"/>
                <w:sz w:val="24"/>
                <w:szCs w:val="24"/>
                <w:highlight w:val="none"/>
              </w:rPr>
              <w:t>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1203" w:type="dxa"/>
            <w:vMerge w:val="restart"/>
            <w:vAlign w:val="center"/>
          </w:tcPr>
          <w:p>
            <w:pPr>
              <w:tabs>
                <w:tab w:val="left" w:pos="7854"/>
              </w:tabs>
              <w:spacing w:line="300" w:lineRule="exact"/>
              <w:jc w:val="center"/>
              <w:rPr>
                <w:rFonts w:hint="eastAsia" w:ascii="宋体" w:hAnsi="宋体" w:eastAsia="宋体"/>
                <w:b/>
                <w:color w:val="000000"/>
                <w:sz w:val="24"/>
                <w:szCs w:val="24"/>
                <w:highlight w:val="none"/>
                <w:lang w:val="en-US" w:eastAsia="zh-CN"/>
              </w:rPr>
            </w:pPr>
            <w:r>
              <w:rPr>
                <w:rFonts w:hint="eastAsia" w:ascii="宋体" w:hAnsi="宋体"/>
                <w:b/>
                <w:bCs w:val="0"/>
                <w:color w:val="000000"/>
                <w:sz w:val="24"/>
                <w:szCs w:val="24"/>
                <w:highlight w:val="none"/>
                <w:lang w:val="en-US" w:eastAsia="zh-CN"/>
              </w:rPr>
              <w:t>商务部分（7</w:t>
            </w:r>
            <w:r>
              <w:rPr>
                <w:rFonts w:hint="eastAsia" w:ascii="宋体" w:hAnsi="宋体"/>
                <w:b/>
                <w:bCs w:val="0"/>
                <w:color w:val="000000"/>
                <w:sz w:val="24"/>
                <w:szCs w:val="24"/>
                <w:highlight w:val="none"/>
              </w:rPr>
              <w:t>0</w:t>
            </w:r>
            <w:r>
              <w:rPr>
                <w:rFonts w:hint="eastAsia" w:ascii="宋体" w:hAnsi="宋体"/>
                <w:b/>
                <w:bCs w:val="0"/>
                <w:color w:val="000000"/>
                <w:sz w:val="24"/>
                <w:szCs w:val="24"/>
                <w:highlight w:val="none"/>
                <w:lang w:val="en-US" w:eastAsia="zh-CN"/>
              </w:rPr>
              <w:t>分</w:t>
            </w:r>
            <w:r>
              <w:rPr>
                <w:rFonts w:hint="eastAsia" w:ascii="宋体" w:hAnsi="宋体"/>
                <w:b/>
                <w:bCs w:val="0"/>
                <w:color w:val="000000"/>
                <w:sz w:val="24"/>
                <w:szCs w:val="24"/>
                <w:highlight w:val="none"/>
                <w:lang w:eastAsia="zh-CN"/>
              </w:rPr>
              <w:t>）</w:t>
            </w:r>
          </w:p>
        </w:tc>
        <w:tc>
          <w:tcPr>
            <w:tcW w:w="7843" w:type="dxa"/>
            <w:vAlign w:val="center"/>
          </w:tcPr>
          <w:p>
            <w:pPr>
              <w:numPr>
                <w:ilvl w:val="0"/>
                <w:numId w:val="0"/>
              </w:numPr>
              <w:tabs>
                <w:tab w:val="left" w:pos="7854"/>
              </w:tabs>
              <w:spacing w:line="30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a）</w:t>
            </w:r>
            <w:r>
              <w:rPr>
                <w:rFonts w:hint="eastAsia" w:ascii="宋体" w:hAnsi="宋体" w:cs="宋体"/>
                <w:color w:val="000000"/>
                <w:sz w:val="24"/>
                <w:szCs w:val="24"/>
                <w:highlight w:val="none"/>
              </w:rPr>
              <w:t>场地</w:t>
            </w:r>
            <w:r>
              <w:rPr>
                <w:rFonts w:hint="eastAsia" w:ascii="宋体" w:hAnsi="宋体" w:cs="宋体"/>
                <w:color w:val="000000"/>
                <w:sz w:val="24"/>
                <w:szCs w:val="24"/>
                <w:highlight w:val="none"/>
                <w:lang w:val="en-US" w:eastAsia="zh-CN"/>
              </w:rPr>
              <w:t>租用</w:t>
            </w:r>
            <w:r>
              <w:rPr>
                <w:rFonts w:hint="eastAsia" w:ascii="宋体" w:hAnsi="宋体" w:cs="宋体"/>
                <w:color w:val="000000"/>
                <w:sz w:val="24"/>
                <w:szCs w:val="24"/>
                <w:highlight w:val="none"/>
              </w:rPr>
              <w:t>服务</w:t>
            </w:r>
            <w:r>
              <w:rPr>
                <w:rFonts w:hint="eastAsia" w:ascii="宋体" w:hAnsi="宋体" w:cs="宋体"/>
                <w:color w:val="000000"/>
                <w:sz w:val="24"/>
                <w:szCs w:val="24"/>
                <w:highlight w:val="none"/>
                <w:lang w:eastAsia="zh-CN"/>
              </w:rPr>
              <w:t>（</w:t>
            </w:r>
            <w:r>
              <w:rPr>
                <w:rFonts w:hint="eastAsia" w:ascii="宋体" w:hAnsi="宋体" w:cs="宋体"/>
                <w:b/>
                <w:bCs/>
                <w:color w:val="000000"/>
                <w:sz w:val="24"/>
                <w:szCs w:val="24"/>
                <w:highlight w:val="none"/>
                <w:lang w:val="en-US" w:eastAsia="zh-CN"/>
              </w:rPr>
              <w:t>60分</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w:t>
            </w:r>
          </w:p>
          <w:p>
            <w:pPr>
              <w:tabs>
                <w:tab w:val="left" w:pos="7854"/>
              </w:tabs>
              <w:spacing w:line="30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满足招标文件要求</w:t>
            </w:r>
            <w:r>
              <w:rPr>
                <w:rFonts w:hint="eastAsia" w:ascii="宋体" w:hAnsi="宋体" w:cs="宋体"/>
                <w:color w:val="000000"/>
                <w:sz w:val="24"/>
                <w:szCs w:val="24"/>
                <w:highlight w:val="none"/>
                <w:lang w:eastAsia="zh-CN"/>
              </w:rPr>
              <w:t>，</w:t>
            </w:r>
            <w:r>
              <w:rPr>
                <w:rFonts w:hint="eastAsia" w:ascii="宋体" w:hAnsi="宋体" w:cs="宋体"/>
                <w:sz w:val="24"/>
                <w:szCs w:val="24"/>
                <w:highlight w:val="none"/>
              </w:rPr>
              <w:t>有效报价</w:t>
            </w:r>
            <w:r>
              <w:rPr>
                <w:rFonts w:hint="eastAsia" w:ascii="宋体" w:hAnsi="宋体" w:cs="宋体"/>
                <w:color w:val="000000"/>
                <w:sz w:val="24"/>
                <w:szCs w:val="24"/>
                <w:highlight w:val="none"/>
              </w:rPr>
              <w:t>=</w:t>
            </w:r>
            <w:r>
              <w:rPr>
                <w:rFonts w:hint="eastAsia" w:ascii="宋体" w:hAnsi="宋体" w:eastAsia="宋体" w:cs="宋体"/>
                <w:b w:val="0"/>
                <w:bCs w:val="0"/>
                <w:i w:val="0"/>
                <w:iCs w:val="0"/>
                <w:color w:val="000000"/>
                <w:kern w:val="2"/>
                <w:sz w:val="24"/>
                <w:szCs w:val="24"/>
                <w:highlight w:val="none"/>
                <w:u w:val="none"/>
                <w:lang w:val="en-US" w:eastAsia="zh-CN" w:bidi="ar"/>
              </w:rPr>
              <w:t>7t</w:t>
            </w:r>
            <w:r>
              <w:rPr>
                <w:rFonts w:hint="eastAsia" w:ascii="宋体" w:hAnsi="宋体" w:eastAsia="宋体" w:cs="宋体"/>
                <w:color w:val="000000"/>
                <w:sz w:val="24"/>
                <w:szCs w:val="24"/>
                <w:highlight w:val="none"/>
              </w:rPr>
              <w:t>车型可靠性路每公里报价</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61%+</w:t>
            </w:r>
            <w:r>
              <w:rPr>
                <w:rFonts w:hint="eastAsia" w:ascii="宋体" w:hAnsi="宋体" w:cs="宋体"/>
                <w:b w:val="0"/>
                <w:bCs w:val="0"/>
                <w:i w:val="0"/>
                <w:iCs w:val="0"/>
                <w:color w:val="000000"/>
                <w:kern w:val="2"/>
                <w:sz w:val="24"/>
                <w:szCs w:val="24"/>
                <w:highlight w:val="none"/>
                <w:u w:val="none"/>
                <w:lang w:val="en-US" w:eastAsia="zh-CN" w:bidi="ar"/>
              </w:rPr>
              <w:t>18</w:t>
            </w:r>
            <w:r>
              <w:rPr>
                <w:rFonts w:hint="eastAsia" w:ascii="宋体" w:hAnsi="宋体" w:eastAsia="宋体" w:cs="宋体"/>
                <w:b w:val="0"/>
                <w:bCs w:val="0"/>
                <w:i w:val="0"/>
                <w:iCs w:val="0"/>
                <w:color w:val="000000"/>
                <w:kern w:val="2"/>
                <w:sz w:val="24"/>
                <w:szCs w:val="24"/>
                <w:highlight w:val="none"/>
                <w:u w:val="none"/>
                <w:lang w:val="en-US" w:eastAsia="zh-CN" w:bidi="ar"/>
              </w:rPr>
              <w:t>t</w:t>
            </w:r>
            <w:r>
              <w:rPr>
                <w:rFonts w:hint="eastAsia" w:ascii="宋体" w:hAnsi="宋体" w:eastAsia="宋体" w:cs="宋体"/>
                <w:color w:val="000000"/>
                <w:sz w:val="24"/>
                <w:szCs w:val="24"/>
                <w:highlight w:val="none"/>
              </w:rPr>
              <w:t>车型可靠性路每公里报价</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39%</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投标方有效报价</w:t>
            </w:r>
            <w:r>
              <w:rPr>
                <w:rFonts w:hint="eastAsia" w:ascii="宋体" w:hAnsi="宋体" w:cs="宋体"/>
                <w:color w:val="000000"/>
                <w:sz w:val="24"/>
                <w:szCs w:val="24"/>
                <w:highlight w:val="none"/>
              </w:rPr>
              <w:t>最低</w:t>
            </w:r>
            <w:r>
              <w:rPr>
                <w:rFonts w:hint="eastAsia" w:ascii="宋体" w:hAnsi="宋体" w:cs="宋体"/>
                <w:color w:val="000000"/>
                <w:sz w:val="24"/>
                <w:szCs w:val="24"/>
                <w:highlight w:val="none"/>
                <w:lang w:val="en-US" w:eastAsia="zh-CN"/>
              </w:rPr>
              <w:t>的</w:t>
            </w:r>
            <w:r>
              <w:rPr>
                <w:rFonts w:hint="eastAsia" w:ascii="宋体" w:hAnsi="宋体" w:cs="宋体"/>
                <w:color w:val="000000"/>
                <w:sz w:val="24"/>
                <w:szCs w:val="24"/>
                <w:highlight w:val="none"/>
              </w:rPr>
              <w:t>为评标基准价，其</w:t>
            </w:r>
            <w:r>
              <w:rPr>
                <w:rFonts w:hint="eastAsia" w:ascii="宋体" w:hAnsi="宋体" w:cs="宋体"/>
                <w:color w:val="000000"/>
                <w:sz w:val="24"/>
                <w:szCs w:val="24"/>
                <w:highlight w:val="none"/>
                <w:lang w:val="en-US" w:eastAsia="zh-CN"/>
              </w:rPr>
              <w:t>得</w:t>
            </w:r>
            <w:r>
              <w:rPr>
                <w:rFonts w:hint="eastAsia" w:ascii="宋体" w:hAnsi="宋体" w:cs="宋体"/>
                <w:color w:val="000000"/>
                <w:sz w:val="24"/>
                <w:szCs w:val="24"/>
                <w:highlight w:val="none"/>
              </w:rPr>
              <w:t>分为满分（</w:t>
            </w:r>
            <w:r>
              <w:rPr>
                <w:rFonts w:hint="eastAsia" w:ascii="宋体" w:hAnsi="宋体" w:cs="宋体"/>
                <w:color w:val="000000"/>
                <w:sz w:val="24"/>
                <w:szCs w:val="24"/>
                <w:highlight w:val="none"/>
                <w:lang w:val="en-US" w:eastAsia="zh-CN"/>
              </w:rPr>
              <w:t>60</w:t>
            </w:r>
            <w:r>
              <w:rPr>
                <w:rFonts w:hint="eastAsia" w:ascii="宋体" w:hAnsi="宋体" w:cs="宋体"/>
                <w:color w:val="000000"/>
                <w:sz w:val="24"/>
                <w:szCs w:val="24"/>
                <w:highlight w:val="none"/>
              </w:rPr>
              <w:t>分）。其他</w:t>
            </w:r>
            <w:r>
              <w:rPr>
                <w:rFonts w:hint="eastAsia" w:ascii="宋体" w:hAnsi="宋体" w:cs="宋体"/>
                <w:color w:val="000000"/>
                <w:sz w:val="24"/>
                <w:szCs w:val="24"/>
                <w:highlight w:val="none"/>
                <w:lang w:val="en-US" w:eastAsia="zh-CN"/>
              </w:rPr>
              <w:t>投标方</w:t>
            </w:r>
            <w:r>
              <w:rPr>
                <w:rFonts w:hint="eastAsia" w:ascii="宋体" w:hAnsi="宋体" w:cs="宋体"/>
                <w:color w:val="000000"/>
                <w:sz w:val="24"/>
                <w:szCs w:val="24"/>
                <w:highlight w:val="none"/>
              </w:rPr>
              <w:t>的</w:t>
            </w:r>
            <w:r>
              <w:rPr>
                <w:rFonts w:hint="eastAsia" w:ascii="宋体" w:hAnsi="宋体" w:cs="宋体"/>
                <w:color w:val="000000"/>
                <w:sz w:val="24"/>
                <w:szCs w:val="24"/>
                <w:highlight w:val="none"/>
                <w:lang w:val="en-US" w:eastAsia="zh-CN"/>
              </w:rPr>
              <w:t>得分</w:t>
            </w:r>
            <w:r>
              <w:rPr>
                <w:rFonts w:hint="eastAsia" w:ascii="宋体" w:hAnsi="宋体" w:cs="宋体"/>
                <w:color w:val="000000"/>
                <w:sz w:val="24"/>
                <w:szCs w:val="24"/>
                <w:highlight w:val="none"/>
              </w:rPr>
              <w:t>统一按照下列公式计算：</w:t>
            </w:r>
            <w:r>
              <w:rPr>
                <w:rFonts w:hint="eastAsia" w:ascii="宋体" w:hAnsi="宋体" w:cs="宋体"/>
                <w:color w:val="000000"/>
                <w:sz w:val="24"/>
                <w:szCs w:val="24"/>
                <w:highlight w:val="none"/>
                <w:lang w:val="en-US" w:eastAsia="zh-CN"/>
              </w:rPr>
              <w:t>报价</w:t>
            </w:r>
            <w:r>
              <w:rPr>
                <w:rFonts w:hint="eastAsia" w:ascii="宋体" w:hAnsi="宋体" w:cs="宋体"/>
                <w:color w:val="000000"/>
                <w:sz w:val="24"/>
                <w:szCs w:val="24"/>
                <w:highlight w:val="none"/>
              </w:rPr>
              <w:t>得分＝（评标基准价/</w:t>
            </w:r>
            <w:r>
              <w:rPr>
                <w:rFonts w:hint="eastAsia" w:ascii="宋体" w:hAnsi="宋体" w:cs="宋体"/>
                <w:color w:val="000000"/>
                <w:sz w:val="24"/>
                <w:szCs w:val="24"/>
                <w:highlight w:val="none"/>
                <w:lang w:val="en-US" w:eastAsia="zh-CN"/>
              </w:rPr>
              <w:t>有效</w:t>
            </w:r>
            <w:r>
              <w:rPr>
                <w:rFonts w:hint="eastAsia" w:ascii="宋体" w:hAnsi="宋体" w:cs="宋体"/>
                <w:color w:val="000000"/>
                <w:sz w:val="24"/>
                <w:szCs w:val="24"/>
                <w:highlight w:val="none"/>
              </w:rPr>
              <w:t>报价）×价格权重（</w:t>
            </w:r>
            <w:r>
              <w:rPr>
                <w:rFonts w:hint="eastAsia" w:ascii="宋体" w:hAnsi="宋体" w:cs="宋体"/>
                <w:color w:val="000000"/>
                <w:sz w:val="24"/>
                <w:szCs w:val="24"/>
                <w:highlight w:val="none"/>
                <w:lang w:val="en-US" w:eastAsia="zh-CN"/>
              </w:rPr>
              <w:t>60</w:t>
            </w:r>
            <w:r>
              <w:rPr>
                <w:rFonts w:hint="eastAsia" w:ascii="宋体" w:hAnsi="宋体" w:cs="宋体"/>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1203" w:type="dxa"/>
            <w:vMerge w:val="continue"/>
            <w:vAlign w:val="center"/>
          </w:tcPr>
          <w:p>
            <w:pPr>
              <w:tabs>
                <w:tab w:val="left" w:pos="7854"/>
              </w:tabs>
              <w:spacing w:line="300" w:lineRule="exact"/>
              <w:jc w:val="center"/>
              <w:rPr>
                <w:rFonts w:hint="eastAsia" w:ascii="宋体" w:hAnsi="宋体"/>
                <w:b/>
                <w:color w:val="000000"/>
                <w:sz w:val="24"/>
                <w:szCs w:val="24"/>
                <w:highlight w:val="none"/>
                <w:lang w:val="en-US" w:eastAsia="zh-CN"/>
              </w:rPr>
            </w:pPr>
          </w:p>
        </w:tc>
        <w:tc>
          <w:tcPr>
            <w:tcW w:w="7843" w:type="dxa"/>
            <w:vAlign w:val="center"/>
          </w:tcPr>
          <w:p>
            <w:pPr>
              <w:pStyle w:val="2"/>
              <w:rPr>
                <w:rFonts w:hint="eastAsia" w:hAnsi="宋体" w:eastAsia="宋体"/>
                <w:color w:val="000000"/>
                <w:sz w:val="24"/>
                <w:szCs w:val="24"/>
                <w:highlight w:val="none"/>
                <w:lang w:eastAsia="zh-CN"/>
              </w:rPr>
            </w:pPr>
            <w:r>
              <w:rPr>
                <w:rFonts w:hint="eastAsia"/>
                <w:sz w:val="24"/>
                <w:szCs w:val="22"/>
                <w:highlight w:val="none"/>
              </w:rPr>
              <w:t>b</w:t>
            </w:r>
            <w:r>
              <w:rPr>
                <w:rFonts w:hint="eastAsia" w:ascii="宋体" w:hAnsi="宋体"/>
                <w:color w:val="000000"/>
                <w:sz w:val="24"/>
                <w:szCs w:val="24"/>
                <w:highlight w:val="none"/>
                <w:lang w:val="en-US" w:eastAsia="zh-CN"/>
              </w:rPr>
              <w:t>）</w:t>
            </w:r>
            <w:r>
              <w:rPr>
                <w:rFonts w:hint="eastAsia" w:hAnsi="宋体"/>
                <w:color w:val="000000"/>
                <w:sz w:val="24"/>
                <w:szCs w:val="24"/>
                <w:highlight w:val="none"/>
              </w:rPr>
              <w:t>维修服务</w:t>
            </w:r>
            <w:r>
              <w:rPr>
                <w:rFonts w:hint="eastAsia" w:hAnsi="宋体"/>
                <w:color w:val="000000"/>
                <w:sz w:val="24"/>
                <w:szCs w:val="24"/>
                <w:highlight w:val="none"/>
                <w:lang w:eastAsia="zh-CN"/>
              </w:rPr>
              <w:t>（</w:t>
            </w:r>
            <w:r>
              <w:rPr>
                <w:rFonts w:hint="eastAsia" w:hAnsi="宋体"/>
                <w:b/>
                <w:bCs/>
                <w:color w:val="000000"/>
                <w:sz w:val="24"/>
                <w:szCs w:val="24"/>
                <w:highlight w:val="none"/>
                <w:lang w:val="en-US" w:eastAsia="zh-CN"/>
              </w:rPr>
              <w:t>6分</w:t>
            </w:r>
            <w:r>
              <w:rPr>
                <w:rFonts w:hint="eastAsia" w:hAnsi="宋体"/>
                <w:color w:val="000000"/>
                <w:sz w:val="24"/>
                <w:szCs w:val="24"/>
                <w:highlight w:val="none"/>
                <w:lang w:eastAsia="zh-CN"/>
              </w:rPr>
              <w:t>）：</w:t>
            </w:r>
          </w:p>
          <w:p>
            <w:pPr>
              <w:pStyle w:val="2"/>
              <w:ind w:firstLine="480" w:firstLineChars="200"/>
              <w:rPr>
                <w:rFonts w:hint="default" w:hAnsi="宋体" w:eastAsia="宋体"/>
                <w:color w:val="000000"/>
                <w:sz w:val="24"/>
                <w:szCs w:val="24"/>
                <w:highlight w:val="none"/>
                <w:lang w:val="en-US" w:eastAsia="zh-CN"/>
              </w:rPr>
            </w:pPr>
            <w:r>
              <w:rPr>
                <w:rFonts w:hint="eastAsia" w:hAnsi="宋体"/>
                <w:color w:val="000000"/>
                <w:sz w:val="24"/>
                <w:szCs w:val="24"/>
                <w:highlight w:val="none"/>
              </w:rPr>
              <w:t>满足招标文件要求且报价最低的为评标基准价，其价格分为满分（6分）。其他</w:t>
            </w:r>
            <w:r>
              <w:rPr>
                <w:rFonts w:hint="eastAsia" w:hAnsi="宋体"/>
                <w:color w:val="000000"/>
                <w:sz w:val="24"/>
                <w:szCs w:val="24"/>
                <w:highlight w:val="none"/>
                <w:lang w:val="en-US" w:eastAsia="zh-CN"/>
              </w:rPr>
              <w:t>投标方</w:t>
            </w:r>
            <w:r>
              <w:rPr>
                <w:rFonts w:hint="eastAsia" w:hAnsi="宋体"/>
                <w:color w:val="000000"/>
                <w:sz w:val="24"/>
                <w:szCs w:val="24"/>
                <w:highlight w:val="none"/>
              </w:rPr>
              <w:t>的价格统一按照下列公式计算：报价得分＝（评标基准价/</w:t>
            </w:r>
            <w:r>
              <w:rPr>
                <w:rFonts w:hint="eastAsia" w:hAnsi="宋体"/>
                <w:color w:val="000000"/>
                <w:sz w:val="24"/>
                <w:szCs w:val="24"/>
                <w:highlight w:val="none"/>
                <w:lang w:val="en-US" w:eastAsia="zh-CN"/>
              </w:rPr>
              <w:t>投</w:t>
            </w:r>
            <w:r>
              <w:rPr>
                <w:rFonts w:hint="eastAsia" w:hAnsi="宋体"/>
                <w:color w:val="000000"/>
                <w:sz w:val="24"/>
                <w:szCs w:val="24"/>
                <w:highlight w:val="none"/>
              </w:rPr>
              <w:t>标报价）×价格权重（6）</w:t>
            </w:r>
            <w:r>
              <w:rPr>
                <w:rFonts w:hint="eastAsia" w:hAnsi="宋体"/>
                <w:color w:val="000000"/>
                <w:sz w:val="24"/>
                <w:szCs w:val="24"/>
                <w:highlight w:val="none"/>
                <w:lang w:eastAsia="zh-CN"/>
              </w:rPr>
              <w:t>；</w:t>
            </w:r>
            <w:r>
              <w:rPr>
                <w:rFonts w:hint="eastAsia" w:hAnsi="宋体"/>
                <w:color w:val="000000"/>
                <w:sz w:val="24"/>
                <w:szCs w:val="24"/>
                <w:highlight w:val="none"/>
                <w:lang w:val="en-US" w:eastAsia="zh-CN"/>
              </w:rPr>
              <w:t>不提供维修服务的赋0分。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1203" w:type="dxa"/>
            <w:vMerge w:val="continue"/>
            <w:vAlign w:val="center"/>
          </w:tcPr>
          <w:p>
            <w:pPr>
              <w:tabs>
                <w:tab w:val="left" w:pos="7854"/>
              </w:tabs>
              <w:spacing w:line="300" w:lineRule="exact"/>
              <w:jc w:val="center"/>
              <w:rPr>
                <w:rFonts w:hint="eastAsia" w:ascii="宋体" w:hAnsi="宋体"/>
                <w:b/>
                <w:color w:val="000000"/>
                <w:sz w:val="24"/>
                <w:szCs w:val="24"/>
                <w:highlight w:val="none"/>
                <w:lang w:val="en-US" w:eastAsia="zh-CN"/>
              </w:rPr>
            </w:pPr>
          </w:p>
        </w:tc>
        <w:tc>
          <w:tcPr>
            <w:tcW w:w="7843" w:type="dxa"/>
            <w:vAlign w:val="center"/>
          </w:tcPr>
          <w:p>
            <w:pPr>
              <w:pStyle w:val="2"/>
              <w:rPr>
                <w:rFonts w:hint="eastAsia" w:hAnsi="宋体" w:eastAsia="宋体"/>
                <w:color w:val="000000"/>
                <w:sz w:val="24"/>
                <w:szCs w:val="24"/>
                <w:highlight w:val="none"/>
                <w:lang w:eastAsia="zh-CN"/>
              </w:rPr>
            </w:pPr>
            <w:r>
              <w:rPr>
                <w:rFonts w:hint="eastAsia" w:hAnsi="宋体"/>
                <w:color w:val="000000"/>
                <w:sz w:val="24"/>
                <w:szCs w:val="24"/>
                <w:highlight w:val="none"/>
              </w:rPr>
              <w:t>c</w:t>
            </w:r>
            <w:r>
              <w:rPr>
                <w:rFonts w:hint="eastAsia" w:ascii="宋体" w:hAnsi="宋体"/>
                <w:color w:val="000000"/>
                <w:sz w:val="24"/>
                <w:szCs w:val="24"/>
                <w:highlight w:val="none"/>
                <w:lang w:val="en-US" w:eastAsia="zh-CN"/>
              </w:rPr>
              <w:t>）</w:t>
            </w:r>
            <w:r>
              <w:rPr>
                <w:rFonts w:hint="eastAsia" w:hAnsi="宋体"/>
                <w:color w:val="000000"/>
                <w:sz w:val="24"/>
                <w:szCs w:val="24"/>
                <w:highlight w:val="none"/>
              </w:rPr>
              <w:t>办公室仓库租赁服务</w:t>
            </w:r>
            <w:r>
              <w:rPr>
                <w:rFonts w:hint="eastAsia" w:hAnsi="宋体"/>
                <w:color w:val="000000"/>
                <w:sz w:val="24"/>
                <w:szCs w:val="24"/>
                <w:highlight w:val="none"/>
                <w:lang w:eastAsia="zh-CN"/>
              </w:rPr>
              <w:t>（</w:t>
            </w:r>
            <w:r>
              <w:rPr>
                <w:rFonts w:hint="eastAsia" w:hAnsi="宋体"/>
                <w:b/>
                <w:bCs/>
                <w:color w:val="000000"/>
                <w:sz w:val="24"/>
                <w:szCs w:val="24"/>
                <w:highlight w:val="none"/>
                <w:lang w:val="en-US" w:eastAsia="zh-CN"/>
              </w:rPr>
              <w:t>2分</w:t>
            </w:r>
            <w:r>
              <w:rPr>
                <w:rFonts w:hint="eastAsia" w:hAnsi="宋体"/>
                <w:color w:val="000000"/>
                <w:sz w:val="24"/>
                <w:szCs w:val="24"/>
                <w:highlight w:val="none"/>
                <w:lang w:eastAsia="zh-CN"/>
              </w:rPr>
              <w:t>）：</w:t>
            </w:r>
          </w:p>
          <w:p>
            <w:pPr>
              <w:pStyle w:val="2"/>
              <w:ind w:firstLine="480" w:firstLineChars="200"/>
              <w:rPr>
                <w:rFonts w:hint="eastAsia" w:hAnsi="宋体"/>
                <w:color w:val="000000"/>
                <w:sz w:val="24"/>
                <w:szCs w:val="24"/>
                <w:highlight w:val="none"/>
              </w:rPr>
            </w:pPr>
            <w:r>
              <w:rPr>
                <w:rFonts w:hint="eastAsia" w:hAnsi="宋体"/>
                <w:color w:val="000000"/>
                <w:sz w:val="24"/>
                <w:szCs w:val="24"/>
                <w:highlight w:val="none"/>
              </w:rPr>
              <w:t>满足招标文件要求且最终报价最低的为评标基准价，其价格分为满分（</w:t>
            </w:r>
            <w:r>
              <w:rPr>
                <w:rFonts w:hint="eastAsia" w:hAnsi="宋体"/>
                <w:color w:val="000000"/>
                <w:sz w:val="24"/>
                <w:szCs w:val="24"/>
                <w:highlight w:val="none"/>
                <w:lang w:val="en-US" w:eastAsia="zh-CN"/>
              </w:rPr>
              <w:t>2</w:t>
            </w:r>
            <w:r>
              <w:rPr>
                <w:rFonts w:hint="eastAsia" w:hAnsi="宋体"/>
                <w:color w:val="000000"/>
                <w:sz w:val="24"/>
                <w:szCs w:val="24"/>
                <w:highlight w:val="none"/>
              </w:rPr>
              <w:t>分）。其他</w:t>
            </w:r>
            <w:r>
              <w:rPr>
                <w:rFonts w:hint="eastAsia" w:hAnsi="宋体"/>
                <w:color w:val="000000"/>
                <w:sz w:val="24"/>
                <w:szCs w:val="24"/>
                <w:highlight w:val="none"/>
                <w:lang w:val="en-US" w:eastAsia="zh-CN"/>
              </w:rPr>
              <w:t>投标方</w:t>
            </w:r>
            <w:r>
              <w:rPr>
                <w:rFonts w:hint="eastAsia" w:hAnsi="宋体"/>
                <w:color w:val="000000"/>
                <w:sz w:val="24"/>
                <w:szCs w:val="24"/>
                <w:highlight w:val="none"/>
              </w:rPr>
              <w:t>的价格统一按照下列公式计算：报价得分＝（评标基准价/</w:t>
            </w:r>
            <w:r>
              <w:rPr>
                <w:rFonts w:hint="eastAsia" w:hAnsi="宋体"/>
                <w:color w:val="000000"/>
                <w:sz w:val="24"/>
                <w:szCs w:val="24"/>
                <w:highlight w:val="none"/>
                <w:lang w:val="en-US" w:eastAsia="zh-CN"/>
              </w:rPr>
              <w:t>投</w:t>
            </w:r>
            <w:r>
              <w:rPr>
                <w:rFonts w:hint="eastAsia" w:hAnsi="宋体"/>
                <w:color w:val="000000"/>
                <w:sz w:val="24"/>
                <w:szCs w:val="24"/>
                <w:highlight w:val="none"/>
              </w:rPr>
              <w:t>标报价）×价格权重（</w:t>
            </w:r>
            <w:r>
              <w:rPr>
                <w:rFonts w:hint="eastAsia" w:hAnsi="宋体"/>
                <w:color w:val="000000"/>
                <w:sz w:val="24"/>
                <w:szCs w:val="24"/>
                <w:highlight w:val="none"/>
                <w:lang w:val="en-US" w:eastAsia="zh-CN"/>
              </w:rPr>
              <w:t>2</w:t>
            </w:r>
            <w:r>
              <w:rPr>
                <w:rFonts w:hint="eastAsia" w:hAnsi="宋体"/>
                <w:color w:val="000000"/>
                <w:sz w:val="24"/>
                <w:szCs w:val="24"/>
                <w:highlight w:val="none"/>
              </w:rPr>
              <w:t>）</w:t>
            </w:r>
            <w:r>
              <w:rPr>
                <w:rFonts w:hint="eastAsia" w:hAnsi="宋体"/>
                <w:color w:val="000000"/>
                <w:sz w:val="24"/>
                <w:szCs w:val="24"/>
                <w:highlight w:val="none"/>
                <w:lang w:eastAsia="zh-CN"/>
              </w:rPr>
              <w:t>；</w:t>
            </w:r>
            <w:r>
              <w:rPr>
                <w:rFonts w:hint="eastAsia" w:hAnsi="宋体"/>
                <w:color w:val="000000"/>
                <w:sz w:val="24"/>
                <w:szCs w:val="24"/>
                <w:highlight w:val="none"/>
                <w:lang w:val="en-US" w:eastAsia="zh-CN"/>
              </w:rPr>
              <w:t>不提供服务的赋0分。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1203" w:type="dxa"/>
            <w:vMerge w:val="continue"/>
            <w:vAlign w:val="center"/>
          </w:tcPr>
          <w:p>
            <w:pPr>
              <w:tabs>
                <w:tab w:val="left" w:pos="7854"/>
              </w:tabs>
              <w:spacing w:line="300" w:lineRule="exact"/>
              <w:jc w:val="center"/>
              <w:rPr>
                <w:rFonts w:hint="eastAsia" w:ascii="宋体" w:hAnsi="宋体"/>
                <w:b/>
                <w:color w:val="000000"/>
                <w:sz w:val="24"/>
                <w:szCs w:val="24"/>
                <w:highlight w:val="none"/>
                <w:lang w:val="en-US" w:eastAsia="zh-CN"/>
              </w:rPr>
            </w:pPr>
          </w:p>
        </w:tc>
        <w:tc>
          <w:tcPr>
            <w:tcW w:w="7843" w:type="dxa"/>
            <w:vAlign w:val="center"/>
          </w:tcPr>
          <w:p>
            <w:pPr>
              <w:pStyle w:val="2"/>
              <w:rPr>
                <w:rFonts w:hint="eastAsia" w:hAnsi="宋体" w:eastAsia="宋体"/>
                <w:color w:val="000000"/>
                <w:sz w:val="24"/>
                <w:szCs w:val="24"/>
                <w:highlight w:val="none"/>
                <w:lang w:eastAsia="zh-CN"/>
              </w:rPr>
            </w:pPr>
            <w:r>
              <w:rPr>
                <w:rFonts w:hint="eastAsia" w:hAnsi="宋体"/>
                <w:color w:val="000000"/>
                <w:sz w:val="24"/>
                <w:szCs w:val="24"/>
                <w:highlight w:val="none"/>
              </w:rPr>
              <w:t>d</w:t>
            </w:r>
            <w:r>
              <w:rPr>
                <w:rFonts w:hint="eastAsia" w:ascii="宋体" w:hAnsi="宋体"/>
                <w:color w:val="000000"/>
                <w:sz w:val="24"/>
                <w:szCs w:val="24"/>
                <w:highlight w:val="none"/>
                <w:lang w:val="en-US" w:eastAsia="zh-CN"/>
              </w:rPr>
              <w:t>）</w:t>
            </w:r>
            <w:r>
              <w:rPr>
                <w:rFonts w:hint="eastAsia" w:hAnsi="宋体"/>
                <w:color w:val="000000"/>
                <w:sz w:val="24"/>
                <w:szCs w:val="24"/>
                <w:highlight w:val="none"/>
                <w:lang w:val="en-US" w:eastAsia="zh-CN"/>
              </w:rPr>
              <w:t>燃料供给</w:t>
            </w:r>
            <w:r>
              <w:rPr>
                <w:rFonts w:hint="eastAsia" w:hAnsi="宋体"/>
                <w:color w:val="000000"/>
                <w:sz w:val="24"/>
                <w:szCs w:val="24"/>
                <w:highlight w:val="none"/>
              </w:rPr>
              <w:t>服务</w:t>
            </w:r>
            <w:r>
              <w:rPr>
                <w:rFonts w:hint="eastAsia" w:hAnsi="宋体"/>
                <w:color w:val="000000"/>
                <w:sz w:val="24"/>
                <w:szCs w:val="24"/>
                <w:highlight w:val="none"/>
                <w:lang w:eastAsia="zh-CN"/>
              </w:rPr>
              <w:t>（</w:t>
            </w:r>
            <w:r>
              <w:rPr>
                <w:rFonts w:hint="eastAsia" w:hAnsi="宋体"/>
                <w:b/>
                <w:bCs/>
                <w:color w:val="000000"/>
                <w:sz w:val="24"/>
                <w:szCs w:val="24"/>
                <w:highlight w:val="none"/>
                <w:lang w:val="en-US" w:eastAsia="zh-CN"/>
              </w:rPr>
              <w:t>2分</w:t>
            </w:r>
            <w:r>
              <w:rPr>
                <w:rFonts w:hint="eastAsia" w:hAnsi="宋体"/>
                <w:color w:val="000000"/>
                <w:sz w:val="24"/>
                <w:szCs w:val="24"/>
                <w:highlight w:val="none"/>
                <w:lang w:eastAsia="zh-CN"/>
              </w:rPr>
              <w:t>）：</w:t>
            </w:r>
          </w:p>
          <w:p>
            <w:pPr>
              <w:pStyle w:val="2"/>
              <w:ind w:firstLine="480" w:firstLineChars="200"/>
              <w:rPr>
                <w:rFonts w:hint="eastAsia" w:hAnsi="宋体"/>
                <w:color w:val="000000"/>
                <w:sz w:val="24"/>
                <w:szCs w:val="24"/>
                <w:highlight w:val="none"/>
              </w:rPr>
            </w:pPr>
            <w:r>
              <w:rPr>
                <w:rFonts w:hint="eastAsia" w:hAnsi="宋体"/>
                <w:color w:val="000000"/>
                <w:sz w:val="24"/>
                <w:szCs w:val="24"/>
                <w:highlight w:val="none"/>
              </w:rPr>
              <w:t>提供加油服务，按照投标人所报的每升柴油单价相比当地中国石化加油站价格折扣大小进行赋分，折扣最大者得</w:t>
            </w:r>
            <w:r>
              <w:rPr>
                <w:rFonts w:hint="eastAsia" w:hAnsi="宋体"/>
                <w:color w:val="000000"/>
                <w:sz w:val="24"/>
                <w:szCs w:val="24"/>
                <w:highlight w:val="none"/>
                <w:lang w:val="en-US" w:eastAsia="zh-CN"/>
              </w:rPr>
              <w:t>2</w:t>
            </w:r>
            <w:r>
              <w:rPr>
                <w:rFonts w:hint="eastAsia" w:hAnsi="宋体"/>
                <w:color w:val="000000"/>
                <w:sz w:val="24"/>
                <w:szCs w:val="24"/>
                <w:highlight w:val="none"/>
              </w:rPr>
              <w:t>分，无折扣者得</w:t>
            </w:r>
            <w:r>
              <w:rPr>
                <w:rFonts w:hint="eastAsia" w:hAnsi="宋体"/>
                <w:color w:val="000000"/>
                <w:sz w:val="24"/>
                <w:szCs w:val="24"/>
                <w:highlight w:val="none"/>
                <w:lang w:val="en-US" w:eastAsia="zh-CN"/>
              </w:rPr>
              <w:t>0.5</w:t>
            </w:r>
            <w:r>
              <w:rPr>
                <w:rFonts w:hint="eastAsia" w:hAnsi="宋体"/>
                <w:color w:val="000000"/>
                <w:sz w:val="24"/>
                <w:szCs w:val="24"/>
                <w:highlight w:val="none"/>
              </w:rPr>
              <w:t>分，折扣介于中间者通过线性差值赋分；价格上浮或不提供加油服务者不得分。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03" w:type="dxa"/>
            <w:vMerge w:val="restart"/>
            <w:vAlign w:val="center"/>
          </w:tcPr>
          <w:p>
            <w:pPr>
              <w:tabs>
                <w:tab w:val="left" w:pos="7854"/>
              </w:tabs>
              <w:spacing w:line="300" w:lineRule="exact"/>
              <w:jc w:val="center"/>
              <w:rPr>
                <w:rFonts w:hint="eastAsia" w:ascii="宋体" w:hAnsi="宋体" w:eastAsia="宋体"/>
                <w:b/>
                <w:color w:val="000000"/>
                <w:sz w:val="24"/>
                <w:szCs w:val="24"/>
                <w:highlight w:val="none"/>
                <w:lang w:eastAsia="zh-CN"/>
              </w:rPr>
            </w:pPr>
            <w:r>
              <w:rPr>
                <w:rFonts w:hint="eastAsia" w:ascii="宋体" w:hAnsi="宋体"/>
                <w:b/>
                <w:color w:val="000000"/>
                <w:sz w:val="24"/>
                <w:szCs w:val="24"/>
                <w:highlight w:val="none"/>
              </w:rPr>
              <w:t>技术部分</w:t>
            </w:r>
            <w:r>
              <w:rPr>
                <w:rFonts w:hint="eastAsia" w:ascii="宋体" w:hAnsi="宋体"/>
                <w:b/>
                <w:color w:val="000000"/>
                <w:sz w:val="24"/>
                <w:szCs w:val="24"/>
                <w:highlight w:val="none"/>
                <w:lang w:eastAsia="zh-CN"/>
              </w:rPr>
              <w:t>（</w:t>
            </w:r>
            <w:r>
              <w:rPr>
                <w:rFonts w:hint="eastAsia" w:ascii="宋体" w:hAnsi="宋体"/>
                <w:b/>
                <w:color w:val="000000"/>
                <w:sz w:val="24"/>
                <w:szCs w:val="24"/>
                <w:highlight w:val="none"/>
                <w:lang w:val="en-US" w:eastAsia="zh-CN"/>
              </w:rPr>
              <w:t>30分</w:t>
            </w:r>
            <w:r>
              <w:rPr>
                <w:rFonts w:hint="eastAsia" w:ascii="宋体" w:hAnsi="宋体"/>
                <w:b/>
                <w:color w:val="000000"/>
                <w:sz w:val="24"/>
                <w:szCs w:val="24"/>
                <w:highlight w:val="none"/>
                <w:lang w:eastAsia="zh-CN"/>
              </w:rPr>
              <w:t>）</w:t>
            </w:r>
          </w:p>
        </w:tc>
        <w:tc>
          <w:tcPr>
            <w:tcW w:w="7843" w:type="dxa"/>
            <w:vAlign w:val="center"/>
          </w:tcPr>
          <w:p>
            <w:pPr>
              <w:numPr>
                <w:ilvl w:val="0"/>
                <w:numId w:val="0"/>
              </w:numPr>
              <w:tabs>
                <w:tab w:val="left" w:pos="7854"/>
              </w:tabs>
              <w:spacing w:line="30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a）场地技术要求（</w:t>
            </w:r>
            <w:r>
              <w:rPr>
                <w:rFonts w:hint="eastAsia" w:ascii="宋体" w:hAnsi="宋体"/>
                <w:b/>
                <w:bCs/>
                <w:sz w:val="24"/>
                <w:szCs w:val="24"/>
                <w:highlight w:val="none"/>
                <w:lang w:val="en-US" w:eastAsia="zh-CN"/>
              </w:rPr>
              <w:t>12分</w:t>
            </w:r>
            <w:r>
              <w:rPr>
                <w:rFonts w:hint="eastAsia" w:ascii="宋体" w:hAnsi="宋体"/>
                <w:sz w:val="24"/>
                <w:szCs w:val="24"/>
                <w:highlight w:val="none"/>
                <w:lang w:val="en-US" w:eastAsia="zh-CN"/>
              </w:rPr>
              <w:t>）：</w:t>
            </w:r>
          </w:p>
          <w:p>
            <w:pPr>
              <w:pStyle w:val="2"/>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第二章技术要求的第一节第三条</w:t>
            </w:r>
            <w:r>
              <w:rPr>
                <w:rFonts w:hint="eastAsia" w:ascii="宋体" w:hAnsi="宋体"/>
                <w:sz w:val="24"/>
                <w:szCs w:val="24"/>
                <w:highlight w:val="none"/>
                <w:lang w:eastAsia="zh-CN"/>
              </w:rPr>
              <w:t>“</w:t>
            </w:r>
            <w:r>
              <w:rPr>
                <w:rFonts w:hint="eastAsia" w:ascii="宋体" w:hAnsi="宋体"/>
                <w:sz w:val="24"/>
                <w:szCs w:val="24"/>
                <w:highlight w:val="none"/>
              </w:rPr>
              <w:t>可靠性</w:t>
            </w:r>
            <w:r>
              <w:rPr>
                <w:rFonts w:hint="eastAsia" w:ascii="宋体" w:hAnsi="宋体"/>
                <w:sz w:val="24"/>
                <w:szCs w:val="24"/>
                <w:highlight w:val="none"/>
                <w:lang w:val="en-US" w:eastAsia="zh-CN"/>
              </w:rPr>
              <w:t>场地技术</w:t>
            </w:r>
            <w:r>
              <w:rPr>
                <w:rFonts w:hint="eastAsia" w:ascii="宋体" w:hAnsi="宋体"/>
                <w:sz w:val="24"/>
                <w:szCs w:val="24"/>
                <w:highlight w:val="none"/>
              </w:rPr>
              <w:t>要求</w:t>
            </w:r>
            <w:r>
              <w:rPr>
                <w:rFonts w:hint="eastAsia" w:ascii="宋体" w:hAnsi="宋体"/>
                <w:sz w:val="24"/>
                <w:szCs w:val="24"/>
                <w:highlight w:val="none"/>
                <w:lang w:eastAsia="zh-CN"/>
              </w:rPr>
              <w:t>”</w:t>
            </w:r>
            <w:r>
              <w:rPr>
                <w:rFonts w:hint="eastAsia" w:ascii="宋体" w:hAnsi="宋体"/>
                <w:sz w:val="24"/>
                <w:szCs w:val="24"/>
                <w:highlight w:val="none"/>
                <w:lang w:val="en-US" w:eastAsia="zh-CN"/>
              </w:rPr>
              <w:t>3.1</w:t>
            </w:r>
            <w:r>
              <w:rPr>
                <w:rFonts w:hint="eastAsia" w:ascii="仿宋" w:hAnsi="仿宋" w:cs="仿宋"/>
                <w:b/>
                <w:bCs/>
                <w:highlight w:val="none"/>
                <w:lang w:eastAsia="zh-CN"/>
              </w:rPr>
              <w:t>～</w:t>
            </w:r>
            <w:r>
              <w:rPr>
                <w:rFonts w:hint="eastAsia" w:ascii="宋体" w:hAnsi="宋体"/>
                <w:sz w:val="24"/>
                <w:szCs w:val="24"/>
                <w:highlight w:val="none"/>
                <w:lang w:val="en-US" w:eastAsia="zh-CN"/>
              </w:rPr>
              <w:t>3.</w:t>
            </w:r>
            <w:r>
              <w:rPr>
                <w:rFonts w:hint="eastAsia" w:hAnsi="宋体"/>
                <w:sz w:val="24"/>
                <w:szCs w:val="24"/>
                <w:highlight w:val="none"/>
                <w:lang w:val="en-US" w:eastAsia="zh-CN"/>
              </w:rPr>
              <w:t>4</w:t>
            </w:r>
            <w:r>
              <w:rPr>
                <w:rFonts w:hint="eastAsia" w:ascii="宋体" w:hAnsi="宋体"/>
                <w:sz w:val="24"/>
                <w:szCs w:val="24"/>
                <w:highlight w:val="none"/>
                <w:lang w:val="en-US" w:eastAsia="zh-CN"/>
              </w:rPr>
              <w:t>条款</w:t>
            </w:r>
            <w:r>
              <w:rPr>
                <w:rFonts w:hint="eastAsia" w:ascii="宋体" w:hAnsi="宋体"/>
                <w:sz w:val="24"/>
                <w:szCs w:val="24"/>
                <w:highlight w:val="none"/>
              </w:rPr>
              <w:t>，</w:t>
            </w:r>
            <w:r>
              <w:rPr>
                <w:rFonts w:hint="eastAsia" w:ascii="宋体" w:hAnsi="宋体"/>
                <w:sz w:val="24"/>
                <w:szCs w:val="24"/>
                <w:highlight w:val="none"/>
                <w:lang w:val="en-US" w:eastAsia="zh-CN"/>
              </w:rPr>
              <w:t>每条</w:t>
            </w:r>
            <w:r>
              <w:rPr>
                <w:rFonts w:hint="eastAsia" w:hAnsi="宋体"/>
                <w:sz w:val="24"/>
                <w:szCs w:val="24"/>
                <w:highlight w:val="none"/>
                <w:lang w:val="en-US" w:eastAsia="zh-CN"/>
              </w:rPr>
              <w:t>3</w:t>
            </w:r>
            <w:r>
              <w:rPr>
                <w:rFonts w:hint="eastAsia" w:ascii="宋体" w:hAnsi="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03" w:type="dxa"/>
            <w:vMerge w:val="continue"/>
            <w:vAlign w:val="center"/>
          </w:tcPr>
          <w:p>
            <w:pPr>
              <w:tabs>
                <w:tab w:val="left" w:pos="7854"/>
              </w:tabs>
              <w:spacing w:line="300" w:lineRule="exact"/>
              <w:jc w:val="center"/>
              <w:rPr>
                <w:rFonts w:hint="eastAsia" w:ascii="宋体" w:hAnsi="宋体"/>
                <w:b/>
                <w:color w:val="000000"/>
                <w:sz w:val="24"/>
                <w:szCs w:val="24"/>
                <w:highlight w:val="none"/>
              </w:rPr>
            </w:pPr>
          </w:p>
        </w:tc>
        <w:tc>
          <w:tcPr>
            <w:tcW w:w="7843" w:type="dxa"/>
            <w:vAlign w:val="center"/>
          </w:tcPr>
          <w:p>
            <w:pPr>
              <w:tabs>
                <w:tab w:val="left" w:pos="7854"/>
              </w:tabs>
              <w:spacing w:line="30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b）场地服务要求</w:t>
            </w:r>
            <w:r>
              <w:rPr>
                <w:rFonts w:hint="eastAsia" w:ascii="宋体" w:hAnsi="宋体"/>
                <w:color w:val="000000"/>
                <w:sz w:val="24"/>
                <w:szCs w:val="24"/>
                <w:highlight w:val="none"/>
                <w:lang w:val="en-US" w:eastAsia="zh-CN"/>
              </w:rPr>
              <w:t>（</w:t>
            </w:r>
            <w:r>
              <w:rPr>
                <w:rFonts w:hint="eastAsia" w:ascii="宋体" w:hAnsi="宋体"/>
                <w:b/>
                <w:bCs/>
                <w:color w:val="000000"/>
                <w:sz w:val="24"/>
                <w:szCs w:val="24"/>
                <w:highlight w:val="none"/>
                <w:lang w:val="en-US" w:eastAsia="zh-CN"/>
              </w:rPr>
              <w:t>5分</w:t>
            </w:r>
            <w:r>
              <w:rPr>
                <w:rFonts w:hint="eastAsia" w:ascii="宋体" w:hAnsi="宋体"/>
                <w:color w:val="000000"/>
                <w:sz w:val="24"/>
                <w:szCs w:val="24"/>
                <w:highlight w:val="none"/>
                <w:lang w:val="en-US" w:eastAsia="zh-CN"/>
              </w:rPr>
              <w:t>）</w:t>
            </w:r>
            <w:r>
              <w:rPr>
                <w:rFonts w:hint="eastAsia" w:ascii="宋体" w:hAnsi="宋体"/>
                <w:sz w:val="24"/>
                <w:szCs w:val="24"/>
                <w:highlight w:val="none"/>
                <w:lang w:val="en-US" w:eastAsia="zh-CN"/>
              </w:rPr>
              <w:t>：</w:t>
            </w:r>
          </w:p>
          <w:p>
            <w:pPr>
              <w:pStyle w:val="2"/>
              <w:ind w:firstLine="480" w:firstLineChars="200"/>
              <w:rPr>
                <w:rFonts w:hint="default" w:ascii="宋体" w:hAnsi="宋体"/>
                <w:sz w:val="24"/>
                <w:szCs w:val="24"/>
                <w:highlight w:val="none"/>
                <w:lang w:val="en-US"/>
              </w:rPr>
            </w:pPr>
            <w:r>
              <w:rPr>
                <w:rFonts w:hint="eastAsia" w:ascii="宋体" w:hAnsi="宋体"/>
                <w:sz w:val="24"/>
                <w:szCs w:val="24"/>
                <w:highlight w:val="none"/>
              </w:rPr>
              <w:t>第二章技术要求的第一节第</w:t>
            </w:r>
            <w:r>
              <w:rPr>
                <w:rFonts w:hint="eastAsia" w:ascii="宋体" w:hAnsi="宋体"/>
                <w:sz w:val="24"/>
                <w:szCs w:val="24"/>
                <w:highlight w:val="none"/>
                <w:lang w:val="en-US" w:eastAsia="zh-CN"/>
              </w:rPr>
              <w:t>四</w:t>
            </w:r>
            <w:r>
              <w:rPr>
                <w:rFonts w:hint="eastAsia" w:ascii="宋体" w:hAnsi="宋体"/>
                <w:sz w:val="24"/>
                <w:szCs w:val="24"/>
                <w:highlight w:val="none"/>
              </w:rPr>
              <w:t>条</w:t>
            </w:r>
            <w:r>
              <w:rPr>
                <w:rFonts w:hint="eastAsia" w:ascii="宋体" w:hAnsi="宋体"/>
                <w:sz w:val="24"/>
                <w:szCs w:val="24"/>
                <w:highlight w:val="none"/>
                <w:lang w:eastAsia="zh-CN"/>
              </w:rPr>
              <w:t>“</w:t>
            </w:r>
            <w:r>
              <w:rPr>
                <w:rFonts w:hint="eastAsia" w:ascii="宋体" w:hAnsi="宋体"/>
                <w:sz w:val="24"/>
                <w:szCs w:val="24"/>
                <w:highlight w:val="none"/>
                <w:lang w:val="en-US" w:eastAsia="zh-CN"/>
              </w:rPr>
              <w:t>服务要求”条款，</w:t>
            </w:r>
            <w:r>
              <w:rPr>
                <w:rFonts w:hint="eastAsia" w:hAnsi="宋体"/>
                <w:color w:val="000000"/>
                <w:sz w:val="24"/>
                <w:szCs w:val="24"/>
                <w:highlight w:val="none"/>
                <w:lang w:val="en-US" w:eastAsia="zh-CN"/>
              </w:rPr>
              <w:t>0</w:t>
            </w:r>
            <w:r>
              <w:rPr>
                <w:rFonts w:hint="eastAsia" w:ascii="仿宋" w:hAnsi="仿宋" w:cs="仿宋"/>
                <w:b/>
                <w:bCs/>
                <w:highlight w:val="none"/>
                <w:lang w:eastAsia="zh-CN"/>
              </w:rPr>
              <w:t>～</w:t>
            </w:r>
            <w:r>
              <w:rPr>
                <w:rFonts w:hint="eastAsia" w:hAnsi="宋体"/>
                <w:color w:val="000000"/>
                <w:sz w:val="24"/>
                <w:szCs w:val="24"/>
                <w:highlight w:val="none"/>
                <w:lang w:val="en-US" w:eastAsia="zh-CN"/>
              </w:rPr>
              <w:t>5</w:t>
            </w:r>
            <w:r>
              <w:rPr>
                <w:rFonts w:hint="eastAsia" w:ascii="宋体" w:hAnsi="宋体"/>
                <w:color w:val="00000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03" w:type="dxa"/>
            <w:vMerge w:val="continue"/>
            <w:vAlign w:val="center"/>
          </w:tcPr>
          <w:p>
            <w:pPr>
              <w:tabs>
                <w:tab w:val="left" w:pos="7854"/>
              </w:tabs>
              <w:spacing w:line="300" w:lineRule="exact"/>
              <w:jc w:val="center"/>
              <w:rPr>
                <w:rFonts w:ascii="宋体" w:hAnsi="宋体"/>
                <w:b/>
                <w:color w:val="000000"/>
                <w:sz w:val="24"/>
                <w:szCs w:val="24"/>
                <w:highlight w:val="none"/>
              </w:rPr>
            </w:pPr>
          </w:p>
        </w:tc>
        <w:tc>
          <w:tcPr>
            <w:tcW w:w="7843" w:type="dxa"/>
            <w:vAlign w:val="center"/>
          </w:tcPr>
          <w:p>
            <w:pPr>
              <w:tabs>
                <w:tab w:val="left" w:pos="7854"/>
              </w:tabs>
              <w:spacing w:line="30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c）场地至招标方距离（</w:t>
            </w:r>
            <w:r>
              <w:rPr>
                <w:rFonts w:hint="eastAsia" w:ascii="宋体" w:hAnsi="宋体"/>
                <w:b/>
                <w:bCs/>
                <w:sz w:val="24"/>
                <w:szCs w:val="24"/>
                <w:highlight w:val="none"/>
                <w:lang w:val="en-US" w:eastAsia="zh-CN"/>
              </w:rPr>
              <w:t>5分</w:t>
            </w:r>
            <w:r>
              <w:rPr>
                <w:rFonts w:hint="eastAsia" w:ascii="宋体" w:hAnsi="宋体"/>
                <w:sz w:val="24"/>
                <w:szCs w:val="24"/>
                <w:highlight w:val="none"/>
                <w:lang w:val="en-US" w:eastAsia="zh-CN"/>
              </w:rPr>
              <w:t>）：</w:t>
            </w:r>
          </w:p>
          <w:p>
            <w:pPr>
              <w:pStyle w:val="2"/>
              <w:ind w:firstLine="480" w:firstLineChars="200"/>
              <w:rPr>
                <w:rFonts w:hint="default" w:ascii="宋体" w:hAnsi="宋体" w:eastAsia="宋体"/>
                <w:color w:val="FF0000"/>
                <w:sz w:val="24"/>
                <w:szCs w:val="24"/>
                <w:highlight w:val="none"/>
                <w:lang w:val="en-US" w:eastAsia="zh-CN"/>
              </w:rPr>
            </w:pPr>
            <w:r>
              <w:rPr>
                <w:rFonts w:hint="eastAsia" w:ascii="宋体" w:hAnsi="宋体"/>
                <w:sz w:val="24"/>
                <w:szCs w:val="24"/>
                <w:highlight w:val="none"/>
              </w:rPr>
              <w:t>参照百度地图或高德地图，投标方试验场地</w:t>
            </w:r>
            <w:r>
              <w:rPr>
                <w:rFonts w:hint="eastAsia" w:hAnsi="宋体"/>
                <w:sz w:val="24"/>
                <w:szCs w:val="24"/>
                <w:highlight w:val="none"/>
                <w:lang w:val="en-US" w:eastAsia="zh-CN"/>
              </w:rPr>
              <w:t>所在地</w:t>
            </w:r>
            <w:r>
              <w:rPr>
                <w:rFonts w:hint="eastAsia" w:ascii="宋体" w:hAnsi="宋体"/>
                <w:sz w:val="24"/>
                <w:szCs w:val="24"/>
                <w:highlight w:val="none"/>
              </w:rPr>
              <w:t>与中国重汽科技大厦</w:t>
            </w:r>
            <w:r>
              <w:rPr>
                <w:rFonts w:hint="eastAsia" w:hAnsi="宋体"/>
                <w:sz w:val="24"/>
                <w:szCs w:val="24"/>
                <w:highlight w:val="none"/>
                <w:lang w:val="en-US" w:eastAsia="zh-CN"/>
              </w:rPr>
              <w:t>间汽车行驶</w:t>
            </w:r>
            <w:r>
              <w:rPr>
                <w:rFonts w:hint="eastAsia" w:ascii="宋体" w:hAnsi="宋体"/>
                <w:sz w:val="24"/>
                <w:szCs w:val="24"/>
                <w:highlight w:val="none"/>
              </w:rPr>
              <w:t>距离</w:t>
            </w:r>
            <w:r>
              <w:rPr>
                <w:rFonts w:hint="eastAsia" w:hAnsi="宋体"/>
                <w:sz w:val="24"/>
                <w:szCs w:val="24"/>
                <w:highlight w:val="none"/>
                <w:lang w:val="en-US" w:eastAsia="zh-CN"/>
              </w:rPr>
              <w:t>远近排名，距离最近得5分，其次3分，再次2分，其他0分。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203" w:type="dxa"/>
            <w:vMerge w:val="continue"/>
            <w:vAlign w:val="center"/>
          </w:tcPr>
          <w:p>
            <w:pPr>
              <w:tabs>
                <w:tab w:val="left" w:pos="7854"/>
              </w:tabs>
              <w:spacing w:line="300" w:lineRule="exact"/>
              <w:jc w:val="center"/>
              <w:rPr>
                <w:rFonts w:ascii="宋体" w:hAnsi="宋体"/>
                <w:b/>
                <w:color w:val="000000"/>
                <w:sz w:val="24"/>
                <w:szCs w:val="24"/>
                <w:highlight w:val="none"/>
              </w:rPr>
            </w:pPr>
          </w:p>
        </w:tc>
        <w:tc>
          <w:tcPr>
            <w:tcW w:w="7843" w:type="dxa"/>
            <w:vAlign w:val="center"/>
          </w:tcPr>
          <w:p>
            <w:pPr>
              <w:tabs>
                <w:tab w:val="left" w:pos="7854"/>
              </w:tabs>
              <w:spacing w:line="300" w:lineRule="exact"/>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d）技术答疑</w:t>
            </w:r>
            <w:r>
              <w:rPr>
                <w:rFonts w:hint="eastAsia" w:ascii="宋体" w:hAnsi="宋体"/>
                <w:color w:val="000000"/>
                <w:sz w:val="24"/>
                <w:szCs w:val="24"/>
                <w:highlight w:val="none"/>
                <w:lang w:eastAsia="zh-CN"/>
              </w:rPr>
              <w:t>（</w:t>
            </w:r>
            <w:r>
              <w:rPr>
                <w:rFonts w:hint="eastAsia" w:ascii="宋体" w:hAnsi="宋体"/>
                <w:b/>
                <w:bCs/>
                <w:color w:val="000000"/>
                <w:sz w:val="24"/>
                <w:szCs w:val="24"/>
                <w:highlight w:val="none"/>
                <w:lang w:val="en-US" w:eastAsia="zh-CN"/>
              </w:rPr>
              <w:t>4分</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w:t>
            </w:r>
          </w:p>
          <w:p>
            <w:pPr>
              <w:pStyle w:val="2"/>
              <w:ind w:firstLine="480" w:firstLineChars="200"/>
              <w:rPr>
                <w:rFonts w:hint="eastAsia" w:ascii="宋体" w:hAnsi="宋体" w:eastAsia="宋体" w:cs="Times New Roman"/>
                <w:color w:val="000000"/>
                <w:kern w:val="2"/>
                <w:sz w:val="24"/>
                <w:szCs w:val="24"/>
                <w:highlight w:val="none"/>
                <w:lang w:val="en-US" w:eastAsia="zh-CN" w:bidi="ar-SA"/>
              </w:rPr>
            </w:pPr>
            <w:r>
              <w:rPr>
                <w:rFonts w:hint="eastAsia" w:ascii="宋体" w:hAnsi="宋体"/>
                <w:color w:val="000000"/>
                <w:sz w:val="24"/>
                <w:szCs w:val="24"/>
                <w:highlight w:val="none"/>
              </w:rPr>
              <w:t>投标人代表</w:t>
            </w:r>
            <w:r>
              <w:rPr>
                <w:rFonts w:hint="eastAsia" w:ascii="宋体" w:hAnsi="宋体"/>
                <w:sz w:val="24"/>
                <w:szCs w:val="24"/>
                <w:highlight w:val="none"/>
                <w:lang w:val="en-US" w:eastAsia="zh-CN"/>
              </w:rPr>
              <w:t>阐述</w:t>
            </w:r>
            <w:r>
              <w:rPr>
                <w:rFonts w:hint="eastAsia" w:ascii="宋体" w:hAnsi="宋体"/>
                <w:color w:val="000000"/>
                <w:sz w:val="24"/>
                <w:szCs w:val="24"/>
                <w:highlight w:val="none"/>
                <w:lang w:val="en-US" w:eastAsia="zh-CN"/>
              </w:rPr>
              <w:t>场地</w:t>
            </w:r>
            <w:r>
              <w:rPr>
                <w:rFonts w:hint="eastAsia" w:ascii="宋体" w:hAnsi="宋体"/>
                <w:color w:val="000000"/>
                <w:sz w:val="24"/>
                <w:szCs w:val="24"/>
                <w:highlight w:val="none"/>
              </w:rPr>
              <w:t>技术优势，回答评标专家现场提问</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赋1</w:t>
            </w:r>
            <w:r>
              <w:rPr>
                <w:rFonts w:hint="eastAsia" w:ascii="仿宋" w:hAnsi="仿宋" w:cs="仿宋"/>
                <w:b/>
                <w:bCs/>
                <w:highlight w:val="none"/>
                <w:lang w:eastAsia="zh-CN"/>
              </w:rPr>
              <w:t>～</w:t>
            </w:r>
            <w:r>
              <w:rPr>
                <w:rFonts w:hint="eastAsia" w:hAnsi="宋体"/>
                <w:color w:val="000000"/>
                <w:sz w:val="24"/>
                <w:szCs w:val="24"/>
                <w:highlight w:val="none"/>
                <w:lang w:val="en-US" w:eastAsia="zh-CN"/>
              </w:rPr>
              <w:t>4</w:t>
            </w:r>
            <w:r>
              <w:rPr>
                <w:rFonts w:hint="eastAsia" w:ascii="宋体" w:hAnsi="宋体"/>
                <w:color w:val="000000"/>
                <w:sz w:val="24"/>
                <w:szCs w:val="24"/>
                <w:highlight w:val="none"/>
                <w:lang w:val="en-US" w:eastAsia="zh-CN"/>
              </w:rPr>
              <w:t>分</w:t>
            </w:r>
            <w:r>
              <w:rPr>
                <w:rFonts w:hint="eastAsia" w:ascii="宋体" w:hAnsi="宋体"/>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203" w:type="dxa"/>
            <w:vMerge w:val="continue"/>
            <w:vAlign w:val="center"/>
          </w:tcPr>
          <w:p>
            <w:pPr>
              <w:tabs>
                <w:tab w:val="left" w:pos="7854"/>
              </w:tabs>
              <w:spacing w:line="300" w:lineRule="exact"/>
              <w:jc w:val="center"/>
              <w:rPr>
                <w:rFonts w:ascii="宋体" w:hAnsi="宋体"/>
                <w:b/>
                <w:color w:val="000000"/>
                <w:sz w:val="24"/>
                <w:szCs w:val="24"/>
                <w:highlight w:val="none"/>
              </w:rPr>
            </w:pPr>
          </w:p>
        </w:tc>
        <w:tc>
          <w:tcPr>
            <w:tcW w:w="7843" w:type="dxa"/>
            <w:vAlign w:val="center"/>
          </w:tcPr>
          <w:p>
            <w:pPr>
              <w:tabs>
                <w:tab w:val="left" w:pos="7854"/>
              </w:tabs>
              <w:spacing w:line="300" w:lineRule="exact"/>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e）场地配套服务</w:t>
            </w:r>
            <w:r>
              <w:rPr>
                <w:rFonts w:hint="eastAsia" w:ascii="宋体" w:hAnsi="宋体"/>
                <w:color w:val="000000"/>
                <w:sz w:val="24"/>
                <w:szCs w:val="24"/>
                <w:highlight w:val="none"/>
                <w:lang w:eastAsia="zh-CN"/>
              </w:rPr>
              <w:t>（</w:t>
            </w:r>
            <w:r>
              <w:rPr>
                <w:rFonts w:hint="eastAsia" w:ascii="宋体" w:hAnsi="宋体"/>
                <w:b/>
                <w:bCs/>
                <w:color w:val="000000"/>
                <w:sz w:val="24"/>
                <w:szCs w:val="24"/>
                <w:highlight w:val="none"/>
                <w:lang w:val="en-US" w:eastAsia="zh-CN"/>
              </w:rPr>
              <w:t>4分</w:t>
            </w:r>
            <w:r>
              <w:rPr>
                <w:rFonts w:hint="eastAsia" w:ascii="宋体" w:hAnsi="宋体"/>
                <w:color w:val="000000"/>
                <w:sz w:val="24"/>
                <w:szCs w:val="24"/>
                <w:highlight w:val="none"/>
                <w:lang w:val="en-US" w:eastAsia="zh-CN"/>
              </w:rPr>
              <w:t>）：</w:t>
            </w:r>
          </w:p>
          <w:p>
            <w:pPr>
              <w:pStyle w:val="2"/>
              <w:ind w:firstLine="480" w:firstLineChars="200"/>
              <w:rPr>
                <w:rFonts w:hint="default" w:ascii="宋体" w:hAnsi="宋体" w:eastAsia="宋体" w:cs="Times New Roman"/>
                <w:color w:val="000000"/>
                <w:kern w:val="2"/>
                <w:sz w:val="24"/>
                <w:szCs w:val="24"/>
                <w:highlight w:val="none"/>
                <w:lang w:val="en-US" w:eastAsia="zh-CN" w:bidi="ar-SA"/>
              </w:rPr>
            </w:pPr>
            <w:r>
              <w:rPr>
                <w:rFonts w:hint="eastAsia" w:hAnsi="宋体"/>
                <w:color w:val="000000"/>
                <w:sz w:val="24"/>
                <w:szCs w:val="24"/>
                <w:highlight w:val="none"/>
                <w:lang w:val="en-US" w:eastAsia="zh-CN"/>
              </w:rPr>
              <w:t>综合考虑</w:t>
            </w:r>
            <w:r>
              <w:rPr>
                <w:rFonts w:hint="eastAsia" w:ascii="宋体" w:hAnsi="宋体"/>
                <w:color w:val="000000"/>
                <w:sz w:val="24"/>
                <w:szCs w:val="24"/>
                <w:highlight w:val="none"/>
              </w:rPr>
              <w:t>场地</w:t>
            </w:r>
            <w:r>
              <w:rPr>
                <w:rFonts w:hint="eastAsia" w:hAnsi="宋体"/>
                <w:color w:val="000000"/>
                <w:sz w:val="24"/>
                <w:szCs w:val="24"/>
                <w:highlight w:val="none"/>
                <w:lang w:val="en-US" w:eastAsia="zh-CN"/>
              </w:rPr>
              <w:t>内</w:t>
            </w:r>
            <w:r>
              <w:rPr>
                <w:rFonts w:hint="eastAsia" w:ascii="宋体" w:hAnsi="宋体"/>
                <w:color w:val="000000"/>
                <w:sz w:val="24"/>
                <w:szCs w:val="24"/>
                <w:highlight w:val="none"/>
                <w:lang w:val="en-US" w:eastAsia="zh-CN"/>
              </w:rPr>
              <w:t>维修、仓库租赁、加油充电以及</w:t>
            </w:r>
            <w:r>
              <w:rPr>
                <w:rFonts w:hint="eastAsia" w:ascii="宋体" w:hAnsi="宋体"/>
                <w:color w:val="000000"/>
                <w:sz w:val="24"/>
                <w:szCs w:val="24"/>
                <w:highlight w:val="none"/>
              </w:rPr>
              <w:t>试验人员住宿和生活设施</w:t>
            </w:r>
            <w:r>
              <w:rPr>
                <w:rFonts w:hint="eastAsia" w:ascii="宋体" w:hAnsi="宋体"/>
                <w:color w:val="000000"/>
                <w:sz w:val="24"/>
                <w:szCs w:val="24"/>
                <w:highlight w:val="none"/>
                <w:lang w:val="en-US" w:eastAsia="zh-CN"/>
              </w:rPr>
              <w:t>完备情况</w:t>
            </w:r>
            <w:r>
              <w:rPr>
                <w:rFonts w:hint="eastAsia" w:ascii="宋体" w:hAnsi="宋体"/>
                <w:sz w:val="24"/>
                <w:szCs w:val="24"/>
                <w:highlight w:val="none"/>
                <w:lang w:val="en-US" w:eastAsia="zh-CN"/>
              </w:rPr>
              <w:t>，</w:t>
            </w:r>
            <w:r>
              <w:rPr>
                <w:rFonts w:hint="eastAsia" w:hAnsi="宋体"/>
                <w:color w:val="000000"/>
                <w:sz w:val="24"/>
                <w:szCs w:val="24"/>
                <w:highlight w:val="none"/>
                <w:lang w:val="en-US" w:eastAsia="zh-CN"/>
              </w:rPr>
              <w:t>0</w:t>
            </w:r>
            <w:r>
              <w:rPr>
                <w:rFonts w:hint="eastAsia" w:ascii="仿宋" w:hAnsi="仿宋" w:cs="仿宋"/>
                <w:b/>
                <w:bCs/>
                <w:highlight w:val="none"/>
                <w:lang w:eastAsia="zh-CN"/>
              </w:rPr>
              <w:t>～</w:t>
            </w:r>
            <w:r>
              <w:rPr>
                <w:rFonts w:hint="eastAsia" w:hAnsi="宋体"/>
                <w:color w:val="000000"/>
                <w:sz w:val="24"/>
                <w:szCs w:val="24"/>
                <w:highlight w:val="none"/>
                <w:lang w:val="en-US" w:eastAsia="zh-CN"/>
              </w:rPr>
              <w:t>4</w:t>
            </w:r>
            <w:r>
              <w:rPr>
                <w:rFonts w:hint="eastAsia" w:ascii="宋体" w:hAnsi="宋体"/>
                <w:color w:val="000000"/>
                <w:sz w:val="24"/>
                <w:szCs w:val="24"/>
                <w:highlight w:val="none"/>
                <w:lang w:val="en-US" w:eastAsia="zh-CN"/>
              </w:rPr>
              <w:t>分</w:t>
            </w:r>
            <w:r>
              <w:rPr>
                <w:rFonts w:hint="eastAsia" w:ascii="宋体" w:hAnsi="宋体"/>
                <w:color w:val="000000"/>
                <w:sz w:val="24"/>
                <w:szCs w:val="24"/>
                <w:highlight w:val="none"/>
              </w:rPr>
              <w:t>。</w:t>
            </w:r>
          </w:p>
        </w:tc>
      </w:tr>
    </w:tbl>
    <w:p>
      <w:pPr>
        <w:spacing w:line="360" w:lineRule="auto"/>
        <w:ind w:firstLine="480" w:firstLineChars="200"/>
        <w:rPr>
          <w:rFonts w:ascii="仿宋" w:hAnsi="仿宋" w:eastAsia="仿宋" w:cs="仿宋"/>
          <w:color w:val="000000"/>
          <w:sz w:val="24"/>
          <w:szCs w:val="24"/>
          <w:highlight w:val="none"/>
        </w:rPr>
      </w:pPr>
      <w:r>
        <w:rPr>
          <w:rFonts w:ascii="仿宋" w:hAnsi="仿宋" w:eastAsia="仿宋" w:cs="仿宋"/>
          <w:color w:val="000000"/>
          <w:sz w:val="24"/>
          <w:szCs w:val="24"/>
          <w:highlight w:val="none"/>
        </w:rPr>
        <w:br w:type="page"/>
      </w:r>
    </w:p>
    <w:p>
      <w:pPr>
        <w:pStyle w:val="2"/>
        <w:spacing w:line="360" w:lineRule="auto"/>
        <w:ind w:firstLine="480" w:firstLineChars="200"/>
        <w:rPr>
          <w:rFonts w:ascii="仿宋" w:hAnsi="仿宋" w:eastAsia="仿宋" w:cs="仿宋"/>
          <w:color w:val="000000"/>
          <w:sz w:val="24"/>
          <w:szCs w:val="24"/>
          <w:highlight w:val="none"/>
        </w:rPr>
      </w:pPr>
      <w:r>
        <w:rPr>
          <w:rFonts w:hint="eastAsia" w:ascii="仿宋" w:hAnsi="仿宋" w:eastAsia="仿宋" w:cs="仿宋"/>
          <w:b w:val="0"/>
          <w:bCs w:val="0"/>
          <w:color w:val="000000"/>
          <w:sz w:val="24"/>
          <w:szCs w:val="24"/>
          <w:highlight w:val="none"/>
        </w:rPr>
        <w:t>(1</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rPr>
        <w:t>评标依据：采用综合评分法</w:t>
      </w:r>
      <w:r>
        <w:rPr>
          <w:rFonts w:hint="eastAsia" w:ascii="仿宋" w:hAnsi="仿宋" w:eastAsia="仿宋" w:cs="仿宋"/>
          <w:color w:val="000000"/>
          <w:sz w:val="24"/>
          <w:szCs w:val="24"/>
          <w:highlight w:val="none"/>
          <w:lang w:val="en-US" w:eastAsia="zh-CN"/>
        </w:rPr>
        <w:t>---</w:t>
      </w:r>
      <w:r>
        <w:rPr>
          <w:rFonts w:hint="eastAsia" w:hAnsi="宋体" w:cs="宋体"/>
          <w:b/>
          <w:bCs/>
          <w:sz w:val="21"/>
          <w:szCs w:val="20"/>
          <w:highlight w:val="none"/>
          <w:lang w:val="en-US" w:eastAsia="zh-CN"/>
        </w:rPr>
        <w:t>重卡</w:t>
      </w:r>
      <w:r>
        <w:rPr>
          <w:rFonts w:hint="eastAsia" w:ascii="宋体" w:hAnsi="宋体" w:cs="宋体"/>
          <w:b/>
          <w:bCs/>
          <w:highlight w:val="none"/>
          <w:lang w:val="en-US" w:eastAsia="zh-CN"/>
        </w:rPr>
        <w:t>可靠性场地子项目</w:t>
      </w:r>
      <w:r>
        <w:rPr>
          <w:rFonts w:hint="eastAsia" w:hAnsi="宋体" w:cs="宋体"/>
          <w:b/>
          <w:bCs/>
          <w:highlight w:val="none"/>
          <w:lang w:val="en-US" w:eastAsia="zh-CN"/>
        </w:rPr>
        <w:t>适用</w:t>
      </w:r>
    </w:p>
    <w:tbl>
      <w:tblPr>
        <w:tblStyle w:val="32"/>
        <w:tblW w:w="90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7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03" w:type="dxa"/>
            <w:vAlign w:val="center"/>
          </w:tcPr>
          <w:p>
            <w:pPr>
              <w:tabs>
                <w:tab w:val="left" w:pos="7854"/>
              </w:tabs>
              <w:spacing w:line="300" w:lineRule="exact"/>
              <w:jc w:val="center"/>
              <w:rPr>
                <w:rFonts w:ascii="宋体" w:hAnsi="宋体"/>
                <w:b/>
                <w:color w:val="000000"/>
                <w:sz w:val="24"/>
                <w:szCs w:val="24"/>
                <w:highlight w:val="none"/>
              </w:rPr>
            </w:pPr>
            <w:r>
              <w:rPr>
                <w:rFonts w:hint="eastAsia" w:ascii="宋体" w:hAnsi="宋体"/>
                <w:b/>
                <w:color w:val="000000"/>
                <w:sz w:val="24"/>
                <w:szCs w:val="24"/>
                <w:highlight w:val="none"/>
              </w:rPr>
              <w:t>评审项目</w:t>
            </w:r>
          </w:p>
        </w:tc>
        <w:tc>
          <w:tcPr>
            <w:tcW w:w="7843" w:type="dxa"/>
            <w:vAlign w:val="center"/>
          </w:tcPr>
          <w:p>
            <w:pPr>
              <w:tabs>
                <w:tab w:val="left" w:pos="7854"/>
              </w:tabs>
              <w:spacing w:line="300" w:lineRule="exact"/>
              <w:jc w:val="center"/>
              <w:rPr>
                <w:rFonts w:ascii="宋体" w:hAnsi="宋体"/>
                <w:b/>
                <w:color w:val="000000"/>
                <w:sz w:val="24"/>
                <w:szCs w:val="24"/>
                <w:highlight w:val="none"/>
              </w:rPr>
            </w:pPr>
            <w:r>
              <w:rPr>
                <w:rFonts w:hint="eastAsia" w:ascii="宋体" w:hAnsi="宋体"/>
                <w:b/>
                <w:color w:val="000000"/>
                <w:sz w:val="24"/>
                <w:szCs w:val="24"/>
                <w:highlight w:val="none"/>
              </w:rPr>
              <w:t>评定内容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1203" w:type="dxa"/>
            <w:vMerge w:val="restart"/>
            <w:vAlign w:val="center"/>
          </w:tcPr>
          <w:p>
            <w:pPr>
              <w:tabs>
                <w:tab w:val="left" w:pos="7854"/>
              </w:tabs>
              <w:spacing w:line="300" w:lineRule="exact"/>
              <w:jc w:val="center"/>
              <w:rPr>
                <w:rFonts w:hint="eastAsia" w:ascii="宋体" w:hAnsi="宋体" w:eastAsia="宋体"/>
                <w:b/>
                <w:color w:val="000000"/>
                <w:sz w:val="24"/>
                <w:szCs w:val="24"/>
                <w:highlight w:val="none"/>
                <w:lang w:val="en-US" w:eastAsia="zh-CN"/>
              </w:rPr>
            </w:pPr>
            <w:r>
              <w:rPr>
                <w:rFonts w:hint="eastAsia" w:ascii="宋体" w:hAnsi="宋体"/>
                <w:b/>
                <w:bCs w:val="0"/>
                <w:color w:val="000000"/>
                <w:sz w:val="24"/>
                <w:szCs w:val="24"/>
                <w:highlight w:val="none"/>
                <w:lang w:val="en-US" w:eastAsia="zh-CN"/>
              </w:rPr>
              <w:t>商务部分（7</w:t>
            </w:r>
            <w:r>
              <w:rPr>
                <w:rFonts w:hint="eastAsia" w:ascii="宋体" w:hAnsi="宋体"/>
                <w:b/>
                <w:bCs w:val="0"/>
                <w:color w:val="000000"/>
                <w:sz w:val="24"/>
                <w:szCs w:val="24"/>
                <w:highlight w:val="none"/>
              </w:rPr>
              <w:t>0</w:t>
            </w:r>
            <w:r>
              <w:rPr>
                <w:rFonts w:hint="eastAsia" w:ascii="宋体" w:hAnsi="宋体"/>
                <w:b/>
                <w:bCs w:val="0"/>
                <w:color w:val="000000"/>
                <w:sz w:val="24"/>
                <w:szCs w:val="24"/>
                <w:highlight w:val="none"/>
                <w:lang w:val="en-US" w:eastAsia="zh-CN"/>
              </w:rPr>
              <w:t>分</w:t>
            </w:r>
            <w:r>
              <w:rPr>
                <w:rFonts w:hint="eastAsia" w:ascii="宋体" w:hAnsi="宋体"/>
                <w:b/>
                <w:bCs w:val="0"/>
                <w:color w:val="000000"/>
                <w:sz w:val="24"/>
                <w:szCs w:val="24"/>
                <w:highlight w:val="none"/>
                <w:lang w:eastAsia="zh-CN"/>
              </w:rPr>
              <w:t>）</w:t>
            </w:r>
          </w:p>
        </w:tc>
        <w:tc>
          <w:tcPr>
            <w:tcW w:w="7843" w:type="dxa"/>
            <w:vAlign w:val="center"/>
          </w:tcPr>
          <w:p>
            <w:pPr>
              <w:numPr>
                <w:ilvl w:val="0"/>
                <w:numId w:val="0"/>
              </w:numPr>
              <w:tabs>
                <w:tab w:val="left" w:pos="7854"/>
              </w:tabs>
              <w:spacing w:line="300" w:lineRule="exact"/>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a）</w:t>
            </w:r>
            <w:r>
              <w:rPr>
                <w:rFonts w:hint="eastAsia" w:ascii="宋体" w:hAnsi="宋体" w:cs="宋体"/>
                <w:color w:val="000000"/>
                <w:sz w:val="24"/>
                <w:szCs w:val="24"/>
                <w:highlight w:val="none"/>
              </w:rPr>
              <w:t>场地</w:t>
            </w:r>
            <w:r>
              <w:rPr>
                <w:rFonts w:hint="eastAsia" w:ascii="宋体" w:hAnsi="宋体" w:cs="宋体"/>
                <w:color w:val="000000"/>
                <w:sz w:val="24"/>
                <w:szCs w:val="24"/>
                <w:highlight w:val="none"/>
                <w:lang w:val="en-US" w:eastAsia="zh-CN"/>
              </w:rPr>
              <w:t>租用</w:t>
            </w:r>
            <w:r>
              <w:rPr>
                <w:rFonts w:hint="eastAsia" w:ascii="宋体" w:hAnsi="宋体" w:cs="宋体"/>
                <w:color w:val="000000"/>
                <w:sz w:val="24"/>
                <w:szCs w:val="24"/>
                <w:highlight w:val="none"/>
              </w:rPr>
              <w:t>服务</w:t>
            </w:r>
            <w:r>
              <w:rPr>
                <w:rFonts w:hint="eastAsia" w:ascii="宋体" w:hAnsi="宋体" w:cs="宋体"/>
                <w:color w:val="000000"/>
                <w:sz w:val="24"/>
                <w:szCs w:val="24"/>
                <w:highlight w:val="none"/>
                <w:lang w:eastAsia="zh-CN"/>
              </w:rPr>
              <w:t>（</w:t>
            </w:r>
            <w:r>
              <w:rPr>
                <w:rFonts w:hint="eastAsia" w:ascii="宋体" w:hAnsi="宋体" w:cs="宋体"/>
                <w:b/>
                <w:bCs/>
                <w:color w:val="000000"/>
                <w:sz w:val="24"/>
                <w:szCs w:val="24"/>
                <w:highlight w:val="none"/>
                <w:lang w:val="en-US" w:eastAsia="zh-CN"/>
              </w:rPr>
              <w:t>60分</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w:t>
            </w:r>
          </w:p>
          <w:p>
            <w:pPr>
              <w:tabs>
                <w:tab w:val="left" w:pos="7854"/>
              </w:tabs>
              <w:spacing w:line="3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满足招标文件要求</w:t>
            </w:r>
            <w:r>
              <w:rPr>
                <w:rFonts w:hint="eastAsia" w:ascii="宋体" w:hAnsi="宋体" w:cs="宋体"/>
                <w:color w:val="000000"/>
                <w:sz w:val="24"/>
                <w:szCs w:val="24"/>
                <w:highlight w:val="none"/>
                <w:lang w:eastAsia="zh-CN"/>
              </w:rPr>
              <w:t>，</w:t>
            </w:r>
            <w:r>
              <w:rPr>
                <w:rFonts w:hint="eastAsia" w:ascii="宋体" w:hAnsi="宋体" w:cs="宋体"/>
                <w:sz w:val="24"/>
                <w:szCs w:val="24"/>
                <w:highlight w:val="none"/>
              </w:rPr>
              <w:t>有效报价=</w:t>
            </w:r>
            <w:r>
              <w:rPr>
                <w:rFonts w:hint="eastAsia" w:ascii="宋体" w:hAnsi="宋体" w:eastAsia="宋体" w:cs="宋体"/>
                <w:b w:val="0"/>
                <w:bCs w:val="0"/>
                <w:i w:val="0"/>
                <w:iCs w:val="0"/>
                <w:kern w:val="2"/>
                <w:sz w:val="24"/>
                <w:szCs w:val="24"/>
                <w:highlight w:val="none"/>
                <w:u w:val="none"/>
                <w:lang w:val="en-US" w:eastAsia="zh-CN" w:bidi="ar"/>
              </w:rPr>
              <w:t>31t</w:t>
            </w:r>
            <w:r>
              <w:rPr>
                <w:rFonts w:hint="eastAsia" w:ascii="宋体" w:hAnsi="宋体" w:eastAsia="宋体" w:cs="宋体"/>
                <w:color w:val="auto"/>
                <w:sz w:val="24"/>
                <w:szCs w:val="24"/>
                <w:highlight w:val="none"/>
              </w:rPr>
              <w:t>车型可靠性路每公里报价</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rPr>
              <w:t>+49</w:t>
            </w:r>
            <w:r>
              <w:rPr>
                <w:rFonts w:hint="eastAsia" w:ascii="宋体" w:hAnsi="宋体" w:cs="宋体"/>
                <w:color w:val="auto"/>
                <w:sz w:val="24"/>
                <w:szCs w:val="24"/>
                <w:highlight w:val="none"/>
                <w:lang w:val="en-US" w:eastAsia="zh-CN"/>
              </w:rPr>
              <w:t>t汽车</w:t>
            </w:r>
            <w:r>
              <w:rPr>
                <w:rFonts w:hint="eastAsia" w:ascii="宋体" w:hAnsi="宋体" w:eastAsia="宋体" w:cs="宋体"/>
                <w:color w:val="auto"/>
                <w:sz w:val="24"/>
                <w:szCs w:val="24"/>
                <w:highlight w:val="none"/>
                <w:lang w:val="en-US" w:eastAsia="zh-CN"/>
              </w:rPr>
              <w:t>列车</w:t>
            </w:r>
            <w:r>
              <w:rPr>
                <w:rFonts w:hint="eastAsia" w:ascii="宋体" w:hAnsi="宋体" w:eastAsia="宋体" w:cs="宋体"/>
                <w:color w:val="auto"/>
                <w:sz w:val="24"/>
                <w:szCs w:val="24"/>
                <w:highlight w:val="none"/>
              </w:rPr>
              <w:t>可靠性路每公里报价×</w:t>
            </w: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sz w:val="24"/>
                <w:szCs w:val="24"/>
                <w:highlight w:val="none"/>
              </w:rPr>
              <w:t>，</w:t>
            </w:r>
            <w:r>
              <w:rPr>
                <w:rFonts w:hint="eastAsia" w:ascii="宋体" w:hAnsi="宋体" w:cs="宋体"/>
                <w:color w:val="auto"/>
                <w:sz w:val="24"/>
                <w:szCs w:val="24"/>
                <w:highlight w:val="none"/>
                <w:lang w:val="en-US" w:eastAsia="zh-CN"/>
              </w:rPr>
              <w:t>投标方有效报价</w:t>
            </w:r>
            <w:r>
              <w:rPr>
                <w:rFonts w:hint="eastAsia" w:ascii="宋体" w:hAnsi="宋体" w:cs="宋体"/>
                <w:color w:val="auto"/>
                <w:sz w:val="24"/>
                <w:szCs w:val="24"/>
                <w:highlight w:val="none"/>
              </w:rPr>
              <w:t>最低</w:t>
            </w:r>
            <w:r>
              <w:rPr>
                <w:rFonts w:hint="eastAsia" w:ascii="宋体" w:hAnsi="宋体" w:cs="宋体"/>
                <w:color w:val="auto"/>
                <w:sz w:val="24"/>
                <w:szCs w:val="24"/>
                <w:highlight w:val="none"/>
                <w:lang w:val="en-US" w:eastAsia="zh-CN"/>
              </w:rPr>
              <w:t>的</w:t>
            </w:r>
            <w:r>
              <w:rPr>
                <w:rFonts w:hint="eastAsia" w:ascii="宋体" w:hAnsi="宋体" w:cs="宋体"/>
                <w:color w:val="auto"/>
                <w:sz w:val="24"/>
                <w:szCs w:val="24"/>
                <w:highlight w:val="none"/>
              </w:rPr>
              <w:t>为评标基准价，其</w:t>
            </w:r>
            <w:r>
              <w:rPr>
                <w:rFonts w:hint="eastAsia" w:ascii="宋体" w:hAnsi="宋体" w:cs="宋体"/>
                <w:color w:val="auto"/>
                <w:sz w:val="24"/>
                <w:szCs w:val="24"/>
                <w:highlight w:val="none"/>
                <w:lang w:val="en-US" w:eastAsia="zh-CN"/>
              </w:rPr>
              <w:t>得</w:t>
            </w:r>
            <w:r>
              <w:rPr>
                <w:rFonts w:hint="eastAsia" w:ascii="宋体" w:hAnsi="宋体" w:cs="宋体"/>
                <w:color w:val="auto"/>
                <w:sz w:val="24"/>
                <w:szCs w:val="24"/>
                <w:highlight w:val="none"/>
              </w:rPr>
              <w:t>分为满分（</w:t>
            </w:r>
            <w:r>
              <w:rPr>
                <w:rFonts w:hint="eastAsia" w:ascii="宋体" w:hAnsi="宋体" w:cs="宋体"/>
                <w:sz w:val="24"/>
                <w:szCs w:val="24"/>
                <w:highlight w:val="none"/>
                <w:lang w:val="en-US" w:eastAsia="zh-CN"/>
              </w:rPr>
              <w:t>6</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分）。其他</w:t>
            </w:r>
            <w:r>
              <w:rPr>
                <w:rFonts w:hint="eastAsia" w:ascii="宋体" w:hAnsi="宋体" w:cs="宋体"/>
                <w:color w:val="auto"/>
                <w:sz w:val="24"/>
                <w:szCs w:val="24"/>
                <w:highlight w:val="none"/>
                <w:lang w:val="en-US" w:eastAsia="zh-CN"/>
              </w:rPr>
              <w:t>投标方</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得分</w:t>
            </w:r>
            <w:r>
              <w:rPr>
                <w:rFonts w:hint="eastAsia" w:ascii="宋体" w:hAnsi="宋体" w:cs="宋体"/>
                <w:color w:val="auto"/>
                <w:sz w:val="24"/>
                <w:szCs w:val="24"/>
                <w:highlight w:val="none"/>
              </w:rPr>
              <w:t>统一按照下</w:t>
            </w:r>
            <w:r>
              <w:rPr>
                <w:rFonts w:hint="eastAsia" w:ascii="宋体" w:hAnsi="宋体" w:cs="宋体"/>
                <w:color w:val="000000"/>
                <w:sz w:val="24"/>
                <w:szCs w:val="24"/>
                <w:highlight w:val="none"/>
              </w:rPr>
              <w:t>列公式计算：</w:t>
            </w:r>
            <w:r>
              <w:rPr>
                <w:rFonts w:hint="eastAsia" w:ascii="宋体" w:hAnsi="宋体" w:cs="宋体"/>
                <w:color w:val="000000"/>
                <w:sz w:val="24"/>
                <w:szCs w:val="24"/>
                <w:highlight w:val="none"/>
                <w:lang w:val="en-US" w:eastAsia="zh-CN"/>
              </w:rPr>
              <w:t>报价</w:t>
            </w:r>
            <w:r>
              <w:rPr>
                <w:rFonts w:hint="eastAsia" w:ascii="宋体" w:hAnsi="宋体" w:cs="宋体"/>
                <w:color w:val="000000"/>
                <w:sz w:val="24"/>
                <w:szCs w:val="24"/>
                <w:highlight w:val="none"/>
              </w:rPr>
              <w:t>得分＝（评标基准价/</w:t>
            </w:r>
            <w:r>
              <w:rPr>
                <w:rFonts w:hint="eastAsia" w:ascii="宋体" w:hAnsi="宋体" w:cs="宋体"/>
                <w:color w:val="000000"/>
                <w:sz w:val="24"/>
                <w:szCs w:val="24"/>
                <w:highlight w:val="none"/>
                <w:lang w:val="en-US" w:eastAsia="zh-CN"/>
              </w:rPr>
              <w:t>有效</w:t>
            </w:r>
            <w:r>
              <w:rPr>
                <w:rFonts w:hint="eastAsia" w:ascii="宋体" w:hAnsi="宋体" w:cs="宋体"/>
                <w:color w:val="000000"/>
                <w:sz w:val="24"/>
                <w:szCs w:val="24"/>
                <w:highlight w:val="none"/>
              </w:rPr>
              <w:t>报价）×价格权重（</w:t>
            </w:r>
            <w:r>
              <w:rPr>
                <w:rFonts w:hint="eastAsia" w:ascii="宋体" w:hAnsi="宋体" w:cs="宋体"/>
                <w:color w:val="000000"/>
                <w:sz w:val="24"/>
                <w:szCs w:val="24"/>
                <w:highlight w:val="none"/>
                <w:lang w:val="en-US" w:eastAsia="zh-CN"/>
              </w:rPr>
              <w:t>60</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atLeast"/>
          <w:jc w:val="center"/>
        </w:trPr>
        <w:tc>
          <w:tcPr>
            <w:tcW w:w="1203" w:type="dxa"/>
            <w:vMerge w:val="continue"/>
            <w:vAlign w:val="center"/>
          </w:tcPr>
          <w:p>
            <w:pPr>
              <w:tabs>
                <w:tab w:val="left" w:pos="7854"/>
              </w:tabs>
              <w:spacing w:line="300" w:lineRule="exact"/>
              <w:jc w:val="center"/>
              <w:rPr>
                <w:rFonts w:hint="eastAsia" w:ascii="宋体" w:hAnsi="宋体"/>
                <w:b/>
                <w:color w:val="000000"/>
                <w:sz w:val="24"/>
                <w:szCs w:val="24"/>
                <w:highlight w:val="none"/>
                <w:lang w:val="en-US" w:eastAsia="zh-CN"/>
              </w:rPr>
            </w:pPr>
          </w:p>
        </w:tc>
        <w:tc>
          <w:tcPr>
            <w:tcW w:w="7843" w:type="dxa"/>
            <w:vAlign w:val="center"/>
          </w:tcPr>
          <w:p>
            <w:pPr>
              <w:pStyle w:val="2"/>
              <w:rPr>
                <w:rFonts w:hint="eastAsia" w:hAnsi="宋体" w:eastAsia="宋体"/>
                <w:color w:val="000000"/>
                <w:sz w:val="24"/>
                <w:szCs w:val="24"/>
                <w:highlight w:val="none"/>
                <w:lang w:eastAsia="zh-CN"/>
              </w:rPr>
            </w:pPr>
            <w:r>
              <w:rPr>
                <w:rFonts w:hint="eastAsia"/>
                <w:sz w:val="24"/>
                <w:szCs w:val="22"/>
                <w:highlight w:val="none"/>
              </w:rPr>
              <w:t>b</w:t>
            </w:r>
            <w:r>
              <w:rPr>
                <w:rFonts w:hint="eastAsia" w:ascii="宋体" w:hAnsi="宋体"/>
                <w:color w:val="000000"/>
                <w:sz w:val="24"/>
                <w:szCs w:val="24"/>
                <w:highlight w:val="none"/>
                <w:lang w:val="en-US" w:eastAsia="zh-CN"/>
              </w:rPr>
              <w:t>）</w:t>
            </w:r>
            <w:r>
              <w:rPr>
                <w:rFonts w:hint="eastAsia" w:hAnsi="宋体"/>
                <w:color w:val="000000"/>
                <w:sz w:val="24"/>
                <w:szCs w:val="24"/>
                <w:highlight w:val="none"/>
              </w:rPr>
              <w:t>维修服务</w:t>
            </w:r>
            <w:r>
              <w:rPr>
                <w:rFonts w:hint="eastAsia" w:hAnsi="宋体"/>
                <w:color w:val="000000"/>
                <w:sz w:val="24"/>
                <w:szCs w:val="24"/>
                <w:highlight w:val="none"/>
                <w:lang w:eastAsia="zh-CN"/>
              </w:rPr>
              <w:t>（</w:t>
            </w:r>
            <w:r>
              <w:rPr>
                <w:rFonts w:hint="eastAsia" w:hAnsi="宋体"/>
                <w:b/>
                <w:bCs/>
                <w:color w:val="000000"/>
                <w:sz w:val="24"/>
                <w:szCs w:val="24"/>
                <w:highlight w:val="none"/>
                <w:lang w:val="en-US" w:eastAsia="zh-CN"/>
              </w:rPr>
              <w:t>6分</w:t>
            </w:r>
            <w:r>
              <w:rPr>
                <w:rFonts w:hint="eastAsia" w:hAnsi="宋体"/>
                <w:color w:val="000000"/>
                <w:sz w:val="24"/>
                <w:szCs w:val="24"/>
                <w:highlight w:val="none"/>
                <w:lang w:eastAsia="zh-CN"/>
              </w:rPr>
              <w:t>）：</w:t>
            </w:r>
          </w:p>
          <w:p>
            <w:pPr>
              <w:pStyle w:val="2"/>
              <w:ind w:firstLine="480" w:firstLineChars="200"/>
              <w:rPr>
                <w:rFonts w:hint="default" w:hAnsi="宋体" w:eastAsia="宋体"/>
                <w:color w:val="000000"/>
                <w:sz w:val="24"/>
                <w:szCs w:val="24"/>
                <w:highlight w:val="none"/>
                <w:lang w:val="en-US" w:eastAsia="zh-CN"/>
              </w:rPr>
            </w:pPr>
            <w:r>
              <w:rPr>
                <w:rFonts w:hint="eastAsia" w:hAnsi="宋体"/>
                <w:color w:val="000000"/>
                <w:sz w:val="24"/>
                <w:szCs w:val="24"/>
                <w:highlight w:val="none"/>
              </w:rPr>
              <w:t>满足招标文件要求且报价最低的为评标基准价，其价格分为满分（6分）。其他</w:t>
            </w:r>
            <w:r>
              <w:rPr>
                <w:rFonts w:hint="eastAsia" w:hAnsi="宋体"/>
                <w:color w:val="000000"/>
                <w:sz w:val="24"/>
                <w:szCs w:val="24"/>
                <w:highlight w:val="none"/>
                <w:lang w:val="en-US" w:eastAsia="zh-CN"/>
              </w:rPr>
              <w:t>投标方</w:t>
            </w:r>
            <w:r>
              <w:rPr>
                <w:rFonts w:hint="eastAsia" w:hAnsi="宋体"/>
                <w:color w:val="000000"/>
                <w:sz w:val="24"/>
                <w:szCs w:val="24"/>
                <w:highlight w:val="none"/>
              </w:rPr>
              <w:t>的价格统一按照下列公式计算：报价得分＝（评标基准价/</w:t>
            </w:r>
            <w:r>
              <w:rPr>
                <w:rFonts w:hint="eastAsia" w:hAnsi="宋体"/>
                <w:color w:val="000000"/>
                <w:sz w:val="24"/>
                <w:szCs w:val="24"/>
                <w:highlight w:val="none"/>
                <w:lang w:val="en-US" w:eastAsia="zh-CN"/>
              </w:rPr>
              <w:t>投</w:t>
            </w:r>
            <w:r>
              <w:rPr>
                <w:rFonts w:hint="eastAsia" w:hAnsi="宋体"/>
                <w:color w:val="000000"/>
                <w:sz w:val="24"/>
                <w:szCs w:val="24"/>
                <w:highlight w:val="none"/>
              </w:rPr>
              <w:t>标报价）×价格权重（6）</w:t>
            </w:r>
            <w:r>
              <w:rPr>
                <w:rFonts w:hint="eastAsia" w:hAnsi="宋体"/>
                <w:color w:val="000000"/>
                <w:sz w:val="24"/>
                <w:szCs w:val="24"/>
                <w:highlight w:val="none"/>
                <w:lang w:eastAsia="zh-CN"/>
              </w:rPr>
              <w:t>；</w:t>
            </w:r>
            <w:r>
              <w:rPr>
                <w:rFonts w:hint="eastAsia" w:hAnsi="宋体"/>
                <w:color w:val="000000"/>
                <w:sz w:val="24"/>
                <w:szCs w:val="24"/>
                <w:highlight w:val="none"/>
                <w:lang w:val="en-US" w:eastAsia="zh-CN"/>
              </w:rPr>
              <w:t>不提供维修服务的赋0分。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1203" w:type="dxa"/>
            <w:vMerge w:val="continue"/>
            <w:vAlign w:val="center"/>
          </w:tcPr>
          <w:p>
            <w:pPr>
              <w:tabs>
                <w:tab w:val="left" w:pos="7854"/>
              </w:tabs>
              <w:spacing w:line="300" w:lineRule="exact"/>
              <w:jc w:val="center"/>
              <w:rPr>
                <w:rFonts w:hint="eastAsia" w:ascii="宋体" w:hAnsi="宋体"/>
                <w:b/>
                <w:color w:val="000000"/>
                <w:sz w:val="24"/>
                <w:szCs w:val="24"/>
                <w:highlight w:val="none"/>
                <w:lang w:val="en-US" w:eastAsia="zh-CN"/>
              </w:rPr>
            </w:pPr>
          </w:p>
        </w:tc>
        <w:tc>
          <w:tcPr>
            <w:tcW w:w="7843" w:type="dxa"/>
            <w:vAlign w:val="center"/>
          </w:tcPr>
          <w:p>
            <w:pPr>
              <w:pStyle w:val="2"/>
              <w:rPr>
                <w:rFonts w:hint="eastAsia" w:hAnsi="宋体" w:eastAsia="宋体"/>
                <w:color w:val="000000"/>
                <w:sz w:val="24"/>
                <w:szCs w:val="24"/>
                <w:highlight w:val="none"/>
                <w:lang w:eastAsia="zh-CN"/>
              </w:rPr>
            </w:pPr>
            <w:r>
              <w:rPr>
                <w:rFonts w:hint="eastAsia" w:hAnsi="宋体"/>
                <w:color w:val="000000"/>
                <w:sz w:val="24"/>
                <w:szCs w:val="24"/>
                <w:highlight w:val="none"/>
              </w:rPr>
              <w:t>c</w:t>
            </w:r>
            <w:r>
              <w:rPr>
                <w:rFonts w:hint="eastAsia" w:ascii="宋体" w:hAnsi="宋体"/>
                <w:color w:val="000000"/>
                <w:sz w:val="24"/>
                <w:szCs w:val="24"/>
                <w:highlight w:val="none"/>
                <w:lang w:val="en-US" w:eastAsia="zh-CN"/>
              </w:rPr>
              <w:t>）</w:t>
            </w:r>
            <w:r>
              <w:rPr>
                <w:rFonts w:hint="eastAsia" w:hAnsi="宋体"/>
                <w:color w:val="000000"/>
                <w:sz w:val="24"/>
                <w:szCs w:val="24"/>
                <w:highlight w:val="none"/>
              </w:rPr>
              <w:t>办公室仓库租赁服务</w:t>
            </w:r>
            <w:r>
              <w:rPr>
                <w:rFonts w:hint="eastAsia" w:hAnsi="宋体"/>
                <w:color w:val="000000"/>
                <w:sz w:val="24"/>
                <w:szCs w:val="24"/>
                <w:highlight w:val="none"/>
                <w:lang w:eastAsia="zh-CN"/>
              </w:rPr>
              <w:t>（</w:t>
            </w:r>
            <w:r>
              <w:rPr>
                <w:rFonts w:hint="eastAsia" w:hAnsi="宋体"/>
                <w:b/>
                <w:bCs/>
                <w:color w:val="000000"/>
                <w:sz w:val="24"/>
                <w:szCs w:val="24"/>
                <w:highlight w:val="none"/>
                <w:lang w:val="en-US" w:eastAsia="zh-CN"/>
              </w:rPr>
              <w:t>2分</w:t>
            </w:r>
            <w:r>
              <w:rPr>
                <w:rFonts w:hint="eastAsia" w:hAnsi="宋体"/>
                <w:color w:val="000000"/>
                <w:sz w:val="24"/>
                <w:szCs w:val="24"/>
                <w:highlight w:val="none"/>
                <w:lang w:eastAsia="zh-CN"/>
              </w:rPr>
              <w:t>）：</w:t>
            </w:r>
          </w:p>
          <w:p>
            <w:pPr>
              <w:pStyle w:val="2"/>
              <w:ind w:firstLine="480" w:firstLineChars="200"/>
              <w:rPr>
                <w:rFonts w:hint="eastAsia" w:hAnsi="宋体"/>
                <w:color w:val="000000"/>
                <w:sz w:val="24"/>
                <w:szCs w:val="24"/>
                <w:highlight w:val="none"/>
              </w:rPr>
            </w:pPr>
            <w:r>
              <w:rPr>
                <w:rFonts w:hint="eastAsia" w:hAnsi="宋体"/>
                <w:color w:val="000000"/>
                <w:sz w:val="24"/>
                <w:szCs w:val="24"/>
                <w:highlight w:val="none"/>
              </w:rPr>
              <w:t>满足招标文件要求且最终报价最低的为评标基准价，其价格分为满分（</w:t>
            </w:r>
            <w:r>
              <w:rPr>
                <w:rFonts w:hint="eastAsia" w:hAnsi="宋体"/>
                <w:color w:val="000000"/>
                <w:sz w:val="24"/>
                <w:szCs w:val="24"/>
                <w:highlight w:val="none"/>
                <w:lang w:val="en-US" w:eastAsia="zh-CN"/>
              </w:rPr>
              <w:t>2</w:t>
            </w:r>
            <w:r>
              <w:rPr>
                <w:rFonts w:hint="eastAsia" w:hAnsi="宋体"/>
                <w:color w:val="000000"/>
                <w:sz w:val="24"/>
                <w:szCs w:val="24"/>
                <w:highlight w:val="none"/>
              </w:rPr>
              <w:t>分）。其他</w:t>
            </w:r>
            <w:r>
              <w:rPr>
                <w:rFonts w:hint="eastAsia" w:hAnsi="宋体"/>
                <w:color w:val="000000"/>
                <w:sz w:val="24"/>
                <w:szCs w:val="24"/>
                <w:highlight w:val="none"/>
                <w:lang w:val="en-US" w:eastAsia="zh-CN"/>
              </w:rPr>
              <w:t>投标方</w:t>
            </w:r>
            <w:r>
              <w:rPr>
                <w:rFonts w:hint="eastAsia" w:hAnsi="宋体"/>
                <w:color w:val="000000"/>
                <w:sz w:val="24"/>
                <w:szCs w:val="24"/>
                <w:highlight w:val="none"/>
              </w:rPr>
              <w:t>的价格统一按照下列公式计算：报价得分＝（评标基准价/</w:t>
            </w:r>
            <w:r>
              <w:rPr>
                <w:rFonts w:hint="eastAsia" w:hAnsi="宋体"/>
                <w:color w:val="000000"/>
                <w:sz w:val="24"/>
                <w:szCs w:val="24"/>
                <w:highlight w:val="none"/>
                <w:lang w:val="en-US" w:eastAsia="zh-CN"/>
              </w:rPr>
              <w:t>投</w:t>
            </w:r>
            <w:r>
              <w:rPr>
                <w:rFonts w:hint="eastAsia" w:hAnsi="宋体"/>
                <w:color w:val="000000"/>
                <w:sz w:val="24"/>
                <w:szCs w:val="24"/>
                <w:highlight w:val="none"/>
              </w:rPr>
              <w:t>标报价）×价格权重（</w:t>
            </w:r>
            <w:r>
              <w:rPr>
                <w:rFonts w:hint="eastAsia" w:hAnsi="宋体"/>
                <w:color w:val="000000"/>
                <w:sz w:val="24"/>
                <w:szCs w:val="24"/>
                <w:highlight w:val="none"/>
                <w:lang w:val="en-US" w:eastAsia="zh-CN"/>
              </w:rPr>
              <w:t>2</w:t>
            </w:r>
            <w:r>
              <w:rPr>
                <w:rFonts w:hint="eastAsia" w:hAnsi="宋体"/>
                <w:color w:val="000000"/>
                <w:sz w:val="24"/>
                <w:szCs w:val="24"/>
                <w:highlight w:val="none"/>
              </w:rPr>
              <w:t>）</w:t>
            </w:r>
            <w:r>
              <w:rPr>
                <w:rFonts w:hint="eastAsia" w:hAnsi="宋体"/>
                <w:color w:val="000000"/>
                <w:sz w:val="24"/>
                <w:szCs w:val="24"/>
                <w:highlight w:val="none"/>
                <w:lang w:eastAsia="zh-CN"/>
              </w:rPr>
              <w:t>；</w:t>
            </w:r>
            <w:r>
              <w:rPr>
                <w:rFonts w:hint="eastAsia" w:hAnsi="宋体"/>
                <w:color w:val="000000"/>
                <w:sz w:val="24"/>
                <w:szCs w:val="24"/>
                <w:highlight w:val="none"/>
                <w:lang w:val="en-US" w:eastAsia="zh-CN"/>
              </w:rPr>
              <w:t>不提供服务的赋0分。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2" w:hRule="atLeast"/>
          <w:jc w:val="center"/>
        </w:trPr>
        <w:tc>
          <w:tcPr>
            <w:tcW w:w="1203" w:type="dxa"/>
            <w:vMerge w:val="continue"/>
            <w:vAlign w:val="center"/>
          </w:tcPr>
          <w:p>
            <w:pPr>
              <w:tabs>
                <w:tab w:val="left" w:pos="7854"/>
              </w:tabs>
              <w:spacing w:line="300" w:lineRule="exact"/>
              <w:jc w:val="center"/>
              <w:rPr>
                <w:rFonts w:hint="eastAsia" w:ascii="宋体" w:hAnsi="宋体"/>
                <w:b/>
                <w:color w:val="000000"/>
                <w:sz w:val="24"/>
                <w:szCs w:val="24"/>
                <w:highlight w:val="none"/>
                <w:lang w:val="en-US" w:eastAsia="zh-CN"/>
              </w:rPr>
            </w:pPr>
          </w:p>
        </w:tc>
        <w:tc>
          <w:tcPr>
            <w:tcW w:w="7843" w:type="dxa"/>
            <w:vAlign w:val="center"/>
          </w:tcPr>
          <w:p>
            <w:pPr>
              <w:pStyle w:val="2"/>
              <w:rPr>
                <w:rFonts w:hint="eastAsia" w:hAnsi="宋体" w:eastAsia="宋体"/>
                <w:color w:val="000000"/>
                <w:sz w:val="24"/>
                <w:szCs w:val="24"/>
                <w:highlight w:val="none"/>
                <w:lang w:eastAsia="zh-CN"/>
              </w:rPr>
            </w:pPr>
            <w:r>
              <w:rPr>
                <w:rFonts w:hint="eastAsia" w:hAnsi="宋体"/>
                <w:color w:val="000000"/>
                <w:sz w:val="24"/>
                <w:szCs w:val="24"/>
                <w:highlight w:val="none"/>
              </w:rPr>
              <w:t>d</w:t>
            </w:r>
            <w:r>
              <w:rPr>
                <w:rFonts w:hint="eastAsia" w:ascii="宋体" w:hAnsi="宋体"/>
                <w:color w:val="000000"/>
                <w:sz w:val="24"/>
                <w:szCs w:val="24"/>
                <w:highlight w:val="none"/>
                <w:lang w:val="en-US" w:eastAsia="zh-CN"/>
              </w:rPr>
              <w:t>）</w:t>
            </w:r>
            <w:r>
              <w:rPr>
                <w:rFonts w:hint="eastAsia" w:hAnsi="宋体"/>
                <w:color w:val="000000"/>
                <w:sz w:val="24"/>
                <w:szCs w:val="24"/>
                <w:highlight w:val="none"/>
                <w:lang w:val="en-US" w:eastAsia="zh-CN"/>
              </w:rPr>
              <w:t>燃料供给</w:t>
            </w:r>
            <w:r>
              <w:rPr>
                <w:rFonts w:hint="eastAsia" w:hAnsi="宋体"/>
                <w:color w:val="000000"/>
                <w:sz w:val="24"/>
                <w:szCs w:val="24"/>
                <w:highlight w:val="none"/>
              </w:rPr>
              <w:t>服务</w:t>
            </w:r>
            <w:r>
              <w:rPr>
                <w:rFonts w:hint="eastAsia" w:hAnsi="宋体"/>
                <w:color w:val="000000"/>
                <w:sz w:val="24"/>
                <w:szCs w:val="24"/>
                <w:highlight w:val="none"/>
                <w:lang w:eastAsia="zh-CN"/>
              </w:rPr>
              <w:t>（</w:t>
            </w:r>
            <w:r>
              <w:rPr>
                <w:rFonts w:hint="eastAsia" w:hAnsi="宋体"/>
                <w:b/>
                <w:bCs/>
                <w:color w:val="000000"/>
                <w:sz w:val="24"/>
                <w:szCs w:val="24"/>
                <w:highlight w:val="none"/>
                <w:lang w:val="en-US" w:eastAsia="zh-CN"/>
              </w:rPr>
              <w:t>2分</w:t>
            </w:r>
            <w:r>
              <w:rPr>
                <w:rFonts w:hint="eastAsia" w:hAnsi="宋体"/>
                <w:color w:val="000000"/>
                <w:sz w:val="24"/>
                <w:szCs w:val="24"/>
                <w:highlight w:val="none"/>
                <w:lang w:eastAsia="zh-CN"/>
              </w:rPr>
              <w:t>）：</w:t>
            </w:r>
          </w:p>
          <w:p>
            <w:pPr>
              <w:pStyle w:val="2"/>
              <w:ind w:firstLine="480" w:firstLineChars="200"/>
              <w:rPr>
                <w:rFonts w:hint="eastAsia" w:hAnsi="宋体"/>
                <w:color w:val="000000"/>
                <w:sz w:val="24"/>
                <w:szCs w:val="24"/>
                <w:highlight w:val="none"/>
              </w:rPr>
            </w:pPr>
            <w:r>
              <w:rPr>
                <w:rFonts w:hint="eastAsia" w:hAnsi="宋体"/>
                <w:color w:val="000000"/>
                <w:sz w:val="24"/>
                <w:szCs w:val="24"/>
                <w:highlight w:val="none"/>
              </w:rPr>
              <w:t>提供加油服务，按照投标人所报的每升柴油单价相比当地中国石化加油站价格折扣大小进行赋分，折扣最大者得</w:t>
            </w:r>
            <w:r>
              <w:rPr>
                <w:rFonts w:hint="eastAsia" w:hAnsi="宋体"/>
                <w:color w:val="000000"/>
                <w:sz w:val="24"/>
                <w:szCs w:val="24"/>
                <w:highlight w:val="none"/>
                <w:lang w:val="en-US" w:eastAsia="zh-CN"/>
              </w:rPr>
              <w:t>2</w:t>
            </w:r>
            <w:r>
              <w:rPr>
                <w:rFonts w:hint="eastAsia" w:hAnsi="宋体"/>
                <w:color w:val="000000"/>
                <w:sz w:val="24"/>
                <w:szCs w:val="24"/>
                <w:highlight w:val="none"/>
              </w:rPr>
              <w:t>分，无折扣者得</w:t>
            </w:r>
            <w:r>
              <w:rPr>
                <w:rFonts w:hint="eastAsia" w:hAnsi="宋体"/>
                <w:color w:val="000000"/>
                <w:sz w:val="24"/>
                <w:szCs w:val="24"/>
                <w:highlight w:val="none"/>
                <w:lang w:val="en-US" w:eastAsia="zh-CN"/>
              </w:rPr>
              <w:t>0.5</w:t>
            </w:r>
            <w:r>
              <w:rPr>
                <w:rFonts w:hint="eastAsia" w:hAnsi="宋体"/>
                <w:color w:val="000000"/>
                <w:sz w:val="24"/>
                <w:szCs w:val="24"/>
                <w:highlight w:val="none"/>
              </w:rPr>
              <w:t>分，折扣介于中间者通过线性差值赋分；价格上浮或不提供加油服务者不得分。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03" w:type="dxa"/>
            <w:vMerge w:val="restart"/>
            <w:vAlign w:val="center"/>
          </w:tcPr>
          <w:p>
            <w:pPr>
              <w:tabs>
                <w:tab w:val="left" w:pos="7854"/>
              </w:tabs>
              <w:spacing w:line="300" w:lineRule="exact"/>
              <w:jc w:val="center"/>
              <w:rPr>
                <w:rFonts w:hint="eastAsia" w:ascii="宋体" w:hAnsi="宋体" w:eastAsia="宋体"/>
                <w:b/>
                <w:color w:val="000000"/>
                <w:sz w:val="24"/>
                <w:szCs w:val="24"/>
                <w:highlight w:val="none"/>
                <w:lang w:eastAsia="zh-CN"/>
              </w:rPr>
            </w:pPr>
            <w:r>
              <w:rPr>
                <w:rFonts w:hint="eastAsia" w:ascii="宋体" w:hAnsi="宋体"/>
                <w:b/>
                <w:color w:val="000000"/>
                <w:sz w:val="24"/>
                <w:szCs w:val="24"/>
                <w:highlight w:val="none"/>
              </w:rPr>
              <w:t>技术部分</w:t>
            </w:r>
            <w:r>
              <w:rPr>
                <w:rFonts w:hint="eastAsia" w:ascii="宋体" w:hAnsi="宋体"/>
                <w:b/>
                <w:color w:val="000000"/>
                <w:sz w:val="24"/>
                <w:szCs w:val="24"/>
                <w:highlight w:val="none"/>
                <w:lang w:eastAsia="zh-CN"/>
              </w:rPr>
              <w:t>（</w:t>
            </w:r>
            <w:r>
              <w:rPr>
                <w:rFonts w:hint="eastAsia" w:ascii="宋体" w:hAnsi="宋体"/>
                <w:b/>
                <w:color w:val="000000"/>
                <w:sz w:val="24"/>
                <w:szCs w:val="24"/>
                <w:highlight w:val="none"/>
                <w:lang w:val="en-US" w:eastAsia="zh-CN"/>
              </w:rPr>
              <w:t>30分</w:t>
            </w:r>
            <w:r>
              <w:rPr>
                <w:rFonts w:hint="eastAsia" w:ascii="宋体" w:hAnsi="宋体"/>
                <w:b/>
                <w:color w:val="000000"/>
                <w:sz w:val="24"/>
                <w:szCs w:val="24"/>
                <w:highlight w:val="none"/>
                <w:lang w:eastAsia="zh-CN"/>
              </w:rPr>
              <w:t>）</w:t>
            </w:r>
          </w:p>
        </w:tc>
        <w:tc>
          <w:tcPr>
            <w:tcW w:w="7843" w:type="dxa"/>
            <w:vAlign w:val="center"/>
          </w:tcPr>
          <w:p>
            <w:pPr>
              <w:numPr>
                <w:ilvl w:val="0"/>
                <w:numId w:val="0"/>
              </w:numPr>
              <w:tabs>
                <w:tab w:val="left" w:pos="7854"/>
              </w:tabs>
              <w:spacing w:line="300" w:lineRule="exact"/>
              <w:rPr>
                <w:rFonts w:hint="eastAsia" w:ascii="宋体" w:hAnsi="宋体"/>
                <w:sz w:val="24"/>
                <w:szCs w:val="24"/>
                <w:highlight w:val="none"/>
                <w:lang w:val="en-US" w:eastAsia="zh-CN"/>
              </w:rPr>
            </w:pPr>
            <w:r>
              <w:rPr>
                <w:rFonts w:hint="eastAsia" w:ascii="宋体" w:hAnsi="宋体"/>
                <w:sz w:val="24"/>
                <w:szCs w:val="24"/>
                <w:highlight w:val="none"/>
                <w:lang w:val="en-US" w:eastAsia="zh-CN"/>
              </w:rPr>
              <w:t>a）场地技术要求（</w:t>
            </w:r>
            <w:r>
              <w:rPr>
                <w:rFonts w:hint="eastAsia" w:ascii="宋体" w:hAnsi="宋体"/>
                <w:b/>
                <w:bCs/>
                <w:sz w:val="24"/>
                <w:szCs w:val="24"/>
                <w:highlight w:val="none"/>
                <w:lang w:val="en-US" w:eastAsia="zh-CN"/>
              </w:rPr>
              <w:t>12分</w:t>
            </w:r>
            <w:r>
              <w:rPr>
                <w:rFonts w:hint="eastAsia" w:ascii="宋体" w:hAnsi="宋体"/>
                <w:sz w:val="24"/>
                <w:szCs w:val="24"/>
                <w:highlight w:val="none"/>
                <w:lang w:val="en-US" w:eastAsia="zh-CN"/>
              </w:rPr>
              <w:t>）：</w:t>
            </w:r>
          </w:p>
          <w:p>
            <w:pPr>
              <w:pStyle w:val="2"/>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第二章技术要求的第一节第三条</w:t>
            </w:r>
            <w:r>
              <w:rPr>
                <w:rFonts w:hint="eastAsia" w:ascii="宋体" w:hAnsi="宋体"/>
                <w:sz w:val="24"/>
                <w:szCs w:val="24"/>
                <w:highlight w:val="none"/>
                <w:lang w:eastAsia="zh-CN"/>
              </w:rPr>
              <w:t>“</w:t>
            </w:r>
            <w:r>
              <w:rPr>
                <w:rFonts w:hint="eastAsia" w:ascii="宋体" w:hAnsi="宋体"/>
                <w:sz w:val="24"/>
                <w:szCs w:val="24"/>
                <w:highlight w:val="none"/>
              </w:rPr>
              <w:t>可靠性</w:t>
            </w:r>
            <w:r>
              <w:rPr>
                <w:rFonts w:hint="eastAsia" w:ascii="宋体" w:hAnsi="宋体"/>
                <w:sz w:val="24"/>
                <w:szCs w:val="24"/>
                <w:highlight w:val="none"/>
                <w:lang w:val="en-US" w:eastAsia="zh-CN"/>
              </w:rPr>
              <w:t>场地技术</w:t>
            </w:r>
            <w:r>
              <w:rPr>
                <w:rFonts w:hint="eastAsia" w:ascii="宋体" w:hAnsi="宋体"/>
                <w:sz w:val="24"/>
                <w:szCs w:val="24"/>
                <w:highlight w:val="none"/>
              </w:rPr>
              <w:t>要求</w:t>
            </w:r>
            <w:r>
              <w:rPr>
                <w:rFonts w:hint="eastAsia" w:ascii="宋体" w:hAnsi="宋体"/>
                <w:sz w:val="24"/>
                <w:szCs w:val="24"/>
                <w:highlight w:val="none"/>
                <w:lang w:eastAsia="zh-CN"/>
              </w:rPr>
              <w:t>”</w:t>
            </w:r>
            <w:r>
              <w:rPr>
                <w:rFonts w:hint="eastAsia" w:ascii="宋体" w:hAnsi="宋体"/>
                <w:sz w:val="24"/>
                <w:szCs w:val="24"/>
                <w:highlight w:val="none"/>
                <w:lang w:val="en-US" w:eastAsia="zh-CN"/>
              </w:rPr>
              <w:t>3.1</w:t>
            </w:r>
            <w:r>
              <w:rPr>
                <w:rFonts w:hint="eastAsia" w:ascii="仿宋" w:hAnsi="仿宋" w:cs="仿宋"/>
                <w:b/>
                <w:bCs/>
                <w:highlight w:val="none"/>
                <w:lang w:eastAsia="zh-CN"/>
              </w:rPr>
              <w:t>～</w:t>
            </w:r>
            <w:r>
              <w:rPr>
                <w:rFonts w:hint="eastAsia" w:ascii="宋体" w:hAnsi="宋体"/>
                <w:sz w:val="24"/>
                <w:szCs w:val="24"/>
                <w:highlight w:val="none"/>
                <w:lang w:val="en-US" w:eastAsia="zh-CN"/>
              </w:rPr>
              <w:t>3.</w:t>
            </w:r>
            <w:r>
              <w:rPr>
                <w:rFonts w:hint="eastAsia" w:hAnsi="宋体"/>
                <w:sz w:val="24"/>
                <w:szCs w:val="24"/>
                <w:highlight w:val="none"/>
                <w:lang w:val="en-US" w:eastAsia="zh-CN"/>
              </w:rPr>
              <w:t>4</w:t>
            </w:r>
            <w:r>
              <w:rPr>
                <w:rFonts w:hint="eastAsia" w:ascii="宋体" w:hAnsi="宋体"/>
                <w:sz w:val="24"/>
                <w:szCs w:val="24"/>
                <w:highlight w:val="none"/>
                <w:lang w:val="en-US" w:eastAsia="zh-CN"/>
              </w:rPr>
              <w:t>条款</w:t>
            </w:r>
            <w:r>
              <w:rPr>
                <w:rFonts w:hint="eastAsia" w:ascii="宋体" w:hAnsi="宋体"/>
                <w:sz w:val="24"/>
                <w:szCs w:val="24"/>
                <w:highlight w:val="none"/>
              </w:rPr>
              <w:t>，</w:t>
            </w:r>
            <w:r>
              <w:rPr>
                <w:rFonts w:hint="eastAsia" w:ascii="宋体" w:hAnsi="宋体"/>
                <w:sz w:val="24"/>
                <w:szCs w:val="24"/>
                <w:highlight w:val="none"/>
                <w:lang w:val="en-US" w:eastAsia="zh-CN"/>
              </w:rPr>
              <w:t>每条</w:t>
            </w:r>
            <w:r>
              <w:rPr>
                <w:rFonts w:hint="eastAsia" w:hAnsi="宋体"/>
                <w:sz w:val="24"/>
                <w:szCs w:val="24"/>
                <w:highlight w:val="none"/>
                <w:lang w:val="en-US" w:eastAsia="zh-CN"/>
              </w:rPr>
              <w:t>3</w:t>
            </w:r>
            <w:r>
              <w:rPr>
                <w:rFonts w:hint="eastAsia" w:ascii="宋体" w:hAnsi="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03" w:type="dxa"/>
            <w:vMerge w:val="continue"/>
            <w:vAlign w:val="center"/>
          </w:tcPr>
          <w:p>
            <w:pPr>
              <w:tabs>
                <w:tab w:val="left" w:pos="7854"/>
              </w:tabs>
              <w:spacing w:line="300" w:lineRule="exact"/>
              <w:jc w:val="center"/>
              <w:rPr>
                <w:rFonts w:hint="eastAsia" w:ascii="宋体" w:hAnsi="宋体"/>
                <w:b/>
                <w:color w:val="000000"/>
                <w:sz w:val="24"/>
                <w:szCs w:val="24"/>
                <w:highlight w:val="none"/>
              </w:rPr>
            </w:pPr>
          </w:p>
        </w:tc>
        <w:tc>
          <w:tcPr>
            <w:tcW w:w="7843" w:type="dxa"/>
            <w:vAlign w:val="center"/>
          </w:tcPr>
          <w:p>
            <w:pPr>
              <w:tabs>
                <w:tab w:val="left" w:pos="7854"/>
              </w:tabs>
              <w:spacing w:line="30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b）场地服务要求</w:t>
            </w:r>
            <w:r>
              <w:rPr>
                <w:rFonts w:hint="eastAsia" w:ascii="宋体" w:hAnsi="宋体"/>
                <w:color w:val="000000"/>
                <w:sz w:val="24"/>
                <w:szCs w:val="24"/>
                <w:highlight w:val="none"/>
                <w:lang w:val="en-US" w:eastAsia="zh-CN"/>
              </w:rPr>
              <w:t>（</w:t>
            </w:r>
            <w:r>
              <w:rPr>
                <w:rFonts w:hint="eastAsia" w:ascii="宋体" w:hAnsi="宋体"/>
                <w:b/>
                <w:bCs/>
                <w:color w:val="000000"/>
                <w:sz w:val="24"/>
                <w:szCs w:val="24"/>
                <w:highlight w:val="none"/>
                <w:lang w:val="en-US" w:eastAsia="zh-CN"/>
              </w:rPr>
              <w:t>5分</w:t>
            </w:r>
            <w:r>
              <w:rPr>
                <w:rFonts w:hint="eastAsia" w:ascii="宋体" w:hAnsi="宋体"/>
                <w:color w:val="000000"/>
                <w:sz w:val="24"/>
                <w:szCs w:val="24"/>
                <w:highlight w:val="none"/>
                <w:lang w:val="en-US" w:eastAsia="zh-CN"/>
              </w:rPr>
              <w:t>）</w:t>
            </w:r>
            <w:r>
              <w:rPr>
                <w:rFonts w:hint="eastAsia" w:ascii="宋体" w:hAnsi="宋体"/>
                <w:sz w:val="24"/>
                <w:szCs w:val="24"/>
                <w:highlight w:val="none"/>
                <w:lang w:val="en-US" w:eastAsia="zh-CN"/>
              </w:rPr>
              <w:t>：</w:t>
            </w:r>
          </w:p>
          <w:p>
            <w:pPr>
              <w:pStyle w:val="2"/>
              <w:ind w:firstLine="480" w:firstLineChars="200"/>
              <w:rPr>
                <w:rFonts w:hint="default" w:ascii="宋体" w:hAnsi="宋体"/>
                <w:sz w:val="24"/>
                <w:szCs w:val="24"/>
                <w:highlight w:val="none"/>
                <w:lang w:val="en-US"/>
              </w:rPr>
            </w:pPr>
            <w:r>
              <w:rPr>
                <w:rFonts w:hint="eastAsia" w:ascii="宋体" w:hAnsi="宋体"/>
                <w:sz w:val="24"/>
                <w:szCs w:val="24"/>
                <w:highlight w:val="none"/>
              </w:rPr>
              <w:t>第二章技术要求的第一节第</w:t>
            </w:r>
            <w:r>
              <w:rPr>
                <w:rFonts w:hint="eastAsia" w:ascii="宋体" w:hAnsi="宋体"/>
                <w:sz w:val="24"/>
                <w:szCs w:val="24"/>
                <w:highlight w:val="none"/>
                <w:lang w:val="en-US" w:eastAsia="zh-CN"/>
              </w:rPr>
              <w:t>四</w:t>
            </w:r>
            <w:r>
              <w:rPr>
                <w:rFonts w:hint="eastAsia" w:ascii="宋体" w:hAnsi="宋体"/>
                <w:sz w:val="24"/>
                <w:szCs w:val="24"/>
                <w:highlight w:val="none"/>
              </w:rPr>
              <w:t>条</w:t>
            </w:r>
            <w:r>
              <w:rPr>
                <w:rFonts w:hint="eastAsia" w:ascii="宋体" w:hAnsi="宋体"/>
                <w:sz w:val="24"/>
                <w:szCs w:val="24"/>
                <w:highlight w:val="none"/>
                <w:lang w:eastAsia="zh-CN"/>
              </w:rPr>
              <w:t>“</w:t>
            </w:r>
            <w:r>
              <w:rPr>
                <w:rFonts w:hint="eastAsia" w:ascii="宋体" w:hAnsi="宋体"/>
                <w:sz w:val="24"/>
                <w:szCs w:val="24"/>
                <w:highlight w:val="none"/>
                <w:lang w:val="en-US" w:eastAsia="zh-CN"/>
              </w:rPr>
              <w:t>服务要求”条款，</w:t>
            </w:r>
            <w:r>
              <w:rPr>
                <w:rFonts w:hint="eastAsia" w:hAnsi="宋体"/>
                <w:color w:val="000000"/>
                <w:sz w:val="24"/>
                <w:szCs w:val="24"/>
                <w:highlight w:val="none"/>
                <w:lang w:val="en-US" w:eastAsia="zh-CN"/>
              </w:rPr>
              <w:t>0</w:t>
            </w:r>
            <w:r>
              <w:rPr>
                <w:rFonts w:hint="eastAsia" w:ascii="仿宋" w:hAnsi="仿宋" w:cs="仿宋"/>
                <w:b/>
                <w:bCs/>
                <w:highlight w:val="none"/>
                <w:lang w:eastAsia="zh-CN"/>
              </w:rPr>
              <w:t>～</w:t>
            </w:r>
            <w:r>
              <w:rPr>
                <w:rFonts w:hint="eastAsia" w:hAnsi="宋体"/>
                <w:color w:val="000000"/>
                <w:sz w:val="24"/>
                <w:szCs w:val="24"/>
                <w:highlight w:val="none"/>
                <w:lang w:val="en-US" w:eastAsia="zh-CN"/>
              </w:rPr>
              <w:t>5</w:t>
            </w:r>
            <w:r>
              <w:rPr>
                <w:rFonts w:hint="eastAsia" w:ascii="宋体" w:hAnsi="宋体"/>
                <w:color w:val="00000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203" w:type="dxa"/>
            <w:vMerge w:val="continue"/>
            <w:vAlign w:val="center"/>
          </w:tcPr>
          <w:p>
            <w:pPr>
              <w:tabs>
                <w:tab w:val="left" w:pos="7854"/>
              </w:tabs>
              <w:spacing w:line="300" w:lineRule="exact"/>
              <w:jc w:val="center"/>
              <w:rPr>
                <w:rFonts w:ascii="宋体" w:hAnsi="宋体"/>
                <w:b/>
                <w:color w:val="000000"/>
                <w:sz w:val="24"/>
                <w:szCs w:val="24"/>
                <w:highlight w:val="none"/>
              </w:rPr>
            </w:pPr>
          </w:p>
        </w:tc>
        <w:tc>
          <w:tcPr>
            <w:tcW w:w="7843" w:type="dxa"/>
            <w:vAlign w:val="center"/>
          </w:tcPr>
          <w:p>
            <w:pPr>
              <w:tabs>
                <w:tab w:val="left" w:pos="7854"/>
              </w:tabs>
              <w:spacing w:line="30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c）场地至招标方距离（</w:t>
            </w:r>
            <w:r>
              <w:rPr>
                <w:rFonts w:hint="eastAsia" w:ascii="宋体" w:hAnsi="宋体"/>
                <w:b/>
                <w:bCs/>
                <w:sz w:val="24"/>
                <w:szCs w:val="24"/>
                <w:highlight w:val="none"/>
                <w:lang w:val="en-US" w:eastAsia="zh-CN"/>
              </w:rPr>
              <w:t>5分</w:t>
            </w:r>
            <w:r>
              <w:rPr>
                <w:rFonts w:hint="eastAsia" w:ascii="宋体" w:hAnsi="宋体"/>
                <w:sz w:val="24"/>
                <w:szCs w:val="24"/>
                <w:highlight w:val="none"/>
                <w:lang w:val="en-US" w:eastAsia="zh-CN"/>
              </w:rPr>
              <w:t>）：</w:t>
            </w:r>
          </w:p>
          <w:p>
            <w:pPr>
              <w:pStyle w:val="2"/>
              <w:ind w:firstLine="480" w:firstLineChars="200"/>
              <w:rPr>
                <w:rFonts w:hint="default" w:ascii="宋体" w:hAnsi="宋体" w:eastAsia="宋体"/>
                <w:color w:val="FF0000"/>
                <w:sz w:val="24"/>
                <w:szCs w:val="24"/>
                <w:highlight w:val="none"/>
                <w:lang w:val="en-US" w:eastAsia="zh-CN"/>
              </w:rPr>
            </w:pPr>
            <w:r>
              <w:rPr>
                <w:rFonts w:hint="eastAsia" w:ascii="宋体" w:hAnsi="宋体"/>
                <w:sz w:val="24"/>
                <w:szCs w:val="24"/>
                <w:highlight w:val="none"/>
              </w:rPr>
              <w:t>参照百度地图或高德地图，投标方试验场地</w:t>
            </w:r>
            <w:r>
              <w:rPr>
                <w:rFonts w:hint="eastAsia" w:hAnsi="宋体"/>
                <w:sz w:val="24"/>
                <w:szCs w:val="24"/>
                <w:highlight w:val="none"/>
                <w:lang w:val="en-US" w:eastAsia="zh-CN"/>
              </w:rPr>
              <w:t>所在地</w:t>
            </w:r>
            <w:r>
              <w:rPr>
                <w:rFonts w:hint="eastAsia" w:ascii="宋体" w:hAnsi="宋体"/>
                <w:sz w:val="24"/>
                <w:szCs w:val="24"/>
                <w:highlight w:val="none"/>
              </w:rPr>
              <w:t>与中国重汽科技大厦</w:t>
            </w:r>
            <w:r>
              <w:rPr>
                <w:rFonts w:hint="eastAsia" w:hAnsi="宋体"/>
                <w:sz w:val="24"/>
                <w:szCs w:val="24"/>
                <w:highlight w:val="none"/>
                <w:lang w:val="en-US" w:eastAsia="zh-CN"/>
              </w:rPr>
              <w:t>间汽车行驶</w:t>
            </w:r>
            <w:r>
              <w:rPr>
                <w:rFonts w:hint="eastAsia" w:ascii="宋体" w:hAnsi="宋体"/>
                <w:sz w:val="24"/>
                <w:szCs w:val="24"/>
                <w:highlight w:val="none"/>
              </w:rPr>
              <w:t>距离</w:t>
            </w:r>
            <w:r>
              <w:rPr>
                <w:rFonts w:hint="eastAsia" w:hAnsi="宋体"/>
                <w:sz w:val="24"/>
                <w:szCs w:val="24"/>
                <w:highlight w:val="none"/>
                <w:lang w:val="en-US" w:eastAsia="zh-CN"/>
              </w:rPr>
              <w:t>远近排名，距离最近得5分，其次3分，再次2分，其他0分。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203" w:type="dxa"/>
            <w:vMerge w:val="continue"/>
            <w:vAlign w:val="center"/>
          </w:tcPr>
          <w:p>
            <w:pPr>
              <w:tabs>
                <w:tab w:val="left" w:pos="7854"/>
              </w:tabs>
              <w:spacing w:line="300" w:lineRule="exact"/>
              <w:jc w:val="center"/>
              <w:rPr>
                <w:rFonts w:ascii="宋体" w:hAnsi="宋体"/>
                <w:b/>
                <w:color w:val="000000"/>
                <w:sz w:val="24"/>
                <w:szCs w:val="24"/>
                <w:highlight w:val="none"/>
              </w:rPr>
            </w:pPr>
          </w:p>
        </w:tc>
        <w:tc>
          <w:tcPr>
            <w:tcW w:w="7843" w:type="dxa"/>
            <w:vAlign w:val="center"/>
          </w:tcPr>
          <w:p>
            <w:pPr>
              <w:tabs>
                <w:tab w:val="left" w:pos="7854"/>
              </w:tabs>
              <w:spacing w:line="300" w:lineRule="exact"/>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d）技术答疑</w:t>
            </w:r>
            <w:r>
              <w:rPr>
                <w:rFonts w:hint="eastAsia" w:ascii="宋体" w:hAnsi="宋体"/>
                <w:color w:val="000000"/>
                <w:sz w:val="24"/>
                <w:szCs w:val="24"/>
                <w:highlight w:val="none"/>
                <w:lang w:eastAsia="zh-CN"/>
              </w:rPr>
              <w:t>（</w:t>
            </w:r>
            <w:r>
              <w:rPr>
                <w:rFonts w:hint="eastAsia" w:ascii="宋体" w:hAnsi="宋体"/>
                <w:b/>
                <w:bCs/>
                <w:color w:val="000000"/>
                <w:sz w:val="24"/>
                <w:szCs w:val="24"/>
                <w:highlight w:val="none"/>
                <w:lang w:val="en-US" w:eastAsia="zh-CN"/>
              </w:rPr>
              <w:t>4分</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w:t>
            </w:r>
          </w:p>
          <w:p>
            <w:pPr>
              <w:pStyle w:val="2"/>
              <w:ind w:firstLine="480" w:firstLineChars="200"/>
              <w:rPr>
                <w:rFonts w:hint="eastAsia" w:ascii="宋体" w:hAnsi="宋体" w:eastAsia="宋体" w:cs="Times New Roman"/>
                <w:color w:val="000000"/>
                <w:kern w:val="2"/>
                <w:sz w:val="24"/>
                <w:szCs w:val="24"/>
                <w:highlight w:val="none"/>
                <w:lang w:val="en-US" w:eastAsia="zh-CN" w:bidi="ar-SA"/>
              </w:rPr>
            </w:pPr>
            <w:r>
              <w:rPr>
                <w:rFonts w:hint="eastAsia" w:ascii="宋体" w:hAnsi="宋体"/>
                <w:color w:val="000000"/>
                <w:sz w:val="24"/>
                <w:szCs w:val="24"/>
                <w:highlight w:val="none"/>
              </w:rPr>
              <w:t>投标人代表</w:t>
            </w:r>
            <w:r>
              <w:rPr>
                <w:rFonts w:hint="eastAsia" w:ascii="宋体" w:hAnsi="宋体"/>
                <w:sz w:val="24"/>
                <w:szCs w:val="24"/>
                <w:highlight w:val="none"/>
                <w:lang w:val="en-US" w:eastAsia="zh-CN"/>
              </w:rPr>
              <w:t>阐述</w:t>
            </w:r>
            <w:r>
              <w:rPr>
                <w:rFonts w:hint="eastAsia" w:ascii="宋体" w:hAnsi="宋体"/>
                <w:color w:val="000000"/>
                <w:sz w:val="24"/>
                <w:szCs w:val="24"/>
                <w:highlight w:val="none"/>
                <w:lang w:val="en-US" w:eastAsia="zh-CN"/>
              </w:rPr>
              <w:t>场地</w:t>
            </w:r>
            <w:r>
              <w:rPr>
                <w:rFonts w:hint="eastAsia" w:ascii="宋体" w:hAnsi="宋体"/>
                <w:color w:val="000000"/>
                <w:sz w:val="24"/>
                <w:szCs w:val="24"/>
                <w:highlight w:val="none"/>
              </w:rPr>
              <w:t>技术优势，回答评标专家现场提问</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赋1</w:t>
            </w:r>
            <w:r>
              <w:rPr>
                <w:rFonts w:hint="eastAsia" w:ascii="仿宋" w:hAnsi="仿宋" w:cs="仿宋"/>
                <w:b/>
                <w:bCs/>
                <w:highlight w:val="none"/>
                <w:lang w:eastAsia="zh-CN"/>
              </w:rPr>
              <w:t>～</w:t>
            </w:r>
            <w:r>
              <w:rPr>
                <w:rFonts w:hint="eastAsia" w:hAnsi="宋体"/>
                <w:color w:val="000000"/>
                <w:sz w:val="24"/>
                <w:szCs w:val="24"/>
                <w:highlight w:val="none"/>
                <w:lang w:val="en-US" w:eastAsia="zh-CN"/>
              </w:rPr>
              <w:t>4</w:t>
            </w:r>
            <w:r>
              <w:rPr>
                <w:rFonts w:hint="eastAsia" w:ascii="宋体" w:hAnsi="宋体"/>
                <w:color w:val="000000"/>
                <w:sz w:val="24"/>
                <w:szCs w:val="24"/>
                <w:highlight w:val="none"/>
                <w:lang w:val="en-US" w:eastAsia="zh-CN"/>
              </w:rPr>
              <w:t>分</w:t>
            </w:r>
            <w:r>
              <w:rPr>
                <w:rFonts w:hint="eastAsia" w:ascii="宋体" w:hAnsi="宋体"/>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1203" w:type="dxa"/>
            <w:vMerge w:val="continue"/>
            <w:vAlign w:val="center"/>
          </w:tcPr>
          <w:p>
            <w:pPr>
              <w:tabs>
                <w:tab w:val="left" w:pos="7854"/>
              </w:tabs>
              <w:spacing w:line="300" w:lineRule="exact"/>
              <w:jc w:val="center"/>
              <w:rPr>
                <w:rFonts w:ascii="宋体" w:hAnsi="宋体"/>
                <w:b/>
                <w:color w:val="000000"/>
                <w:sz w:val="24"/>
                <w:szCs w:val="24"/>
                <w:highlight w:val="none"/>
              </w:rPr>
            </w:pPr>
          </w:p>
        </w:tc>
        <w:tc>
          <w:tcPr>
            <w:tcW w:w="7843" w:type="dxa"/>
            <w:vAlign w:val="center"/>
          </w:tcPr>
          <w:p>
            <w:pPr>
              <w:tabs>
                <w:tab w:val="left" w:pos="7854"/>
              </w:tabs>
              <w:spacing w:line="300" w:lineRule="exact"/>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e）场地配套服务</w:t>
            </w:r>
            <w:r>
              <w:rPr>
                <w:rFonts w:hint="eastAsia" w:ascii="宋体" w:hAnsi="宋体"/>
                <w:color w:val="000000"/>
                <w:sz w:val="24"/>
                <w:szCs w:val="24"/>
                <w:highlight w:val="none"/>
                <w:lang w:eastAsia="zh-CN"/>
              </w:rPr>
              <w:t>（</w:t>
            </w:r>
            <w:r>
              <w:rPr>
                <w:rFonts w:hint="eastAsia" w:ascii="宋体" w:hAnsi="宋体"/>
                <w:b/>
                <w:bCs/>
                <w:color w:val="000000"/>
                <w:sz w:val="24"/>
                <w:szCs w:val="24"/>
                <w:highlight w:val="none"/>
                <w:lang w:val="en-US" w:eastAsia="zh-CN"/>
              </w:rPr>
              <w:t>4分</w:t>
            </w:r>
            <w:r>
              <w:rPr>
                <w:rFonts w:hint="eastAsia" w:ascii="宋体" w:hAnsi="宋体"/>
                <w:color w:val="000000"/>
                <w:sz w:val="24"/>
                <w:szCs w:val="24"/>
                <w:highlight w:val="none"/>
                <w:lang w:val="en-US" w:eastAsia="zh-CN"/>
              </w:rPr>
              <w:t>）：</w:t>
            </w:r>
          </w:p>
          <w:p>
            <w:pPr>
              <w:pStyle w:val="2"/>
              <w:ind w:firstLine="480" w:firstLineChars="200"/>
              <w:rPr>
                <w:rFonts w:hint="default" w:ascii="宋体" w:hAnsi="宋体" w:eastAsia="宋体" w:cs="Times New Roman"/>
                <w:color w:val="000000"/>
                <w:kern w:val="2"/>
                <w:sz w:val="24"/>
                <w:szCs w:val="24"/>
                <w:highlight w:val="none"/>
                <w:lang w:val="en-US" w:eastAsia="zh-CN" w:bidi="ar-SA"/>
              </w:rPr>
            </w:pPr>
            <w:r>
              <w:rPr>
                <w:rFonts w:hint="eastAsia" w:hAnsi="宋体"/>
                <w:color w:val="000000"/>
                <w:sz w:val="24"/>
                <w:szCs w:val="24"/>
                <w:highlight w:val="none"/>
                <w:lang w:val="en-US" w:eastAsia="zh-CN"/>
              </w:rPr>
              <w:t>综合考虑</w:t>
            </w:r>
            <w:r>
              <w:rPr>
                <w:rFonts w:hint="eastAsia" w:ascii="宋体" w:hAnsi="宋体"/>
                <w:color w:val="000000"/>
                <w:sz w:val="24"/>
                <w:szCs w:val="24"/>
                <w:highlight w:val="none"/>
              </w:rPr>
              <w:t>场地</w:t>
            </w:r>
            <w:r>
              <w:rPr>
                <w:rFonts w:hint="eastAsia" w:hAnsi="宋体"/>
                <w:color w:val="000000"/>
                <w:sz w:val="24"/>
                <w:szCs w:val="24"/>
                <w:highlight w:val="none"/>
                <w:lang w:val="en-US" w:eastAsia="zh-CN"/>
              </w:rPr>
              <w:t>内</w:t>
            </w:r>
            <w:r>
              <w:rPr>
                <w:rFonts w:hint="eastAsia" w:ascii="宋体" w:hAnsi="宋体"/>
                <w:color w:val="000000"/>
                <w:sz w:val="24"/>
                <w:szCs w:val="24"/>
                <w:highlight w:val="none"/>
                <w:lang w:val="en-US" w:eastAsia="zh-CN"/>
              </w:rPr>
              <w:t>维修、仓库租赁、加油充电以及</w:t>
            </w:r>
            <w:r>
              <w:rPr>
                <w:rFonts w:hint="eastAsia" w:ascii="宋体" w:hAnsi="宋体"/>
                <w:color w:val="000000"/>
                <w:sz w:val="24"/>
                <w:szCs w:val="24"/>
                <w:highlight w:val="none"/>
              </w:rPr>
              <w:t>试验人员住宿和生活设施</w:t>
            </w:r>
            <w:r>
              <w:rPr>
                <w:rFonts w:hint="eastAsia" w:ascii="宋体" w:hAnsi="宋体"/>
                <w:color w:val="000000"/>
                <w:sz w:val="24"/>
                <w:szCs w:val="24"/>
                <w:highlight w:val="none"/>
                <w:lang w:val="en-US" w:eastAsia="zh-CN"/>
              </w:rPr>
              <w:t>完备情况</w:t>
            </w:r>
            <w:r>
              <w:rPr>
                <w:rFonts w:hint="eastAsia" w:ascii="宋体" w:hAnsi="宋体"/>
                <w:sz w:val="24"/>
                <w:szCs w:val="24"/>
                <w:highlight w:val="none"/>
                <w:lang w:val="en-US" w:eastAsia="zh-CN"/>
              </w:rPr>
              <w:t>，</w:t>
            </w:r>
            <w:r>
              <w:rPr>
                <w:rFonts w:hint="eastAsia" w:hAnsi="宋体"/>
                <w:color w:val="000000"/>
                <w:sz w:val="24"/>
                <w:szCs w:val="24"/>
                <w:highlight w:val="none"/>
                <w:lang w:val="en-US" w:eastAsia="zh-CN"/>
              </w:rPr>
              <w:t>0</w:t>
            </w:r>
            <w:r>
              <w:rPr>
                <w:rFonts w:hint="eastAsia" w:ascii="仿宋" w:hAnsi="仿宋" w:cs="仿宋"/>
                <w:b/>
                <w:bCs/>
                <w:highlight w:val="none"/>
                <w:lang w:eastAsia="zh-CN"/>
              </w:rPr>
              <w:t>～</w:t>
            </w:r>
            <w:r>
              <w:rPr>
                <w:rFonts w:hint="eastAsia" w:hAnsi="宋体"/>
                <w:color w:val="000000"/>
                <w:sz w:val="24"/>
                <w:szCs w:val="24"/>
                <w:highlight w:val="none"/>
                <w:lang w:val="en-US" w:eastAsia="zh-CN"/>
              </w:rPr>
              <w:t>4</w:t>
            </w:r>
            <w:r>
              <w:rPr>
                <w:rFonts w:hint="eastAsia" w:ascii="宋体" w:hAnsi="宋体"/>
                <w:color w:val="000000"/>
                <w:sz w:val="24"/>
                <w:szCs w:val="24"/>
                <w:highlight w:val="none"/>
                <w:lang w:val="en-US" w:eastAsia="zh-CN"/>
              </w:rPr>
              <w:t>分</w:t>
            </w:r>
            <w:r>
              <w:rPr>
                <w:rFonts w:hint="eastAsia" w:ascii="宋体" w:hAnsi="宋体"/>
                <w:color w:val="000000"/>
                <w:sz w:val="24"/>
                <w:szCs w:val="24"/>
                <w:highlight w:val="none"/>
              </w:rPr>
              <w:t>。</w:t>
            </w:r>
          </w:p>
        </w:tc>
      </w:tr>
    </w:tbl>
    <w:p>
      <w:pPr>
        <w:pStyle w:val="2"/>
        <w:spacing w:line="360" w:lineRule="auto"/>
        <w:ind w:firstLine="480" w:firstLineChars="200"/>
        <w:rPr>
          <w:rFonts w:ascii="仿宋" w:hAnsi="仿宋" w:eastAsia="仿宋" w:cs="仿宋"/>
          <w:color w:val="000000"/>
          <w:sz w:val="24"/>
          <w:szCs w:val="24"/>
          <w:highlight w:val="none"/>
        </w:rPr>
      </w:pPr>
    </w:p>
    <w:p>
      <w:pPr>
        <w:pStyle w:val="2"/>
        <w:spacing w:line="360" w:lineRule="auto"/>
        <w:ind w:firstLine="480" w:firstLineChars="20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（2）评标方法</w:t>
      </w:r>
    </w:p>
    <w:p>
      <w:pPr>
        <w:pStyle w:val="54"/>
        <w:rPr>
          <w:rFonts w:ascii="仿宋" w:hAnsi="仿宋" w:cs="仿宋"/>
          <w:highlight w:val="none"/>
        </w:rPr>
      </w:pPr>
      <w:r>
        <w:rPr>
          <w:rFonts w:hint="eastAsia" w:ascii="仿宋" w:hAnsi="仿宋" w:cs="仿宋"/>
          <w:highlight w:val="none"/>
        </w:rPr>
        <w:t>a、若出现总分并列时，比较技术部分综合得分，此分项得分高者排序在前；若技术部分综合得分仍相同，则由全体评委成员无记名投票，得票高者排序在前。</w:t>
      </w:r>
    </w:p>
    <w:p>
      <w:pPr>
        <w:pStyle w:val="54"/>
        <w:rPr>
          <w:rFonts w:ascii="仿宋" w:hAnsi="仿宋" w:cs="仿宋"/>
          <w:highlight w:val="none"/>
        </w:rPr>
      </w:pPr>
      <w:r>
        <w:rPr>
          <w:rFonts w:hint="eastAsia" w:ascii="仿宋" w:hAnsi="仿宋" w:cs="仿宋"/>
          <w:highlight w:val="none"/>
        </w:rPr>
        <w:t>b、评委打分超过得分界限或未按本方法赋分时，该评委的打分按废票处理。</w:t>
      </w:r>
    </w:p>
    <w:p>
      <w:pPr>
        <w:pStyle w:val="54"/>
        <w:rPr>
          <w:rFonts w:ascii="仿宋" w:hAnsi="仿宋" w:cs="仿宋"/>
          <w:highlight w:val="none"/>
        </w:rPr>
      </w:pPr>
      <w:r>
        <w:rPr>
          <w:rFonts w:hint="eastAsia" w:ascii="仿宋" w:hAnsi="仿宋" w:cs="仿宋"/>
          <w:highlight w:val="none"/>
        </w:rPr>
        <w:t>c、评标过程中，若出现本办法以外的特殊情况时，将暂停评标，有关情况处理意见待招标工作小组确认后，再行评定。</w:t>
      </w:r>
    </w:p>
    <w:p>
      <w:pPr>
        <w:pStyle w:val="54"/>
        <w:numPr>
          <w:ilvl w:val="0"/>
          <w:numId w:val="11"/>
        </w:numPr>
        <w:ind w:firstLineChars="0"/>
        <w:rPr>
          <w:rFonts w:ascii="仿宋" w:hAnsi="仿宋" w:cs="仿宋"/>
          <w:highlight w:val="none"/>
        </w:rPr>
      </w:pPr>
      <w:r>
        <w:rPr>
          <w:rFonts w:hint="eastAsia" w:ascii="仿宋" w:hAnsi="仿宋" w:cs="仿宋"/>
          <w:highlight w:val="none"/>
        </w:rPr>
        <w:t>本项目产生</w:t>
      </w:r>
      <w:r>
        <w:rPr>
          <w:rFonts w:hint="eastAsia" w:ascii="仿宋" w:hAnsi="仿宋" w:cs="仿宋"/>
          <w:b/>
          <w:bCs/>
          <w:highlight w:val="none"/>
          <w:lang w:eastAsia="zh-CN"/>
        </w:rPr>
        <w:t>2～3</w:t>
      </w:r>
      <w:r>
        <w:rPr>
          <w:rFonts w:hint="eastAsia" w:ascii="仿宋" w:hAnsi="仿宋" w:cs="仿宋"/>
          <w:highlight w:val="none"/>
          <w:lang w:eastAsia="zh-CN"/>
        </w:rPr>
        <w:t>个</w:t>
      </w:r>
      <w:r>
        <w:rPr>
          <w:rFonts w:hint="eastAsia" w:ascii="仿宋" w:hAnsi="仿宋" w:cs="仿宋"/>
          <w:highlight w:val="none"/>
        </w:rPr>
        <w:t>中标人。中标人签订合同前须进行最终审查。最终审查的对象是投标项目的中标候选人。最终审查的内容是对中标候选人的经营状况、服务质量、资格、信誉以及招标人认为有必要了解</w:t>
      </w:r>
      <w:r>
        <w:rPr>
          <w:rFonts w:hint="eastAsia" w:ascii="仿宋" w:hAnsi="仿宋" w:cs="仿宋"/>
          <w:highlight w:val="none"/>
          <w:lang w:eastAsia="zh-CN"/>
        </w:rPr>
        <w:t>的其他</w:t>
      </w:r>
      <w:r>
        <w:rPr>
          <w:rFonts w:hint="eastAsia" w:ascii="仿宋" w:hAnsi="仿宋" w:cs="仿宋"/>
          <w:highlight w:val="none"/>
        </w:rPr>
        <w:t>问题作进一步的</w:t>
      </w:r>
      <w:r>
        <w:rPr>
          <w:rFonts w:hint="eastAsia" w:ascii="仿宋" w:hAnsi="仿宋" w:cs="仿宋"/>
          <w:highlight w:val="none"/>
          <w:lang w:eastAsia="zh-CN"/>
        </w:rPr>
        <w:t>考察</w:t>
      </w:r>
      <w:r>
        <w:rPr>
          <w:rFonts w:hint="eastAsia" w:ascii="仿宋" w:hAnsi="仿宋" w:cs="仿宋"/>
          <w:highlight w:val="none"/>
        </w:rPr>
        <w:t>及后审。最终审查的方式，根据需要采取问询或实地查证等方式。如审查结果不符合成交条件，则本次评标作废。</w:t>
      </w:r>
    </w:p>
    <w:p>
      <w:pPr>
        <w:pStyle w:val="80"/>
        <w:rPr>
          <w:highlight w:val="none"/>
        </w:rPr>
      </w:pPr>
      <w:bookmarkStart w:id="51" w:name="_Toc17684"/>
      <w:r>
        <w:rPr>
          <w:rFonts w:hint="eastAsia"/>
          <w:highlight w:val="none"/>
        </w:rPr>
        <w:t>七、合同签订</w:t>
      </w:r>
      <w:bookmarkEnd w:id="51"/>
    </w:p>
    <w:p>
      <w:pPr>
        <w:pStyle w:val="54"/>
        <w:rPr>
          <w:rFonts w:ascii="宋体" w:hAnsi="宋体" w:eastAsia="宋体" w:cs="宋体"/>
        </w:rPr>
      </w:pPr>
      <w:bookmarkStart w:id="52" w:name="_Toc18482"/>
      <w:r>
        <w:rPr>
          <w:rFonts w:hint="eastAsia" w:ascii="宋体" w:hAnsi="宋体" w:eastAsia="宋体" w:cs="宋体"/>
        </w:rPr>
        <w:t>1、招标人根据评标工作小组的评标结果推荐中标人，并书面通知中标人。招标人不承诺将合同授予报价最低的投标人。</w:t>
      </w:r>
    </w:p>
    <w:p>
      <w:pPr>
        <w:pStyle w:val="54"/>
        <w:rPr>
          <w:rFonts w:ascii="宋体" w:hAnsi="宋体" w:eastAsia="宋体" w:cs="宋体"/>
        </w:rPr>
      </w:pPr>
      <w:r>
        <w:rPr>
          <w:rFonts w:hint="eastAsia" w:ascii="宋体" w:hAnsi="宋体" w:eastAsia="宋体" w:cs="宋体"/>
        </w:rPr>
        <w:t>2、中标人应当按照合同约定的履约责任，在保证质量的前提下完成中标项目，不得将中标项目转包或分包给他人，否则视为违约，招标人有权解除合同。</w:t>
      </w:r>
    </w:p>
    <w:p>
      <w:pPr>
        <w:pStyle w:val="2"/>
        <w:spacing w:line="360" w:lineRule="auto"/>
        <w:ind w:firstLine="482" w:firstLineChars="200"/>
        <w:rPr>
          <w:rFonts w:hAnsi="宋体" w:cs="宋体"/>
          <w:b/>
          <w:sz w:val="24"/>
        </w:rPr>
      </w:pPr>
      <w:r>
        <w:rPr>
          <w:rFonts w:hint="eastAsia" w:hAnsi="宋体" w:cs="宋体"/>
          <w:b/>
          <w:sz w:val="24"/>
        </w:rPr>
        <w:t>3、中标人由于履行义务的能力或信用有严重缺陷，招标人有权取消其中标资格，招标人将从中标候选单位中依序重新推荐中标人，或重新组织招标。</w:t>
      </w:r>
    </w:p>
    <w:p>
      <w:pPr>
        <w:pStyle w:val="2"/>
        <w:spacing w:line="360" w:lineRule="auto"/>
        <w:ind w:firstLine="480" w:firstLineChars="200"/>
        <w:rPr>
          <w:rFonts w:hAnsi="宋体" w:cs="宋体"/>
          <w:bCs/>
          <w:sz w:val="24"/>
        </w:rPr>
      </w:pPr>
      <w:r>
        <w:rPr>
          <w:rFonts w:hint="eastAsia" w:hAnsi="宋体" w:cs="宋体"/>
          <w:bCs/>
          <w:sz w:val="24"/>
        </w:rPr>
        <w:t>4、中标人瑕疵滞后发现的处理原则 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pPr>
        <w:pStyle w:val="54"/>
        <w:rPr>
          <w:rFonts w:ascii="宋体" w:hAnsi="宋体" w:eastAsia="宋体" w:cs="宋体"/>
        </w:rPr>
      </w:pPr>
      <w:r>
        <w:rPr>
          <w:rFonts w:hint="eastAsia" w:ascii="宋体" w:hAnsi="宋体" w:eastAsia="宋体" w:cs="宋体"/>
        </w:rPr>
        <w:t>5、投标人有下列情形之一，其投标将被视为废标，招标人将严格按照《中华人民共和国招标投标法》及相关法律、法规及规章制度的规定行使权利。投标人给招标人造成损失的，招标人有索赔的权利，投标人应予以赔偿。</w:t>
      </w:r>
    </w:p>
    <w:p>
      <w:pPr>
        <w:pStyle w:val="54"/>
        <w:rPr>
          <w:rFonts w:ascii="宋体" w:hAnsi="宋体" w:eastAsia="宋体" w:cs="宋体"/>
        </w:rPr>
      </w:pPr>
      <w:r>
        <w:rPr>
          <w:rFonts w:hint="eastAsia" w:ascii="宋体" w:hAnsi="宋体" w:eastAsia="宋体" w:cs="宋体"/>
        </w:rPr>
        <w:t>（1）投标人提供的有关资格、资质证明文件不合格、不真实或提供虚假投标材料；</w:t>
      </w:r>
    </w:p>
    <w:p>
      <w:pPr>
        <w:pStyle w:val="54"/>
        <w:rPr>
          <w:rFonts w:ascii="宋体" w:hAnsi="宋体" w:eastAsia="宋体" w:cs="宋体"/>
        </w:rPr>
      </w:pPr>
      <w:r>
        <w:rPr>
          <w:rFonts w:hint="eastAsia" w:ascii="宋体" w:hAnsi="宋体" w:eastAsia="宋体" w:cs="宋体"/>
        </w:rPr>
        <w:t>（2）投标人在报价有效期内撤回投标；</w:t>
      </w:r>
    </w:p>
    <w:p>
      <w:pPr>
        <w:pStyle w:val="54"/>
        <w:rPr>
          <w:rFonts w:ascii="宋体" w:hAnsi="宋体" w:eastAsia="宋体" w:cs="宋体"/>
        </w:rPr>
      </w:pPr>
      <w:r>
        <w:rPr>
          <w:rFonts w:hint="eastAsia" w:ascii="宋体" w:hAnsi="宋体" w:eastAsia="宋体" w:cs="宋体"/>
        </w:rPr>
        <w:t>（3）在整个评标过程中，投标人有企图影响评标结果公正性的任何活动；</w:t>
      </w:r>
    </w:p>
    <w:p>
      <w:pPr>
        <w:pStyle w:val="54"/>
        <w:rPr>
          <w:rFonts w:ascii="宋体" w:hAnsi="宋体" w:eastAsia="宋体" w:cs="宋体"/>
        </w:rPr>
      </w:pPr>
      <w:r>
        <w:rPr>
          <w:rFonts w:hint="eastAsia" w:ascii="宋体" w:hAnsi="宋体" w:eastAsia="宋体" w:cs="宋体"/>
        </w:rPr>
        <w:t>（4）投标人以任何方式诋毁其他投标人；</w:t>
      </w:r>
    </w:p>
    <w:p>
      <w:pPr>
        <w:pStyle w:val="54"/>
        <w:rPr>
          <w:rFonts w:ascii="宋体" w:hAnsi="宋体" w:eastAsia="宋体" w:cs="宋体"/>
        </w:rPr>
      </w:pPr>
      <w:r>
        <w:rPr>
          <w:rFonts w:hint="eastAsia" w:ascii="宋体" w:hAnsi="宋体" w:eastAsia="宋体" w:cs="宋体"/>
        </w:rPr>
        <w:t>（5）投标人串通投标；</w:t>
      </w:r>
    </w:p>
    <w:p>
      <w:pPr>
        <w:pStyle w:val="54"/>
        <w:rPr>
          <w:rFonts w:ascii="宋体" w:hAnsi="宋体" w:eastAsia="宋体" w:cs="宋体"/>
        </w:rPr>
      </w:pPr>
      <w:r>
        <w:rPr>
          <w:rFonts w:hint="eastAsia" w:ascii="宋体" w:hAnsi="宋体" w:eastAsia="宋体" w:cs="宋体"/>
        </w:rPr>
        <w:t>（6）以他人名义投标或者以其他方式弄虚作假，骗取中标的；</w:t>
      </w:r>
    </w:p>
    <w:p>
      <w:pPr>
        <w:pStyle w:val="54"/>
        <w:rPr>
          <w:rFonts w:ascii="宋体" w:hAnsi="宋体" w:eastAsia="宋体" w:cs="宋体"/>
        </w:rPr>
      </w:pPr>
      <w:r>
        <w:rPr>
          <w:rFonts w:hint="eastAsia" w:ascii="宋体" w:hAnsi="宋体" w:eastAsia="宋体" w:cs="宋体"/>
        </w:rPr>
        <w:t>（7）投标人负责人为同一人或者存在控股、管理关系的不同单位；</w:t>
      </w:r>
    </w:p>
    <w:p>
      <w:pPr>
        <w:pStyle w:val="54"/>
        <w:rPr>
          <w:rFonts w:ascii="宋体" w:hAnsi="宋体" w:eastAsia="宋体" w:cs="宋体"/>
        </w:rPr>
      </w:pPr>
      <w:r>
        <w:rPr>
          <w:rFonts w:hint="eastAsia" w:ascii="宋体" w:hAnsi="宋体" w:eastAsia="宋体" w:cs="宋体"/>
        </w:rPr>
        <w:t>（8）投标人被举报、检举，并经招标方查实无误的；</w:t>
      </w:r>
    </w:p>
    <w:p>
      <w:pPr>
        <w:pStyle w:val="54"/>
        <w:rPr>
          <w:rFonts w:ascii="宋体" w:hAnsi="宋体" w:eastAsia="宋体" w:cs="宋体"/>
        </w:rPr>
      </w:pPr>
      <w:r>
        <w:rPr>
          <w:rFonts w:hint="eastAsia" w:ascii="宋体" w:hAnsi="宋体" w:eastAsia="宋体" w:cs="宋体"/>
        </w:rPr>
        <w:t>（9）法律、法规规定的其他情况。</w:t>
      </w:r>
    </w:p>
    <w:p>
      <w:pPr>
        <w:pStyle w:val="54"/>
        <w:rPr>
          <w:rFonts w:ascii="宋体" w:hAnsi="宋体" w:eastAsia="宋体" w:cs="宋体"/>
        </w:rPr>
      </w:pPr>
      <w:r>
        <w:rPr>
          <w:rFonts w:hint="eastAsia" w:ascii="宋体" w:hAnsi="宋体" w:eastAsia="宋体" w:cs="宋体"/>
        </w:rPr>
        <w:t>6、出现下列情形之一，招标人有权否决所有投标人的投标，并终止招标</w:t>
      </w:r>
    </w:p>
    <w:p>
      <w:pPr>
        <w:pStyle w:val="54"/>
        <w:rPr>
          <w:rFonts w:ascii="宋体" w:hAnsi="宋体" w:eastAsia="宋体" w:cs="宋体"/>
        </w:rPr>
      </w:pPr>
      <w:r>
        <w:rPr>
          <w:rFonts w:hint="eastAsia" w:ascii="宋体" w:hAnsi="宋体" w:eastAsia="宋体" w:cs="宋体"/>
        </w:rPr>
        <w:t>（1）出现影响采购公正的违法、违规行为的；</w:t>
      </w:r>
    </w:p>
    <w:p>
      <w:pPr>
        <w:pStyle w:val="54"/>
        <w:rPr>
          <w:rFonts w:ascii="宋体" w:hAnsi="宋体" w:eastAsia="宋体" w:cs="宋体"/>
        </w:rPr>
      </w:pPr>
      <w:r>
        <w:rPr>
          <w:rFonts w:hint="eastAsia" w:ascii="宋体" w:hAnsi="宋体" w:eastAsia="宋体" w:cs="宋体"/>
        </w:rPr>
        <w:t>（2）评标委员会经评审，认为所有投标都不符合招标文件要求的；</w:t>
      </w:r>
    </w:p>
    <w:p>
      <w:pPr>
        <w:pStyle w:val="54"/>
        <w:rPr>
          <w:rFonts w:ascii="宋体" w:hAnsi="宋体" w:eastAsia="宋体" w:cs="宋体"/>
        </w:rPr>
      </w:pPr>
      <w:r>
        <w:rPr>
          <w:rFonts w:hint="eastAsia" w:ascii="宋体" w:hAnsi="宋体" w:eastAsia="宋体" w:cs="宋体"/>
        </w:rPr>
        <w:t>（3）因重大变故，采购任务取消的；</w:t>
      </w:r>
    </w:p>
    <w:p>
      <w:pPr>
        <w:pStyle w:val="54"/>
        <w:rPr>
          <w:rFonts w:ascii="宋体" w:hAnsi="宋体" w:eastAsia="宋体" w:cs="宋体"/>
        </w:rPr>
      </w:pPr>
      <w:r>
        <w:rPr>
          <w:rFonts w:hint="eastAsia" w:ascii="宋体" w:hAnsi="宋体" w:eastAsia="宋体" w:cs="宋体"/>
        </w:rPr>
        <w:t>（4）符合投标条件的投标方或者对招标文件做实质响应的投标方不足</w:t>
      </w:r>
      <w:r>
        <w:rPr>
          <w:rFonts w:hint="eastAsia" w:ascii="宋体" w:hAnsi="宋体" w:eastAsia="宋体" w:cs="宋体"/>
          <w:lang w:val="en-US" w:eastAsia="zh-CN"/>
        </w:rPr>
        <w:t>五家</w:t>
      </w:r>
      <w:r>
        <w:rPr>
          <w:rFonts w:hint="eastAsia" w:ascii="宋体" w:hAnsi="宋体" w:eastAsia="宋体" w:cs="宋体"/>
        </w:rPr>
        <w:t>的。</w:t>
      </w:r>
    </w:p>
    <w:p>
      <w:pPr>
        <w:pStyle w:val="80"/>
        <w:rPr>
          <w:highlight w:val="none"/>
        </w:rPr>
      </w:pPr>
      <w:r>
        <w:rPr>
          <w:rFonts w:hint="eastAsia" w:cs="宋体"/>
          <w:sz w:val="24"/>
          <w:szCs w:val="24"/>
          <w:highlight w:val="none"/>
        </w:rPr>
        <w:t>八、</w:t>
      </w:r>
      <w:r>
        <w:rPr>
          <w:rFonts w:hint="eastAsia"/>
          <w:highlight w:val="none"/>
        </w:rPr>
        <w:t>其他</w:t>
      </w:r>
      <w:bookmarkEnd w:id="52"/>
    </w:p>
    <w:p>
      <w:pPr>
        <w:pStyle w:val="54"/>
        <w:numPr>
          <w:ilvl w:val="0"/>
          <w:numId w:val="12"/>
        </w:numPr>
        <w:ind w:firstLineChars="0"/>
        <w:rPr>
          <w:rFonts w:ascii="仿宋" w:hAnsi="仿宋" w:cs="仿宋"/>
          <w:bCs/>
          <w:highlight w:val="none"/>
        </w:rPr>
      </w:pPr>
      <w:r>
        <w:rPr>
          <w:rFonts w:hint="eastAsia" w:ascii="仿宋" w:hAnsi="仿宋" w:cs="仿宋"/>
          <w:bCs/>
          <w:highlight w:val="none"/>
        </w:rPr>
        <w:t>其余未尽事宜均以最终签署的协议（或合同）约定为准。</w:t>
      </w:r>
    </w:p>
    <w:p>
      <w:pPr>
        <w:pStyle w:val="54"/>
        <w:numPr>
          <w:ilvl w:val="0"/>
          <w:numId w:val="12"/>
        </w:numPr>
        <w:ind w:firstLineChars="0"/>
        <w:rPr>
          <w:rFonts w:ascii="仿宋" w:hAnsi="仿宋" w:cs="仿宋"/>
          <w:bCs/>
          <w:highlight w:val="none"/>
        </w:rPr>
      </w:pPr>
      <w:r>
        <w:rPr>
          <w:rFonts w:hint="eastAsia" w:ascii="仿宋" w:hAnsi="仿宋" w:cs="仿宋"/>
          <w:bCs/>
          <w:highlight w:val="none"/>
        </w:rPr>
        <w:t>要求招标人或相关合同签订单位提供的配合，在标书文件中说明。</w:t>
      </w:r>
    </w:p>
    <w:p>
      <w:pPr>
        <w:pStyle w:val="54"/>
        <w:numPr>
          <w:ilvl w:val="0"/>
          <w:numId w:val="12"/>
        </w:numPr>
        <w:ind w:firstLineChars="0"/>
        <w:rPr>
          <w:rFonts w:ascii="仿宋" w:hAnsi="仿宋" w:cs="仿宋"/>
          <w:bCs/>
          <w:highlight w:val="none"/>
        </w:rPr>
      </w:pPr>
      <w:r>
        <w:rPr>
          <w:rFonts w:hint="eastAsia" w:ascii="仿宋" w:hAnsi="仿宋" w:cs="仿宋"/>
          <w:bCs/>
          <w:highlight w:val="none"/>
        </w:rPr>
        <w:t>凡对本次招标提出的问询，均以招标人的书面答复为准。招标人的任何工作人员对投标人所作的任何口头解释、介绍、答复，对招标人和投标人均无任何约束力。</w:t>
      </w:r>
    </w:p>
    <w:p>
      <w:pPr>
        <w:pStyle w:val="54"/>
        <w:numPr>
          <w:ilvl w:val="0"/>
          <w:numId w:val="12"/>
        </w:numPr>
        <w:ind w:firstLineChars="0"/>
        <w:rPr>
          <w:rFonts w:ascii="仿宋" w:hAnsi="仿宋" w:cs="仿宋"/>
          <w:bCs/>
          <w:highlight w:val="none"/>
        </w:rPr>
      </w:pPr>
      <w:r>
        <w:rPr>
          <w:rFonts w:hint="eastAsia" w:ascii="仿宋" w:hAnsi="仿宋" w:cs="仿宋"/>
          <w:bCs/>
          <w:highlight w:val="none"/>
        </w:rPr>
        <w:t>投标人应承担所有与准备和参加投标有关的全部费用，招标人在任何情况下均无义务和责任承担此费用。</w:t>
      </w:r>
    </w:p>
    <w:p>
      <w:pPr>
        <w:pStyle w:val="54"/>
        <w:numPr>
          <w:ilvl w:val="0"/>
          <w:numId w:val="12"/>
        </w:numPr>
        <w:ind w:firstLineChars="0"/>
        <w:rPr>
          <w:rFonts w:ascii="仿宋" w:hAnsi="仿宋" w:cs="仿宋"/>
          <w:bCs/>
          <w:highlight w:val="none"/>
        </w:rPr>
      </w:pPr>
      <w:r>
        <w:rPr>
          <w:rFonts w:hint="eastAsia" w:ascii="宋体" w:hAnsi="Courier New"/>
          <w:color w:val="000000"/>
          <w:highlight w:val="none"/>
        </w:rPr>
        <w:t>中标人瑕疵滞后发现的处理原则：</w:t>
      </w:r>
      <w:r>
        <w:rPr>
          <w:rFonts w:hint="eastAsia" w:ascii="宋体" w:hAnsi="Courier New"/>
          <w:highlight w:val="none"/>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pPr>
        <w:pStyle w:val="80"/>
        <w:rPr>
          <w:highlight w:val="none"/>
        </w:rPr>
      </w:pPr>
      <w:bookmarkStart w:id="53" w:name="_Toc17623"/>
      <w:r>
        <w:rPr>
          <w:rFonts w:hint="eastAsia"/>
          <w:highlight w:val="none"/>
        </w:rPr>
        <w:t>九、招标解释权</w:t>
      </w:r>
      <w:bookmarkEnd w:id="53"/>
    </w:p>
    <w:p>
      <w:pPr>
        <w:pStyle w:val="54"/>
        <w:rPr>
          <w:highlight w:val="none"/>
        </w:rPr>
      </w:pPr>
      <w:r>
        <w:rPr>
          <w:rFonts w:hint="eastAsia"/>
          <w:highlight w:val="none"/>
        </w:rPr>
        <w:t>本次招标最终解释权归中国重汽集团济南动力有限公司所有。</w:t>
      </w:r>
    </w:p>
    <w:p>
      <w:pPr>
        <w:pStyle w:val="2"/>
        <w:rPr>
          <w:rFonts w:eastAsia="仿宋"/>
          <w:sz w:val="24"/>
          <w:szCs w:val="24"/>
          <w:highlight w:val="none"/>
        </w:rPr>
      </w:pPr>
      <w:r>
        <w:rPr>
          <w:highlight w:val="none"/>
        </w:rPr>
        <w:br w:type="page"/>
      </w:r>
    </w:p>
    <w:p>
      <w:pPr>
        <w:jc w:val="center"/>
        <w:rPr>
          <w:highlight w:val="none"/>
        </w:rPr>
      </w:pPr>
      <w:bookmarkStart w:id="54" w:name="_Toc465187638"/>
      <w:r>
        <w:rPr>
          <w:rFonts w:hint="eastAsia"/>
          <w:highlight w:val="none"/>
        </w:rPr>
        <w:t>技术协议书</w:t>
      </w:r>
    </w:p>
    <w:p>
      <w:pPr>
        <w:pStyle w:val="71"/>
        <w:rPr>
          <w:highlight w:val="none"/>
        </w:rPr>
      </w:pPr>
      <w:r>
        <w:rPr>
          <w:rFonts w:hint="eastAsia"/>
          <w:highlight w:val="none"/>
        </w:rPr>
        <w:t xml:space="preserve">第二章  </w:t>
      </w:r>
      <w:bookmarkEnd w:id="54"/>
      <w:r>
        <w:rPr>
          <w:rFonts w:hint="eastAsia"/>
          <w:highlight w:val="none"/>
        </w:rPr>
        <w:t>技术要求</w:t>
      </w:r>
    </w:p>
    <w:p>
      <w:pPr>
        <w:bidi w:val="0"/>
        <w:rPr>
          <w:b/>
          <w:bCs/>
          <w:color w:val="FF0000"/>
          <w:highlight w:val="none"/>
        </w:rPr>
      </w:pPr>
      <w:r>
        <w:rPr>
          <w:rFonts w:hint="eastAsia"/>
          <w:b/>
          <w:bCs/>
          <w:color w:val="FF0000"/>
          <w:highlight w:val="none"/>
        </w:rPr>
        <w:t>（注：带☆的项目为主要技术参数，其中一项不能满足将导致其投标被否决）</w:t>
      </w:r>
    </w:p>
    <w:p>
      <w:pPr>
        <w:pStyle w:val="80"/>
        <w:rPr>
          <w:highlight w:val="none"/>
        </w:rPr>
      </w:pPr>
      <w:bookmarkStart w:id="55" w:name="_Toc465187639"/>
      <w:r>
        <w:rPr>
          <w:rFonts w:hint="eastAsia"/>
          <w:highlight w:val="none"/>
        </w:rPr>
        <w:t xml:space="preserve">第一节  </w:t>
      </w:r>
      <w:bookmarkEnd w:id="55"/>
      <w:r>
        <w:rPr>
          <w:rFonts w:hint="eastAsia"/>
          <w:highlight w:val="none"/>
        </w:rPr>
        <w:t>场地服务</w:t>
      </w:r>
    </w:p>
    <w:p>
      <w:pPr>
        <w:pStyle w:val="80"/>
        <w:rPr>
          <w:sz w:val="24"/>
          <w:szCs w:val="24"/>
          <w:highlight w:val="none"/>
        </w:rPr>
      </w:pPr>
      <w:r>
        <w:rPr>
          <w:rFonts w:hint="eastAsia"/>
          <w:sz w:val="24"/>
          <w:szCs w:val="24"/>
          <w:highlight w:val="none"/>
        </w:rPr>
        <w:t>一、</w:t>
      </w:r>
      <w:r>
        <w:rPr>
          <w:rFonts w:hint="eastAsia"/>
          <w:sz w:val="24"/>
          <w:szCs w:val="24"/>
          <w:highlight w:val="none"/>
          <w:lang w:val="en-US" w:eastAsia="zh-CN"/>
        </w:rPr>
        <w:t>场地基本要求</w:t>
      </w:r>
    </w:p>
    <w:p>
      <w:pPr>
        <w:pStyle w:val="54"/>
        <w:jc w:val="left"/>
        <w:rPr>
          <w:highlight w:val="none"/>
        </w:rPr>
      </w:pPr>
      <w:r>
        <w:rPr>
          <w:rFonts w:hint="eastAsia"/>
          <w:highlight w:val="none"/>
        </w:rPr>
        <w:t>☆1.1</w:t>
      </w:r>
      <w:r>
        <w:rPr>
          <w:rFonts w:hint="eastAsia"/>
          <w:highlight w:val="none"/>
          <w:lang w:val="en-US" w:eastAsia="zh-CN"/>
        </w:rPr>
        <w:t xml:space="preserve"> </w:t>
      </w:r>
      <w:r>
        <w:rPr>
          <w:rFonts w:hint="eastAsia"/>
          <w:highlight w:val="none"/>
        </w:rPr>
        <w:t>性能试验车辆进场计</w:t>
      </w:r>
      <w:r>
        <w:rPr>
          <w:rFonts w:hint="eastAsia"/>
          <w:highlight w:val="none"/>
          <w:lang w:val="en-US" w:eastAsia="zh-CN"/>
        </w:rPr>
        <w:t>费</w:t>
      </w:r>
      <w:r>
        <w:rPr>
          <w:rFonts w:hint="eastAsia"/>
          <w:highlight w:val="none"/>
        </w:rPr>
        <w:t>单位为分钟，可靠性试验车辆进场计</w:t>
      </w:r>
      <w:r>
        <w:rPr>
          <w:rFonts w:hint="eastAsia"/>
          <w:highlight w:val="none"/>
          <w:lang w:val="en-US" w:eastAsia="zh-CN"/>
        </w:rPr>
        <w:t>费</w:t>
      </w:r>
      <w:r>
        <w:rPr>
          <w:rFonts w:hint="eastAsia"/>
          <w:highlight w:val="none"/>
        </w:rPr>
        <w:t>单位为公里。</w:t>
      </w:r>
    </w:p>
    <w:p>
      <w:pPr>
        <w:pStyle w:val="54"/>
        <w:rPr>
          <w:rFonts w:hint="eastAsia"/>
          <w:highlight w:val="none"/>
        </w:rPr>
      </w:pPr>
      <w:r>
        <w:rPr>
          <w:rFonts w:hint="eastAsia"/>
          <w:highlight w:val="none"/>
        </w:rPr>
        <w:t>☆1.2</w:t>
      </w:r>
      <w:r>
        <w:rPr>
          <w:rFonts w:hint="eastAsia"/>
          <w:highlight w:val="none"/>
          <w:lang w:val="en-US" w:eastAsia="zh-CN"/>
        </w:rPr>
        <w:t xml:space="preserve"> </w:t>
      </w:r>
      <w:r>
        <w:rPr>
          <w:rFonts w:hint="eastAsia"/>
          <w:highlight w:val="none"/>
        </w:rPr>
        <w:t>招标方根据各自场地使用情况及各自收费标准，性能及可靠性试验场地报价应包含场地管理费用，后续签订合同结算时不再单独计算场地管理费用。</w:t>
      </w:r>
    </w:p>
    <w:p>
      <w:pPr>
        <w:pStyle w:val="54"/>
        <w:rPr>
          <w:rFonts w:hint="eastAsia" w:ascii="仿宋" w:hAnsi="仿宋" w:cs="仿宋"/>
          <w:b/>
          <w:bCs w:val="0"/>
          <w:color w:val="000000" w:themeColor="text1"/>
          <w:highlight w:val="none"/>
          <w:lang w:val="en-US" w:eastAsia="zh-CN"/>
          <w14:textFill>
            <w14:solidFill>
              <w14:schemeClr w14:val="tx1"/>
            </w14:solidFill>
          </w14:textFill>
        </w:rPr>
      </w:pPr>
      <w:r>
        <w:rPr>
          <w:rFonts w:hint="eastAsia"/>
          <w:highlight w:val="none"/>
        </w:rPr>
        <w:t>☆1.</w:t>
      </w:r>
      <w:r>
        <w:rPr>
          <w:rFonts w:hint="eastAsia"/>
          <w:highlight w:val="none"/>
          <w:lang w:val="en-US" w:eastAsia="zh-CN"/>
        </w:rPr>
        <w:t xml:space="preserve">3 </w:t>
      </w:r>
      <w:r>
        <w:rPr>
          <w:rFonts w:hint="eastAsia"/>
          <w:highlight w:val="none"/>
          <w:lang w:eastAsia="zh-CN"/>
        </w:rPr>
        <w:t>“</w:t>
      </w:r>
      <w:r>
        <w:rPr>
          <w:rFonts w:hint="eastAsia"/>
          <w:highlight w:val="none"/>
        </w:rPr>
        <w:t>投标报价明细表</w:t>
      </w:r>
      <w:r>
        <w:rPr>
          <w:rFonts w:hint="eastAsia"/>
          <w:highlight w:val="none"/>
          <w:lang w:eastAsia="zh-CN"/>
        </w:rPr>
        <w:t>”</w:t>
      </w:r>
      <w:r>
        <w:rPr>
          <w:rFonts w:hint="eastAsia" w:ascii="仿宋" w:hAnsi="仿宋" w:cs="仿宋"/>
          <w:b/>
          <w:bCs w:val="0"/>
          <w:color w:val="000000" w:themeColor="text1"/>
          <w:highlight w:val="none"/>
          <w:lang w:val="en-US" w:eastAsia="zh-CN"/>
          <w14:textFill>
            <w14:solidFill>
              <w14:schemeClr w14:val="tx1"/>
            </w14:solidFill>
          </w14:textFill>
        </w:rPr>
        <w:t>所有报价应为该场地向社会公布的各单项价格同比例调整而来。</w:t>
      </w:r>
    </w:p>
    <w:p>
      <w:pPr>
        <w:pStyle w:val="54"/>
        <w:rPr>
          <w:rFonts w:hint="eastAsia"/>
          <w:highlight w:val="none"/>
        </w:rPr>
      </w:pPr>
      <w:r>
        <w:rPr>
          <w:rFonts w:hint="eastAsia"/>
          <w:highlight w:val="none"/>
        </w:rPr>
        <w:t>☆1.</w:t>
      </w:r>
      <w:r>
        <w:rPr>
          <w:rFonts w:hint="eastAsia"/>
          <w:highlight w:val="none"/>
          <w:lang w:val="en-US" w:eastAsia="zh-CN"/>
        </w:rPr>
        <w:t xml:space="preserve">4 </w:t>
      </w:r>
      <w:r>
        <w:rPr>
          <w:rFonts w:hint="eastAsia"/>
          <w:highlight w:val="none"/>
        </w:rPr>
        <w:t>场地允许单轴最大载荷不小于13吨，</w:t>
      </w:r>
      <w:r>
        <w:rPr>
          <w:rFonts w:hint="eastAsia"/>
          <w:highlight w:val="none"/>
          <w:lang w:val="en-US" w:eastAsia="zh-CN"/>
        </w:rPr>
        <w:t>允许整车</w:t>
      </w:r>
      <w:r>
        <w:rPr>
          <w:rFonts w:hint="eastAsia"/>
          <w:highlight w:val="none"/>
        </w:rPr>
        <w:t>总质量不小于50吨。</w:t>
      </w:r>
    </w:p>
    <w:p>
      <w:pPr>
        <w:pStyle w:val="80"/>
        <w:rPr>
          <w:sz w:val="24"/>
          <w:szCs w:val="24"/>
          <w:highlight w:val="none"/>
        </w:rPr>
      </w:pPr>
      <w:r>
        <w:rPr>
          <w:rFonts w:hint="eastAsia"/>
          <w:sz w:val="24"/>
          <w:szCs w:val="24"/>
          <w:highlight w:val="none"/>
        </w:rPr>
        <w:t>二、</w:t>
      </w:r>
      <w:r>
        <w:rPr>
          <w:rFonts w:hint="eastAsia"/>
          <w:sz w:val="24"/>
          <w:szCs w:val="24"/>
          <w:highlight w:val="none"/>
          <w:lang w:val="en-US" w:eastAsia="zh-CN"/>
        </w:rPr>
        <w:t>性能</w:t>
      </w:r>
      <w:r>
        <w:rPr>
          <w:rFonts w:hint="eastAsia"/>
          <w:sz w:val="24"/>
          <w:szCs w:val="24"/>
          <w:highlight w:val="none"/>
        </w:rPr>
        <w:t>场地技术要求</w:t>
      </w:r>
    </w:p>
    <w:p>
      <w:pPr>
        <w:pStyle w:val="54"/>
        <w:rPr>
          <w:highlight w:val="none"/>
        </w:rPr>
      </w:pPr>
      <w:r>
        <w:rPr>
          <w:rFonts w:hint="eastAsia"/>
          <w:highlight w:val="none"/>
        </w:rPr>
        <w:t>2.1</w:t>
      </w:r>
      <w:r>
        <w:rPr>
          <w:rFonts w:hint="eastAsia"/>
          <w:highlight w:val="none"/>
          <w:lang w:val="en-US" w:eastAsia="zh-CN"/>
        </w:rPr>
        <w:t xml:space="preserve"> 直线</w:t>
      </w:r>
      <w:r>
        <w:rPr>
          <w:rFonts w:hint="eastAsia"/>
          <w:highlight w:val="none"/>
        </w:rPr>
        <w:t>性能路</w:t>
      </w:r>
      <w:r>
        <w:rPr>
          <w:rFonts w:hint="eastAsia"/>
          <w:highlight w:val="none"/>
          <w:lang w:val="en-US" w:eastAsia="zh-CN"/>
        </w:rPr>
        <w:t>单一方向有效</w:t>
      </w:r>
      <w:r>
        <w:rPr>
          <w:rFonts w:hint="eastAsia"/>
          <w:highlight w:val="none"/>
        </w:rPr>
        <w:t>直线段长度不小于2000m</w:t>
      </w:r>
      <w:r>
        <w:rPr>
          <w:rFonts w:hint="eastAsia"/>
          <w:highlight w:val="none"/>
          <w:lang w:eastAsia="zh-CN"/>
        </w:rPr>
        <w:t>；</w:t>
      </w:r>
      <w:r>
        <w:rPr>
          <w:rFonts w:hint="eastAsia"/>
          <w:highlight w:val="none"/>
        </w:rPr>
        <w:t>路面宽度不小于8m，纵向坡度在0.1%以内，</w:t>
      </w:r>
      <w:r>
        <w:rPr>
          <w:rFonts w:hint="eastAsia"/>
          <w:highlight w:val="none"/>
          <w:lang w:val="en-US" w:eastAsia="zh-CN"/>
        </w:rPr>
        <w:t>满足GB/T 12536-2017</w:t>
      </w:r>
      <w:r>
        <w:rPr>
          <w:rFonts w:hint="eastAsia"/>
          <w:highlight w:val="none"/>
        </w:rPr>
        <w:t>的试验要求</w:t>
      </w:r>
      <w:r>
        <w:rPr>
          <w:rFonts w:hint="eastAsia"/>
          <w:highlight w:val="none"/>
          <w:lang w:eastAsia="zh-CN"/>
        </w:rPr>
        <w:t>，</w:t>
      </w:r>
      <w:r>
        <w:rPr>
          <w:rFonts w:hint="eastAsia"/>
          <w:highlight w:val="none"/>
        </w:rPr>
        <w:t>并能提供有效期的检测报告。</w:t>
      </w:r>
    </w:p>
    <w:p>
      <w:pPr>
        <w:pStyle w:val="54"/>
        <w:rPr>
          <w:highlight w:val="none"/>
        </w:rPr>
      </w:pPr>
      <w:r>
        <w:rPr>
          <w:rFonts w:hint="eastAsia"/>
          <w:highlight w:val="none"/>
        </w:rPr>
        <w:t>2.2</w:t>
      </w:r>
      <w:r>
        <w:rPr>
          <w:rFonts w:hint="eastAsia"/>
          <w:highlight w:val="none"/>
          <w:lang w:val="en-US" w:eastAsia="zh-CN"/>
        </w:rPr>
        <w:t xml:space="preserve"> </w:t>
      </w:r>
      <w:r>
        <w:rPr>
          <w:rFonts w:hint="eastAsia"/>
          <w:highlight w:val="none"/>
        </w:rPr>
        <w:t>动态广场能包含直径为300m的圆形面积，且具有长度不小于400m的加速段</w:t>
      </w:r>
      <w:r>
        <w:rPr>
          <w:rFonts w:hint="eastAsia"/>
          <w:highlight w:val="none"/>
          <w:lang w:eastAsia="zh-CN"/>
        </w:rPr>
        <w:t>；</w:t>
      </w:r>
      <w:r>
        <w:rPr>
          <w:rFonts w:hint="eastAsia"/>
          <w:highlight w:val="none"/>
          <w:lang w:val="en-US" w:eastAsia="zh-CN"/>
        </w:rPr>
        <w:t>场地内</w:t>
      </w:r>
      <w:r>
        <w:rPr>
          <w:rFonts w:hint="eastAsia"/>
          <w:highlight w:val="none"/>
        </w:rPr>
        <w:t>应永久标记半径为12.5m（整圆）、15m（整圆）、50m、100m、125m、150m、250m、500m的圆弧，坡度不大于1%，</w:t>
      </w:r>
      <w:r>
        <w:rPr>
          <w:rFonts w:hint="eastAsia"/>
          <w:highlight w:val="none"/>
          <w:lang w:val="en-US" w:eastAsia="zh-CN"/>
        </w:rPr>
        <w:t>满足GB/T 6323-2014</w:t>
      </w:r>
      <w:r>
        <w:rPr>
          <w:rFonts w:hint="eastAsia"/>
          <w:highlight w:val="none"/>
        </w:rPr>
        <w:t>的试验要求</w:t>
      </w:r>
      <w:r>
        <w:rPr>
          <w:rFonts w:hint="eastAsia"/>
          <w:highlight w:val="none"/>
          <w:lang w:eastAsia="zh-CN"/>
        </w:rPr>
        <w:t>，</w:t>
      </w:r>
      <w:r>
        <w:rPr>
          <w:rFonts w:hint="eastAsia"/>
          <w:highlight w:val="none"/>
        </w:rPr>
        <w:t>并能提供有效期的检测报告。</w:t>
      </w:r>
    </w:p>
    <w:p>
      <w:pPr>
        <w:pStyle w:val="54"/>
        <w:rPr>
          <w:highlight w:val="none"/>
        </w:rPr>
      </w:pPr>
      <w:r>
        <w:rPr>
          <w:rFonts w:hint="eastAsia"/>
          <w:highlight w:val="none"/>
        </w:rPr>
        <w:t>2.3</w:t>
      </w:r>
      <w:r>
        <w:rPr>
          <w:rFonts w:hint="eastAsia"/>
          <w:highlight w:val="none"/>
          <w:lang w:val="en-US" w:eastAsia="zh-CN"/>
        </w:rPr>
        <w:t xml:space="preserve"> </w:t>
      </w:r>
      <w:r>
        <w:rPr>
          <w:rFonts w:hint="eastAsia"/>
          <w:highlight w:val="none"/>
        </w:rPr>
        <w:t>ABS路有保证列车加速到80km/h的加速段，其中低附着道路长度不小于300m</w:t>
      </w:r>
      <w:r>
        <w:rPr>
          <w:rFonts w:hint="eastAsia"/>
          <w:highlight w:val="none"/>
          <w:lang w:eastAsia="zh-CN"/>
        </w:rPr>
        <w:t>，</w:t>
      </w:r>
      <w:r>
        <w:rPr>
          <w:rFonts w:hint="eastAsia"/>
          <w:highlight w:val="none"/>
        </w:rPr>
        <w:t>满足GB</w:t>
      </w:r>
      <w:r>
        <w:rPr>
          <w:rFonts w:hint="eastAsia"/>
          <w:highlight w:val="none"/>
          <w:lang w:val="en-US" w:eastAsia="zh-CN"/>
        </w:rPr>
        <w:t>/T</w:t>
      </w:r>
      <w:r>
        <w:rPr>
          <w:highlight w:val="none"/>
        </w:rPr>
        <w:t xml:space="preserve"> </w:t>
      </w:r>
      <w:r>
        <w:rPr>
          <w:rFonts w:hint="eastAsia"/>
          <w:highlight w:val="none"/>
        </w:rPr>
        <w:t>13594</w:t>
      </w:r>
      <w:r>
        <w:rPr>
          <w:rFonts w:hint="eastAsia"/>
          <w:highlight w:val="none"/>
          <w:lang w:val="en-US" w:eastAsia="zh-CN"/>
        </w:rPr>
        <w:t>-2003</w:t>
      </w:r>
      <w:r>
        <w:rPr>
          <w:rFonts w:hint="eastAsia"/>
          <w:highlight w:val="none"/>
        </w:rPr>
        <w:t>的试验要求，并能提供有效期的检测报告。</w:t>
      </w:r>
    </w:p>
    <w:p>
      <w:pPr>
        <w:pStyle w:val="54"/>
        <w:rPr>
          <w:highlight w:val="none"/>
        </w:rPr>
      </w:pPr>
      <w:r>
        <w:rPr>
          <w:rFonts w:hint="eastAsia"/>
          <w:highlight w:val="none"/>
        </w:rPr>
        <w:t>2.4</w:t>
      </w:r>
      <w:r>
        <w:rPr>
          <w:rFonts w:hint="eastAsia"/>
          <w:highlight w:val="none"/>
          <w:lang w:val="en-US" w:eastAsia="zh-CN"/>
        </w:rPr>
        <w:t xml:space="preserve"> </w:t>
      </w:r>
      <w:r>
        <w:rPr>
          <w:rFonts w:hint="eastAsia"/>
          <w:highlight w:val="none"/>
        </w:rPr>
        <w:t>噪声路总长度不小于500m</w:t>
      </w:r>
      <w:r>
        <w:rPr>
          <w:rFonts w:hint="eastAsia"/>
          <w:highlight w:val="none"/>
          <w:lang w:eastAsia="zh-CN"/>
        </w:rPr>
        <w:t>；</w:t>
      </w:r>
      <w:r>
        <w:rPr>
          <w:rFonts w:hint="eastAsia"/>
          <w:highlight w:val="none"/>
        </w:rPr>
        <w:t>道路满足GB</w:t>
      </w:r>
      <w:r>
        <w:rPr>
          <w:highlight w:val="none"/>
        </w:rPr>
        <w:t xml:space="preserve"> </w:t>
      </w:r>
      <w:r>
        <w:rPr>
          <w:rFonts w:hint="eastAsia"/>
          <w:highlight w:val="none"/>
        </w:rPr>
        <w:t>1495</w:t>
      </w:r>
      <w:r>
        <w:rPr>
          <w:rFonts w:hint="eastAsia"/>
          <w:highlight w:val="none"/>
          <w:lang w:val="en-US" w:eastAsia="zh-CN"/>
        </w:rPr>
        <w:t>-2002</w:t>
      </w:r>
      <w:r>
        <w:rPr>
          <w:rFonts w:hint="eastAsia"/>
          <w:highlight w:val="none"/>
        </w:rPr>
        <w:t>附件AA的要求，并能提供有效期的检测报告。</w:t>
      </w:r>
    </w:p>
    <w:p>
      <w:pPr>
        <w:pStyle w:val="54"/>
        <w:rPr>
          <w:highlight w:val="none"/>
        </w:rPr>
      </w:pPr>
      <w:r>
        <w:rPr>
          <w:rFonts w:hint="eastAsia"/>
          <w:highlight w:val="none"/>
        </w:rPr>
        <w:t>2.5</w:t>
      </w:r>
      <w:r>
        <w:rPr>
          <w:rFonts w:hint="eastAsia"/>
          <w:highlight w:val="none"/>
          <w:lang w:val="en-US" w:eastAsia="zh-CN"/>
        </w:rPr>
        <w:t xml:space="preserve"> 坡道路</w:t>
      </w:r>
      <w:r>
        <w:rPr>
          <w:rFonts w:hint="eastAsia"/>
          <w:highlight w:val="none"/>
        </w:rPr>
        <w:t>至少含有12%、18%、20%和30%的坡道</w:t>
      </w:r>
      <w:r>
        <w:rPr>
          <w:rFonts w:hint="eastAsia"/>
          <w:highlight w:val="none"/>
          <w:lang w:eastAsia="zh-CN"/>
        </w:rPr>
        <w:t>，</w:t>
      </w:r>
      <w:r>
        <w:rPr>
          <w:rFonts w:hint="eastAsia"/>
          <w:highlight w:val="none"/>
        </w:rPr>
        <w:t>满足GB</w:t>
      </w:r>
      <w:r>
        <w:rPr>
          <w:highlight w:val="none"/>
        </w:rPr>
        <w:t xml:space="preserve"> </w:t>
      </w:r>
      <w:r>
        <w:rPr>
          <w:rFonts w:hint="eastAsia"/>
          <w:highlight w:val="none"/>
        </w:rPr>
        <w:t>7258</w:t>
      </w:r>
      <w:r>
        <w:rPr>
          <w:rFonts w:hint="eastAsia"/>
          <w:highlight w:val="none"/>
          <w:lang w:val="en-US" w:eastAsia="zh-CN"/>
        </w:rPr>
        <w:t>-2017</w:t>
      </w:r>
      <w:r>
        <w:rPr>
          <w:rFonts w:hint="eastAsia"/>
          <w:highlight w:val="none"/>
        </w:rPr>
        <w:t>的试验要求，并能提供有效期的检测报告。</w:t>
      </w:r>
    </w:p>
    <w:p>
      <w:pPr>
        <w:pStyle w:val="54"/>
        <w:rPr>
          <w:highlight w:val="none"/>
        </w:rPr>
      </w:pPr>
      <w:r>
        <w:rPr>
          <w:rFonts w:hint="eastAsia"/>
          <w:highlight w:val="none"/>
        </w:rPr>
        <w:t>2.6</w:t>
      </w:r>
      <w:r>
        <w:rPr>
          <w:rFonts w:hint="eastAsia"/>
          <w:highlight w:val="none"/>
          <w:lang w:val="en-US" w:eastAsia="zh-CN"/>
        </w:rPr>
        <w:t xml:space="preserve"> </w:t>
      </w:r>
      <w:r>
        <w:rPr>
          <w:rFonts w:hint="eastAsia"/>
          <w:highlight w:val="none"/>
        </w:rPr>
        <w:t>弯道制动路</w:t>
      </w:r>
      <w:r>
        <w:rPr>
          <w:rFonts w:hint="eastAsia"/>
          <w:highlight w:val="none"/>
          <w:lang w:eastAsia="zh-CN"/>
        </w:rPr>
        <w:t>、</w:t>
      </w:r>
      <w:r>
        <w:rPr>
          <w:rFonts w:hint="eastAsia"/>
          <w:highlight w:val="none"/>
          <w:lang w:val="en-US" w:eastAsia="zh-CN"/>
        </w:rPr>
        <w:t>轮胎湿滑路、NVH路等道路</w:t>
      </w:r>
      <w:r>
        <w:rPr>
          <w:rFonts w:hint="eastAsia"/>
          <w:highlight w:val="none"/>
          <w:lang w:eastAsia="zh-CN"/>
        </w:rPr>
        <w:t>，</w:t>
      </w:r>
      <w:r>
        <w:rPr>
          <w:rFonts w:hint="eastAsia"/>
          <w:highlight w:val="none"/>
        </w:rPr>
        <w:t>满足GB</w:t>
      </w:r>
      <w:r>
        <w:rPr>
          <w:highlight w:val="none"/>
        </w:rPr>
        <w:t xml:space="preserve"> </w:t>
      </w:r>
      <w:r>
        <w:rPr>
          <w:rFonts w:hint="eastAsia"/>
          <w:highlight w:val="none"/>
          <w:lang w:val="en-US" w:eastAsia="zh-CN"/>
        </w:rPr>
        <w:t>1178.1-2018及GB/T 4970-2009的试验</w:t>
      </w:r>
      <w:r>
        <w:rPr>
          <w:rFonts w:hint="eastAsia"/>
          <w:highlight w:val="none"/>
        </w:rPr>
        <w:t>要求，并能提供有效期的检测报告。</w:t>
      </w:r>
    </w:p>
    <w:p>
      <w:pPr>
        <w:pStyle w:val="80"/>
        <w:rPr>
          <w:rFonts w:hint="default" w:eastAsia="宋体"/>
          <w:highlight w:val="none"/>
          <w:lang w:val="en-US" w:eastAsia="zh-CN"/>
        </w:rPr>
      </w:pPr>
      <w:r>
        <w:rPr>
          <w:rFonts w:hint="eastAsia"/>
          <w:sz w:val="24"/>
          <w:szCs w:val="24"/>
          <w:highlight w:val="none"/>
          <w:lang w:val="en-US" w:eastAsia="zh-CN"/>
        </w:rPr>
        <w:t>三、可靠性场地技术要求</w:t>
      </w:r>
    </w:p>
    <w:p>
      <w:pPr>
        <w:pStyle w:val="54"/>
        <w:rPr>
          <w:rFonts w:hint="eastAsia"/>
          <w:highlight w:val="none"/>
          <w:lang w:val="en-US" w:eastAsia="zh-CN"/>
        </w:rPr>
      </w:pPr>
      <w:r>
        <w:rPr>
          <w:rFonts w:hint="eastAsia"/>
          <w:highlight w:val="none"/>
          <w:lang w:val="en-US" w:eastAsia="zh-CN"/>
        </w:rPr>
        <w:t>3.1 强化耐久路路面种类至少应包含以下8种：扭曲路、搓板路、比利时路、鹅卵石路、长波路、短波路、碎石块路、鱼鳞坑路；</w:t>
      </w:r>
    </w:p>
    <w:p>
      <w:pPr>
        <w:pStyle w:val="54"/>
        <w:rPr>
          <w:rFonts w:hint="eastAsia" w:eastAsia="仿宋"/>
          <w:highlight w:val="none"/>
          <w:lang w:eastAsia="zh-CN"/>
        </w:rPr>
      </w:pPr>
      <w:r>
        <w:rPr>
          <w:rFonts w:hint="eastAsia"/>
          <w:highlight w:val="none"/>
          <w:lang w:val="en-US" w:eastAsia="zh-CN"/>
        </w:rPr>
        <w:t>3</w:t>
      </w:r>
      <w:r>
        <w:rPr>
          <w:highlight w:val="none"/>
        </w:rPr>
        <w:t>.</w:t>
      </w:r>
      <w:r>
        <w:rPr>
          <w:rFonts w:hint="eastAsia"/>
          <w:highlight w:val="none"/>
          <w:lang w:val="en-US" w:eastAsia="zh-CN"/>
        </w:rPr>
        <w:t>2 对于轻卡可靠性场地，</w:t>
      </w:r>
      <w:r>
        <w:rPr>
          <w:rFonts w:hint="eastAsia"/>
          <w:highlight w:val="none"/>
        </w:rPr>
        <w:t>道路应能满足</w:t>
      </w:r>
      <w:r>
        <w:rPr>
          <w:rFonts w:hint="eastAsia"/>
          <w:highlight w:val="none"/>
          <w:lang w:val="en-US" w:eastAsia="zh-CN"/>
        </w:rPr>
        <w:t>18吨及以下车型</w:t>
      </w:r>
      <w:r>
        <w:rPr>
          <w:rFonts w:hint="eastAsia"/>
          <w:highlight w:val="none"/>
        </w:rPr>
        <w:t>可靠性试验要求</w:t>
      </w:r>
      <w:r>
        <w:rPr>
          <w:rFonts w:hint="eastAsia"/>
          <w:highlight w:val="none"/>
          <w:lang w:eastAsia="zh-CN"/>
        </w:rPr>
        <w:t>，</w:t>
      </w:r>
      <w:r>
        <w:rPr>
          <w:rFonts w:hint="eastAsia"/>
          <w:highlight w:val="none"/>
          <w:lang w:val="en-US" w:eastAsia="zh-CN"/>
        </w:rPr>
        <w:t>对于重卡可靠性场地，</w:t>
      </w:r>
      <w:r>
        <w:rPr>
          <w:rFonts w:hint="eastAsia"/>
          <w:highlight w:val="none"/>
        </w:rPr>
        <w:t>道路应能满足</w:t>
      </w:r>
      <w:r>
        <w:rPr>
          <w:rFonts w:hint="eastAsia"/>
          <w:highlight w:val="none"/>
          <w:lang w:val="en-US" w:eastAsia="zh-CN"/>
        </w:rPr>
        <w:t>18吨以上及汽车列车的</w:t>
      </w:r>
      <w:r>
        <w:rPr>
          <w:rFonts w:hint="eastAsia"/>
          <w:highlight w:val="none"/>
        </w:rPr>
        <w:t>可靠性试验要求</w:t>
      </w:r>
      <w:r>
        <w:rPr>
          <w:rFonts w:hint="eastAsia"/>
          <w:highlight w:val="none"/>
          <w:lang w:eastAsia="zh-CN"/>
        </w:rPr>
        <w:t>；</w:t>
      </w:r>
    </w:p>
    <w:p>
      <w:pPr>
        <w:pStyle w:val="54"/>
        <w:rPr>
          <w:rFonts w:hint="default" w:eastAsia="仿宋"/>
          <w:highlight w:val="none"/>
          <w:lang w:val="en-US" w:eastAsia="zh-CN"/>
        </w:rPr>
      </w:pPr>
      <w:r>
        <w:rPr>
          <w:rFonts w:hint="eastAsia"/>
          <w:highlight w:val="none"/>
          <w:lang w:val="en-US" w:eastAsia="zh-CN"/>
        </w:rPr>
        <w:t>3.3 场地应同时容纳投标方至少10辆试验车试验需要；</w:t>
      </w:r>
    </w:p>
    <w:p>
      <w:pPr>
        <w:pStyle w:val="54"/>
        <w:rPr>
          <w:rFonts w:hint="eastAsia"/>
          <w:highlight w:val="none"/>
        </w:rPr>
      </w:pPr>
      <w:r>
        <w:rPr>
          <w:rFonts w:hint="eastAsia"/>
          <w:highlight w:val="none"/>
          <w:lang w:val="en-US" w:eastAsia="zh-CN"/>
        </w:rPr>
        <w:t xml:space="preserve">3.4 </w:t>
      </w:r>
      <w:r>
        <w:rPr>
          <w:rFonts w:hint="eastAsia"/>
          <w:highlight w:val="none"/>
        </w:rPr>
        <w:t>能提</w:t>
      </w:r>
      <w:r>
        <w:rPr>
          <w:rFonts w:hint="eastAsia"/>
          <w:highlight w:val="none"/>
          <w:lang w:val="en-US" w:eastAsia="zh-CN"/>
        </w:rPr>
        <w:t>供</w:t>
      </w:r>
      <w:r>
        <w:rPr>
          <w:rFonts w:hint="eastAsia"/>
          <w:highlight w:val="none"/>
        </w:rPr>
        <w:t>合法有效的整车可靠性试验场地服务和技术支持。</w:t>
      </w:r>
    </w:p>
    <w:p>
      <w:pPr>
        <w:pStyle w:val="80"/>
        <w:rPr>
          <w:sz w:val="24"/>
          <w:szCs w:val="24"/>
          <w:highlight w:val="none"/>
        </w:rPr>
      </w:pPr>
      <w:r>
        <w:rPr>
          <w:rFonts w:hint="eastAsia"/>
          <w:sz w:val="24"/>
          <w:szCs w:val="24"/>
          <w:highlight w:val="none"/>
        </w:rPr>
        <w:t>四、服务要求</w:t>
      </w:r>
    </w:p>
    <w:p>
      <w:pPr>
        <w:spacing w:line="360" w:lineRule="auto"/>
        <w:ind w:firstLine="480" w:firstLineChars="200"/>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4.1按照与招标方确认的试验内容及试验期限，为招标方试验车辆提供试验技术服务及其他服务；</w:t>
      </w:r>
    </w:p>
    <w:p>
      <w:pPr>
        <w:spacing w:line="360" w:lineRule="auto"/>
        <w:ind w:firstLine="480" w:firstLineChars="200"/>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4.2负责试验场地及有关设施的完好、安全及使用方面的协调，妥善保管招标方的试验车辆；</w:t>
      </w:r>
    </w:p>
    <w:p>
      <w:pPr>
        <w:spacing w:line="360" w:lineRule="auto"/>
        <w:ind w:firstLine="480" w:firstLineChars="200"/>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4.3未经招标方允许，不向除招标方外的第三方提供招标方试验样品的技术资料及试验结果，不得对招标方试验样品进行拍照；</w:t>
      </w:r>
    </w:p>
    <w:p>
      <w:pPr>
        <w:spacing w:line="360" w:lineRule="auto"/>
        <w:ind w:firstLine="480" w:firstLineChars="200"/>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4.4如因投标方原因造成试验无法继续进行，应及时与招标方协商处理中止或终结试验的相关事宜，并与招标方结算相关费用；</w:t>
      </w:r>
    </w:p>
    <w:p>
      <w:pPr>
        <w:spacing w:line="360" w:lineRule="auto"/>
        <w:ind w:firstLine="480" w:firstLineChars="200"/>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4.5如因投标方原因，造成人员伤亡，财产损失，由投标方承担赔偿责任；</w:t>
      </w:r>
    </w:p>
    <w:p>
      <w:pPr>
        <w:spacing w:line="360" w:lineRule="auto"/>
        <w:ind w:firstLine="480" w:firstLineChars="200"/>
        <w:jc w:val="left"/>
        <w:rPr>
          <w:rFonts w:hint="default" w:ascii="Times New Roman" w:hAnsi="Times New Roman" w:eastAsia="仿宋" w:cs="Times New Roman"/>
          <w:color w:val="000000"/>
          <w:sz w:val="24"/>
          <w:szCs w:val="24"/>
          <w:highlight w:val="none"/>
        </w:rPr>
      </w:pPr>
      <w:r>
        <w:rPr>
          <w:rFonts w:hint="default" w:ascii="Times New Roman" w:hAnsi="Times New Roman" w:eastAsia="仿宋" w:cs="Times New Roman"/>
          <w:color w:val="000000"/>
          <w:sz w:val="24"/>
          <w:szCs w:val="24"/>
          <w:highlight w:val="none"/>
        </w:rPr>
        <w:t>4.6招标方试验车辆在投标方提供的试验场地进行试验过程中，由于第三方的原因造成招标方试验车辆的损坏或人员的伤亡，由投标方协调招标方与第三方之间的相互关系，以利于事故处理；</w:t>
      </w:r>
    </w:p>
    <w:p>
      <w:pPr>
        <w:spacing w:line="360" w:lineRule="auto"/>
        <w:ind w:firstLine="480" w:firstLineChars="200"/>
        <w:jc w:val="left"/>
        <w:rPr>
          <w:rFonts w:hint="eastAsia" w:ascii="仿宋" w:hAnsi="仿宋" w:eastAsia="仿宋"/>
          <w:color w:val="000000"/>
          <w:sz w:val="24"/>
          <w:szCs w:val="24"/>
          <w:highlight w:val="none"/>
        </w:rPr>
      </w:pPr>
      <w:r>
        <w:rPr>
          <w:rFonts w:hint="default" w:ascii="Times New Roman" w:hAnsi="Times New Roman" w:eastAsia="仿宋" w:cs="Times New Roman"/>
          <w:color w:val="000000"/>
          <w:sz w:val="24"/>
          <w:szCs w:val="24"/>
          <w:highlight w:val="none"/>
        </w:rPr>
        <w:t>4.7为招标方试验人员工作及生活条件提供必要的协助。</w:t>
      </w:r>
    </w:p>
    <w:p>
      <w:pPr>
        <w:pStyle w:val="80"/>
        <w:rPr>
          <w:highlight w:val="none"/>
        </w:rPr>
      </w:pPr>
      <w:bookmarkStart w:id="56" w:name="_Toc465187640"/>
      <w:r>
        <w:rPr>
          <w:rFonts w:hint="eastAsia"/>
          <w:highlight w:val="none"/>
        </w:rPr>
        <w:t xml:space="preserve">第二节  </w:t>
      </w:r>
      <w:bookmarkEnd w:id="56"/>
      <w:r>
        <w:rPr>
          <w:rFonts w:hint="eastAsia"/>
          <w:highlight w:val="none"/>
        </w:rPr>
        <w:t>试验车辆维修服务</w:t>
      </w:r>
    </w:p>
    <w:p>
      <w:pPr>
        <w:pStyle w:val="80"/>
        <w:rPr>
          <w:sz w:val="24"/>
          <w:szCs w:val="24"/>
          <w:highlight w:val="none"/>
        </w:rPr>
      </w:pPr>
      <w:r>
        <w:rPr>
          <w:rFonts w:hint="eastAsia"/>
          <w:sz w:val="24"/>
          <w:szCs w:val="24"/>
          <w:highlight w:val="none"/>
        </w:rPr>
        <w:t>一、服务要求</w:t>
      </w:r>
    </w:p>
    <w:p>
      <w:pPr>
        <w:pStyle w:val="54"/>
        <w:rPr>
          <w:highlight w:val="none"/>
        </w:rPr>
      </w:pPr>
      <w:r>
        <w:rPr>
          <w:rFonts w:hint="eastAsia"/>
          <w:highlight w:val="none"/>
        </w:rPr>
        <w:t>1.1投标方需满足《机动车维修管理规定》、《中华人民共和国道路运输条例》等相关法规、标准所规定的条件。</w:t>
      </w:r>
    </w:p>
    <w:p>
      <w:pPr>
        <w:pStyle w:val="54"/>
        <w:rPr>
          <w:highlight w:val="none"/>
        </w:rPr>
      </w:pPr>
      <w:r>
        <w:rPr>
          <w:rFonts w:hint="eastAsia"/>
          <w:highlight w:val="none"/>
        </w:rPr>
        <w:t>1.2投标方需具有维修中大型车的能力，包括但不限于试验车辆改制，整车、总成及零部件维修，辅助招标方进行试验仪器设备安装。</w:t>
      </w:r>
    </w:p>
    <w:p>
      <w:pPr>
        <w:pStyle w:val="54"/>
        <w:rPr>
          <w:highlight w:val="none"/>
        </w:rPr>
      </w:pPr>
      <w:r>
        <w:rPr>
          <w:rFonts w:hint="eastAsia"/>
          <w:highlight w:val="none"/>
        </w:rPr>
        <w:t>1.3投标方需具有封闭厂房、场地及必要的设施、设备，如装载机、叉车、吊车、风炮等。</w:t>
      </w:r>
    </w:p>
    <w:p>
      <w:pPr>
        <w:pStyle w:val="54"/>
        <w:rPr>
          <w:highlight w:val="none"/>
        </w:rPr>
      </w:pPr>
      <w:r>
        <w:rPr>
          <w:rFonts w:hint="eastAsia"/>
          <w:highlight w:val="none"/>
        </w:rPr>
        <w:t>1.4投标方需配备汽车维修技术人员，要求经验丰富，能够处理疑难、复杂的车辆故障。</w:t>
      </w:r>
    </w:p>
    <w:p>
      <w:pPr>
        <w:pStyle w:val="54"/>
        <w:rPr>
          <w:highlight w:val="none"/>
        </w:rPr>
      </w:pPr>
      <w:r>
        <w:rPr>
          <w:rFonts w:hint="eastAsia"/>
          <w:highlight w:val="none"/>
        </w:rPr>
        <w:t>1.5投标方需配备必要的交通工具，能够满足及时、迅速的服务要求以及紧急救援服务要求。</w:t>
      </w:r>
    </w:p>
    <w:p>
      <w:pPr>
        <w:pStyle w:val="54"/>
        <w:rPr>
          <w:highlight w:val="none"/>
        </w:rPr>
      </w:pPr>
      <w:r>
        <w:rPr>
          <w:rFonts w:hint="eastAsia"/>
          <w:highlight w:val="none"/>
        </w:rPr>
        <w:t>1.6投标方需按照招标方工艺要求提供维修服务，及时、高效、保质保量完成。</w:t>
      </w:r>
    </w:p>
    <w:p>
      <w:pPr>
        <w:pStyle w:val="54"/>
        <w:rPr>
          <w:highlight w:val="none"/>
        </w:rPr>
      </w:pPr>
      <w:r>
        <w:rPr>
          <w:rFonts w:hint="eastAsia"/>
          <w:highlight w:val="none"/>
        </w:rPr>
        <w:t>1.7投标方需遵守招标方产品保密规定。</w:t>
      </w:r>
    </w:p>
    <w:p>
      <w:pPr>
        <w:pStyle w:val="54"/>
        <w:rPr>
          <w:highlight w:val="none"/>
        </w:rPr>
      </w:pPr>
      <w:r>
        <w:rPr>
          <w:rFonts w:hint="eastAsia"/>
          <w:color w:val="auto"/>
          <w:highlight w:val="none"/>
        </w:rPr>
        <w:t>1.8投标方中标后需积极配合招标方建立钉钉平台维修费用报账系统，并负责维修项目录入。</w:t>
      </w:r>
    </w:p>
    <w:p>
      <w:pPr>
        <w:pStyle w:val="80"/>
        <w:rPr>
          <w:highlight w:val="none"/>
        </w:rPr>
      </w:pPr>
      <w:r>
        <w:rPr>
          <w:rFonts w:hint="eastAsia"/>
          <w:sz w:val="24"/>
          <w:szCs w:val="24"/>
          <w:highlight w:val="none"/>
        </w:rPr>
        <w:t>二、核算要求</w:t>
      </w:r>
      <w:r>
        <w:rPr>
          <w:rFonts w:hint="eastAsia"/>
          <w:highlight w:val="none"/>
        </w:rPr>
        <w:t>：</w:t>
      </w:r>
    </w:p>
    <w:p>
      <w:pPr>
        <w:pStyle w:val="54"/>
        <w:rPr>
          <w:highlight w:val="none"/>
        </w:rPr>
      </w:pPr>
      <w:r>
        <w:rPr>
          <w:rFonts w:hint="eastAsia"/>
          <w:highlight w:val="none"/>
        </w:rPr>
        <w:t>2.1</w:t>
      </w:r>
      <w:r>
        <w:rPr>
          <w:highlight w:val="none"/>
        </w:rPr>
        <w:t>投标方</w:t>
      </w:r>
      <w:r>
        <w:rPr>
          <w:rFonts w:hint="eastAsia"/>
          <w:highlight w:val="none"/>
        </w:rPr>
        <w:t>需认同工序工时表中的工序要求（包含工序内容、数量、工时、备注）。</w:t>
      </w:r>
    </w:p>
    <w:p>
      <w:pPr>
        <w:pStyle w:val="54"/>
        <w:rPr>
          <w:highlight w:val="none"/>
        </w:rPr>
      </w:pPr>
      <w:r>
        <w:rPr>
          <w:rFonts w:hint="eastAsia"/>
          <w:highlight w:val="none"/>
        </w:rPr>
        <w:t>2.2投标方需根据自身经营情况进行成本核算，整体只报价一个</w:t>
      </w:r>
      <w:r>
        <w:rPr>
          <w:highlight w:val="none"/>
        </w:rPr>
        <w:t>工时单价</w:t>
      </w:r>
      <w:r>
        <w:rPr>
          <w:rFonts w:hint="eastAsia"/>
          <w:highlight w:val="none"/>
        </w:rPr>
        <w:t>。</w:t>
      </w:r>
    </w:p>
    <w:p>
      <w:pPr>
        <w:pStyle w:val="54"/>
        <w:rPr>
          <w:highlight w:val="none"/>
        </w:rPr>
      </w:pPr>
      <w:r>
        <w:rPr>
          <w:rFonts w:hint="eastAsia"/>
          <w:highlight w:val="none"/>
        </w:rPr>
        <w:t>2.3招标方所提供的工序工时表中未包含的工序，后续双方进行价格协商，在维修合同中进行补充。</w:t>
      </w:r>
    </w:p>
    <w:p>
      <w:pPr>
        <w:pStyle w:val="54"/>
        <w:rPr>
          <w:highlight w:val="none"/>
        </w:rPr>
      </w:pPr>
      <w:r>
        <w:rPr>
          <w:rFonts w:hint="eastAsia"/>
          <w:highlight w:val="none"/>
        </w:rPr>
        <w:t>2.4中国重汽集团济南动力有限公司试验车维修服务工序工时表见</w:t>
      </w:r>
      <w:r>
        <w:rPr>
          <w:highlight w:val="none"/>
        </w:rPr>
        <w:t>附</w:t>
      </w:r>
      <w:r>
        <w:rPr>
          <w:rFonts w:hint="eastAsia"/>
          <w:highlight w:val="none"/>
        </w:rPr>
        <w:t>件</w:t>
      </w:r>
      <w:r>
        <w:rPr>
          <w:highlight w:val="none"/>
        </w:rPr>
        <w:t>。</w:t>
      </w:r>
    </w:p>
    <w:p>
      <w:pPr>
        <w:pStyle w:val="80"/>
        <w:rPr>
          <w:highlight w:val="none"/>
        </w:rPr>
      </w:pPr>
      <w:r>
        <w:rPr>
          <w:rFonts w:hint="eastAsia"/>
          <w:highlight w:val="none"/>
        </w:rPr>
        <w:t>第三节  办公室、仓库租赁服务</w:t>
      </w:r>
    </w:p>
    <w:p>
      <w:pPr>
        <w:spacing w:line="420" w:lineRule="exact"/>
        <w:ind w:firstLine="480" w:firstLineChars="200"/>
        <w:rPr>
          <w:rFonts w:hint="default" w:ascii="Times New Roman" w:hAnsi="Times New Roman" w:eastAsia="仿宋" w:cs="Times New Roman"/>
          <w:color w:val="000000"/>
          <w:sz w:val="24"/>
          <w:szCs w:val="24"/>
          <w:highlight w:val="none"/>
        </w:rPr>
      </w:pPr>
      <w:r>
        <w:rPr>
          <w:rFonts w:hint="eastAsia" w:eastAsia="仿宋" w:cs="Times New Roman"/>
          <w:color w:val="000000"/>
          <w:sz w:val="24"/>
          <w:szCs w:val="24"/>
          <w:highlight w:val="none"/>
          <w:lang w:val="en-US" w:eastAsia="zh-CN"/>
        </w:rPr>
        <w:t>3.</w:t>
      </w:r>
      <w:r>
        <w:rPr>
          <w:rFonts w:hint="default" w:ascii="Times New Roman" w:hAnsi="Times New Roman" w:eastAsia="仿宋" w:cs="Times New Roman"/>
          <w:color w:val="000000"/>
          <w:sz w:val="24"/>
          <w:szCs w:val="24"/>
          <w:highlight w:val="none"/>
        </w:rPr>
        <w:t>1办公室需免费提供办公桌椅、网线、空调等必要设施。</w:t>
      </w:r>
    </w:p>
    <w:p>
      <w:pPr>
        <w:spacing w:line="420" w:lineRule="exact"/>
        <w:ind w:firstLine="480" w:firstLineChars="200"/>
        <w:rPr>
          <w:rFonts w:hint="default" w:ascii="Times New Roman" w:hAnsi="Times New Roman" w:eastAsia="仿宋" w:cs="Times New Roman"/>
          <w:color w:val="000000"/>
          <w:sz w:val="24"/>
          <w:szCs w:val="24"/>
          <w:highlight w:val="none"/>
        </w:rPr>
      </w:pPr>
      <w:r>
        <w:rPr>
          <w:rFonts w:hint="eastAsia" w:eastAsia="仿宋" w:cs="Times New Roman"/>
          <w:color w:val="000000"/>
          <w:sz w:val="24"/>
          <w:szCs w:val="24"/>
          <w:highlight w:val="none"/>
          <w:lang w:val="en-US" w:eastAsia="zh-CN"/>
        </w:rPr>
        <w:t>3.</w:t>
      </w:r>
      <w:r>
        <w:rPr>
          <w:rFonts w:hint="default" w:ascii="Times New Roman" w:hAnsi="Times New Roman" w:eastAsia="仿宋" w:cs="Times New Roman"/>
          <w:color w:val="000000"/>
          <w:sz w:val="24"/>
          <w:szCs w:val="24"/>
          <w:highlight w:val="none"/>
        </w:rPr>
        <w:t>2仓库应保证整洁干燥通风，应根据招标方要求免费提供货架。</w:t>
      </w:r>
    </w:p>
    <w:p>
      <w:pPr>
        <w:spacing w:line="420" w:lineRule="exact"/>
        <w:ind w:firstLine="480" w:firstLineChars="200"/>
        <w:rPr>
          <w:rFonts w:hint="default" w:ascii="Times New Roman" w:hAnsi="Times New Roman" w:eastAsia="仿宋" w:cs="Times New Roman"/>
          <w:color w:val="000000"/>
          <w:szCs w:val="21"/>
          <w:highlight w:val="none"/>
        </w:rPr>
      </w:pPr>
      <w:r>
        <w:rPr>
          <w:rFonts w:hint="eastAsia" w:eastAsia="仿宋" w:cs="Times New Roman"/>
          <w:color w:val="000000"/>
          <w:sz w:val="24"/>
          <w:szCs w:val="24"/>
          <w:highlight w:val="none"/>
          <w:lang w:val="en-US" w:eastAsia="zh-CN"/>
        </w:rPr>
        <w:t>3.</w:t>
      </w:r>
      <w:r>
        <w:rPr>
          <w:rFonts w:hint="default" w:ascii="Times New Roman" w:hAnsi="Times New Roman" w:eastAsia="仿宋" w:cs="Times New Roman"/>
          <w:color w:val="000000"/>
          <w:sz w:val="24"/>
          <w:szCs w:val="24"/>
          <w:highlight w:val="none"/>
        </w:rPr>
        <w:t>3投标方需根据自身经营情况进行成本核算，办公室和仓库应以平方米为单位报价。</w:t>
      </w:r>
    </w:p>
    <w:p>
      <w:pPr>
        <w:pStyle w:val="80"/>
        <w:rPr>
          <w:color w:val="000000"/>
          <w:szCs w:val="21"/>
          <w:highlight w:val="none"/>
        </w:rPr>
      </w:pPr>
      <w:r>
        <w:rPr>
          <w:rFonts w:hint="eastAsia"/>
          <w:color w:val="000000"/>
          <w:szCs w:val="21"/>
          <w:highlight w:val="none"/>
        </w:rPr>
        <w:t xml:space="preserve">第四节 </w:t>
      </w:r>
      <w:r>
        <w:rPr>
          <w:color w:val="000000"/>
          <w:szCs w:val="21"/>
          <w:highlight w:val="none"/>
        </w:rPr>
        <w:t xml:space="preserve"> </w:t>
      </w:r>
      <w:r>
        <w:rPr>
          <w:rFonts w:hint="eastAsia"/>
          <w:color w:val="000000"/>
          <w:szCs w:val="21"/>
          <w:highlight w:val="none"/>
        </w:rPr>
        <w:t>车用燃料供给服务</w:t>
      </w:r>
    </w:p>
    <w:p>
      <w:pPr>
        <w:spacing w:line="420" w:lineRule="exact"/>
        <w:ind w:firstLine="480" w:firstLineChars="200"/>
        <w:rPr>
          <w:rFonts w:hint="default" w:ascii="Times New Roman" w:hAnsi="Times New Roman" w:eastAsia="仿宋" w:cs="Times New Roman"/>
          <w:color w:val="000000"/>
          <w:sz w:val="24"/>
          <w:szCs w:val="24"/>
          <w:highlight w:val="none"/>
        </w:rPr>
      </w:pPr>
      <w:r>
        <w:rPr>
          <w:rFonts w:hint="eastAsia" w:eastAsia="仿宋" w:cs="Times New Roman"/>
          <w:color w:val="000000"/>
          <w:sz w:val="24"/>
          <w:szCs w:val="24"/>
          <w:highlight w:val="none"/>
          <w:lang w:val="en-US" w:eastAsia="zh-CN"/>
        </w:rPr>
        <w:t>4.</w:t>
      </w:r>
      <w:r>
        <w:rPr>
          <w:rFonts w:hint="default" w:ascii="Times New Roman" w:hAnsi="Times New Roman" w:eastAsia="仿宋" w:cs="Times New Roman"/>
          <w:color w:val="000000"/>
          <w:sz w:val="24"/>
          <w:szCs w:val="24"/>
          <w:highlight w:val="none"/>
        </w:rPr>
        <w:t>1所提供柴油需满足GB 19147-2016中表3车用柴油（VI）技术要求，并定期提供油品相关证明材料。</w:t>
      </w:r>
    </w:p>
    <w:p>
      <w:pPr>
        <w:spacing w:line="420" w:lineRule="exact"/>
        <w:ind w:firstLine="480" w:firstLineChars="200"/>
        <w:rPr>
          <w:rFonts w:hint="default" w:ascii="Times New Roman" w:hAnsi="Times New Roman" w:eastAsia="仿宋" w:cs="Times New Roman"/>
          <w:color w:val="000000"/>
          <w:sz w:val="24"/>
          <w:szCs w:val="24"/>
          <w:highlight w:val="none"/>
        </w:rPr>
      </w:pPr>
      <w:r>
        <w:rPr>
          <w:rFonts w:hint="eastAsia" w:eastAsia="仿宋" w:cs="Times New Roman"/>
          <w:color w:val="000000"/>
          <w:sz w:val="24"/>
          <w:szCs w:val="24"/>
          <w:highlight w:val="none"/>
          <w:lang w:val="en-US" w:eastAsia="zh-CN"/>
        </w:rPr>
        <w:t>4.</w:t>
      </w:r>
      <w:r>
        <w:rPr>
          <w:rFonts w:hint="default" w:ascii="Times New Roman" w:hAnsi="Times New Roman" w:eastAsia="仿宋" w:cs="Times New Roman"/>
          <w:color w:val="000000"/>
          <w:sz w:val="24"/>
          <w:szCs w:val="24"/>
          <w:highlight w:val="none"/>
        </w:rPr>
        <w:t>2以方便试验基地内试验车辆加油为前提，可通过1）投标在基地内建设加油站2）投标方提供加油车到基地内加油3）试验车辆自行到加油站加油的方式进行供油。无论采用上述哪种方式，均需提供相关加油计量设备，并提供检定合格证明。</w:t>
      </w:r>
    </w:p>
    <w:p>
      <w:pPr>
        <w:spacing w:line="420" w:lineRule="exact"/>
        <w:ind w:firstLine="480" w:firstLineChars="200"/>
        <w:rPr>
          <w:rFonts w:hint="default" w:ascii="Times New Roman" w:hAnsi="Times New Roman" w:eastAsia="仿宋" w:cs="Times New Roman"/>
          <w:color w:val="000000"/>
          <w:sz w:val="24"/>
          <w:szCs w:val="24"/>
          <w:highlight w:val="none"/>
        </w:rPr>
      </w:pPr>
      <w:r>
        <w:rPr>
          <w:rFonts w:hint="eastAsia" w:eastAsia="仿宋" w:cs="Times New Roman"/>
          <w:color w:val="000000"/>
          <w:sz w:val="24"/>
          <w:szCs w:val="24"/>
          <w:highlight w:val="none"/>
          <w:lang w:val="en-US" w:eastAsia="zh-CN"/>
        </w:rPr>
        <w:t>4.</w:t>
      </w:r>
      <w:r>
        <w:rPr>
          <w:rFonts w:hint="default" w:ascii="Times New Roman" w:hAnsi="Times New Roman" w:eastAsia="仿宋" w:cs="Times New Roman"/>
          <w:color w:val="000000"/>
          <w:sz w:val="24"/>
          <w:szCs w:val="24"/>
          <w:highlight w:val="none"/>
        </w:rPr>
        <w:t>3若采用加油车到基地内加油的方式进行供油，车辆需满足相关消防和安全要求，且应为年检合格挂牌车辆，同时提供加油车辆《道路运输经营许可证》，</w:t>
      </w:r>
    </w:p>
    <w:p>
      <w:pPr>
        <w:spacing w:line="420" w:lineRule="exact"/>
        <w:ind w:firstLine="480" w:firstLineChars="200"/>
        <w:rPr>
          <w:rFonts w:hint="default" w:ascii="Times New Roman" w:hAnsi="Times New Roman" w:eastAsia="仿宋" w:cs="Times New Roman"/>
          <w:color w:val="000000"/>
          <w:sz w:val="24"/>
          <w:szCs w:val="24"/>
          <w:highlight w:val="none"/>
        </w:rPr>
      </w:pPr>
      <w:r>
        <w:rPr>
          <w:rFonts w:hint="eastAsia" w:eastAsia="仿宋" w:cs="Times New Roman"/>
          <w:color w:val="000000"/>
          <w:sz w:val="24"/>
          <w:szCs w:val="24"/>
          <w:highlight w:val="none"/>
          <w:lang w:val="en-US" w:eastAsia="zh-CN"/>
        </w:rPr>
        <w:t>4.</w:t>
      </w:r>
      <w:r>
        <w:rPr>
          <w:rFonts w:hint="default" w:ascii="Times New Roman" w:hAnsi="Times New Roman" w:eastAsia="仿宋" w:cs="Times New Roman"/>
          <w:color w:val="000000"/>
          <w:sz w:val="24"/>
          <w:szCs w:val="24"/>
          <w:highlight w:val="none"/>
        </w:rPr>
        <w:t>4若采用试验车辆自行到加油站加油的方式供油，加油站到基地出入口的距离需≤2km，基地到加油站的交通状况应良好（路口少、社会车辆少、最好无交通信号灯），加油站应能满足汽车列车加油的需要，且能满足3辆及以上试验车同时加油的需要；加油站应协调与当地交警、路政的关系，保证试验车辆通过顺畅，并能在发生交通事故时协助出面处理事故。</w:t>
      </w:r>
    </w:p>
    <w:p>
      <w:pPr>
        <w:spacing w:line="420" w:lineRule="exact"/>
        <w:ind w:firstLine="480" w:firstLineChars="200"/>
        <w:rPr>
          <w:rFonts w:hint="default" w:ascii="Times New Roman" w:hAnsi="Times New Roman" w:eastAsia="仿宋" w:cs="Times New Roman"/>
          <w:color w:val="000000"/>
          <w:sz w:val="24"/>
          <w:szCs w:val="24"/>
          <w:highlight w:val="none"/>
        </w:rPr>
      </w:pPr>
      <w:r>
        <w:rPr>
          <w:rFonts w:hint="eastAsia" w:eastAsia="仿宋" w:cs="Times New Roman"/>
          <w:color w:val="000000"/>
          <w:sz w:val="24"/>
          <w:szCs w:val="24"/>
          <w:highlight w:val="none"/>
          <w:lang w:val="en-US" w:eastAsia="zh-CN"/>
        </w:rPr>
        <w:t>4.</w:t>
      </w:r>
      <w:r>
        <w:rPr>
          <w:rFonts w:hint="default" w:ascii="Times New Roman" w:hAnsi="Times New Roman" w:eastAsia="仿宋" w:cs="Times New Roman"/>
          <w:color w:val="000000"/>
          <w:sz w:val="24"/>
          <w:szCs w:val="24"/>
          <w:highlight w:val="none"/>
        </w:rPr>
        <w:t>5定价方式：可以根据国家规定的调价时间进行价格浮动调整，但同期价格不得高于中石化、中石油在售同类油品的市场价格。</w:t>
      </w:r>
    </w:p>
    <w:p>
      <w:pPr>
        <w:spacing w:line="420" w:lineRule="exact"/>
        <w:ind w:firstLine="480" w:firstLineChars="200"/>
        <w:rPr>
          <w:rFonts w:ascii="仿宋" w:hAnsi="仿宋" w:eastAsia="仿宋"/>
          <w:color w:val="000000"/>
          <w:sz w:val="24"/>
          <w:szCs w:val="24"/>
          <w:highlight w:val="none"/>
        </w:rPr>
      </w:pPr>
    </w:p>
    <w:p>
      <w:pPr>
        <w:widowControl/>
        <w:jc w:val="left"/>
        <w:rPr>
          <w:rFonts w:ascii="宋体" w:hAnsi="宋体"/>
          <w:color w:val="000000"/>
          <w:sz w:val="24"/>
          <w:szCs w:val="24"/>
          <w:highlight w:val="none"/>
        </w:rPr>
      </w:pPr>
      <w:r>
        <w:rPr>
          <w:rFonts w:ascii="宋体" w:hAnsi="宋体"/>
          <w:color w:val="000000"/>
          <w:sz w:val="24"/>
          <w:szCs w:val="24"/>
          <w:highlight w:val="none"/>
        </w:rPr>
        <w:br w:type="page"/>
      </w:r>
    </w:p>
    <w:p>
      <w:pPr>
        <w:pStyle w:val="2"/>
        <w:spacing w:line="360" w:lineRule="auto"/>
        <w:jc w:val="center"/>
        <w:rPr>
          <w:rFonts w:hAnsi="宋体" w:cs="宋体"/>
          <w:b/>
          <w:bCs/>
          <w:color w:val="000000"/>
          <w:sz w:val="36"/>
          <w:szCs w:val="36"/>
          <w:highlight w:val="none"/>
        </w:rPr>
      </w:pPr>
    </w:p>
    <w:p>
      <w:pPr>
        <w:pStyle w:val="71"/>
        <w:spacing w:line="240" w:lineRule="atLeast"/>
        <w:rPr>
          <w:highlight w:val="none"/>
        </w:rPr>
      </w:pPr>
      <w:bookmarkStart w:id="57" w:name="_Toc283814116"/>
      <w:r>
        <w:rPr>
          <w:rFonts w:hint="eastAsia"/>
          <w:highlight w:val="none"/>
          <w:lang w:val="en-US" w:eastAsia="zh-CN"/>
        </w:rPr>
        <w:t>附录A</w:t>
      </w:r>
      <w:r>
        <w:rPr>
          <w:rFonts w:hint="eastAsia"/>
          <w:highlight w:val="none"/>
        </w:rPr>
        <w:t xml:space="preserve">  试验场地技术服务合同</w:t>
      </w:r>
    </w:p>
    <w:p>
      <w:pPr>
        <w:ind w:right="-189" w:rightChars="-90"/>
        <w:rPr>
          <w:rFonts w:ascii="等线" w:hAnsi="等线" w:eastAsia="等线"/>
          <w:b/>
          <w:sz w:val="24"/>
          <w:szCs w:val="24"/>
          <w:highlight w:val="none"/>
        </w:rPr>
      </w:pPr>
    </w:p>
    <w:p>
      <w:pPr>
        <w:adjustRightInd w:val="0"/>
        <w:snapToGrid w:val="0"/>
        <w:spacing w:line="360" w:lineRule="auto"/>
        <w:jc w:val="left"/>
        <w:rPr>
          <w:rFonts w:ascii="等线" w:hAnsi="等线" w:eastAsia="等线"/>
          <w:sz w:val="24"/>
          <w:szCs w:val="24"/>
          <w:highlight w:val="none"/>
        </w:rPr>
      </w:pPr>
      <w:r>
        <w:rPr>
          <w:rFonts w:ascii="等线" w:hAnsi="等线" w:eastAsia="等线"/>
          <w:sz w:val="24"/>
          <w:szCs w:val="24"/>
          <w:highlight w:val="none"/>
        </w:rPr>
        <w:t xml:space="preserve">                                          </w:t>
      </w:r>
      <w:r>
        <w:rPr>
          <w:rFonts w:hint="eastAsia" w:ascii="等线" w:hAnsi="等线" w:eastAsia="等线"/>
          <w:sz w:val="24"/>
          <w:szCs w:val="24"/>
          <w:highlight w:val="none"/>
        </w:rPr>
        <w:t xml:space="preserve">  </w:t>
      </w:r>
    </w:p>
    <w:p>
      <w:pPr>
        <w:wordWrap w:val="0"/>
        <w:adjustRightInd w:val="0"/>
        <w:snapToGrid w:val="0"/>
        <w:spacing w:line="360" w:lineRule="auto"/>
        <w:jc w:val="right"/>
        <w:rPr>
          <w:rFonts w:ascii="等线" w:hAnsi="等线" w:eastAsia="等线"/>
          <w:b/>
          <w:sz w:val="24"/>
          <w:szCs w:val="24"/>
          <w:highlight w:val="none"/>
        </w:rPr>
      </w:pPr>
      <w:r>
        <w:rPr>
          <w:rFonts w:ascii="等线" w:hAnsi="等线" w:eastAsia="等线"/>
          <w:b/>
          <w:sz w:val="24"/>
          <w:szCs w:val="24"/>
          <w:highlight w:val="none"/>
        </w:rPr>
        <w:t>编号：</w:t>
      </w:r>
      <w:r>
        <w:rPr>
          <w:rFonts w:ascii="等线" w:hAnsi="等线" w:eastAsia="等线"/>
          <w:b/>
          <w:sz w:val="24"/>
          <w:szCs w:val="24"/>
          <w:highlight w:val="none"/>
          <w:u w:val="thick"/>
        </w:rPr>
        <w:t xml:space="preserve">                  </w:t>
      </w:r>
    </w:p>
    <w:p>
      <w:pPr>
        <w:adjustRightInd w:val="0"/>
        <w:snapToGrid w:val="0"/>
        <w:spacing w:line="360" w:lineRule="auto"/>
        <w:jc w:val="left"/>
        <w:rPr>
          <w:rFonts w:ascii="等线" w:hAnsi="等线" w:eastAsia="等线"/>
          <w:sz w:val="24"/>
          <w:szCs w:val="24"/>
          <w:highlight w:val="none"/>
        </w:rPr>
      </w:pPr>
    </w:p>
    <w:p>
      <w:pPr>
        <w:adjustRightInd w:val="0"/>
        <w:snapToGrid w:val="0"/>
        <w:spacing w:line="360" w:lineRule="auto"/>
        <w:jc w:val="left"/>
        <w:rPr>
          <w:rFonts w:ascii="等线" w:hAnsi="等线" w:eastAsia="等线"/>
          <w:sz w:val="24"/>
          <w:szCs w:val="24"/>
          <w:highlight w:val="none"/>
        </w:rPr>
      </w:pPr>
    </w:p>
    <w:p>
      <w:pPr>
        <w:adjustRightInd w:val="0"/>
        <w:snapToGrid w:val="0"/>
        <w:spacing w:line="360" w:lineRule="auto"/>
        <w:jc w:val="left"/>
        <w:rPr>
          <w:rFonts w:ascii="等线" w:hAnsi="等线" w:eastAsia="等线"/>
          <w:sz w:val="24"/>
          <w:szCs w:val="24"/>
          <w:highlight w:val="none"/>
        </w:rPr>
      </w:pPr>
    </w:p>
    <w:p>
      <w:pPr>
        <w:adjustRightInd w:val="0"/>
        <w:snapToGrid w:val="0"/>
        <w:spacing w:line="360" w:lineRule="auto"/>
        <w:jc w:val="left"/>
        <w:rPr>
          <w:rFonts w:ascii="等线" w:hAnsi="等线" w:eastAsia="等线"/>
          <w:sz w:val="24"/>
          <w:szCs w:val="24"/>
          <w:highlight w:val="none"/>
        </w:rPr>
      </w:pPr>
    </w:p>
    <w:p>
      <w:pPr>
        <w:adjustRightInd w:val="0"/>
        <w:snapToGrid w:val="0"/>
        <w:spacing w:line="360" w:lineRule="auto"/>
        <w:jc w:val="center"/>
        <w:rPr>
          <w:rFonts w:ascii="等线" w:hAnsi="等线" w:eastAsia="等线"/>
          <w:b/>
          <w:bCs/>
          <w:sz w:val="24"/>
          <w:szCs w:val="24"/>
          <w:highlight w:val="none"/>
        </w:rPr>
      </w:pPr>
      <w:r>
        <w:rPr>
          <w:rFonts w:hint="eastAsia" w:ascii="等线" w:hAnsi="等线" w:eastAsia="等线"/>
          <w:b/>
          <w:bCs/>
          <w:sz w:val="24"/>
          <w:szCs w:val="24"/>
          <w:highlight w:val="none"/>
        </w:rPr>
        <w:t>试验场地技术服务</w:t>
      </w:r>
      <w:r>
        <w:rPr>
          <w:rFonts w:ascii="等线" w:hAnsi="等线" w:eastAsia="等线"/>
          <w:b/>
          <w:bCs/>
          <w:sz w:val="24"/>
          <w:szCs w:val="24"/>
          <w:highlight w:val="none"/>
        </w:rPr>
        <w:t>合同</w:t>
      </w:r>
    </w:p>
    <w:p>
      <w:pPr>
        <w:adjustRightInd w:val="0"/>
        <w:snapToGrid w:val="0"/>
        <w:spacing w:line="360" w:lineRule="auto"/>
        <w:jc w:val="center"/>
        <w:rPr>
          <w:rFonts w:asciiTheme="minorEastAsia" w:hAnsiTheme="minorEastAsia" w:eastAsiaTheme="minorEastAsia"/>
          <w:b/>
          <w:sz w:val="24"/>
          <w:szCs w:val="24"/>
          <w:highlight w:val="none"/>
        </w:rPr>
      </w:pPr>
      <w:r>
        <w:rPr>
          <w:rFonts w:hint="eastAsia" w:asciiTheme="minorEastAsia" w:hAnsiTheme="minorEastAsia" w:eastAsiaTheme="minorEastAsia"/>
          <w:b/>
          <w:bCs/>
          <w:sz w:val="24"/>
          <w:szCs w:val="24"/>
          <w:highlight w:val="none"/>
        </w:rPr>
        <w:t>（</w:t>
      </w:r>
      <w:r>
        <w:rPr>
          <w:rFonts w:hint="eastAsia" w:asciiTheme="minorEastAsia" w:hAnsiTheme="minorEastAsia" w:eastAsiaTheme="minorEastAsia"/>
          <w:bCs/>
          <w:sz w:val="24"/>
          <w:szCs w:val="24"/>
          <w:highlight w:val="none"/>
        </w:rPr>
        <w:t>以最终签署版为准</w:t>
      </w:r>
      <w:r>
        <w:rPr>
          <w:rFonts w:hint="eastAsia" w:asciiTheme="minorEastAsia" w:hAnsiTheme="minorEastAsia" w:eastAsiaTheme="minorEastAsia"/>
          <w:b/>
          <w:bCs/>
          <w:sz w:val="24"/>
          <w:szCs w:val="24"/>
          <w:highlight w:val="none"/>
        </w:rPr>
        <w:t>）</w:t>
      </w:r>
    </w:p>
    <w:p>
      <w:pPr>
        <w:adjustRightInd w:val="0"/>
        <w:snapToGrid w:val="0"/>
        <w:spacing w:line="360" w:lineRule="auto"/>
        <w:jc w:val="left"/>
        <w:rPr>
          <w:rFonts w:ascii="等线" w:hAnsi="等线" w:eastAsia="等线"/>
          <w:b/>
          <w:sz w:val="24"/>
          <w:szCs w:val="24"/>
          <w:highlight w:val="none"/>
        </w:rPr>
      </w:pPr>
    </w:p>
    <w:p>
      <w:pPr>
        <w:adjustRightInd w:val="0"/>
        <w:snapToGrid w:val="0"/>
        <w:spacing w:line="360" w:lineRule="auto"/>
        <w:jc w:val="left"/>
        <w:rPr>
          <w:rFonts w:ascii="等线" w:hAnsi="等线" w:eastAsia="等线"/>
          <w:b/>
          <w:sz w:val="24"/>
          <w:szCs w:val="24"/>
          <w:highlight w:val="none"/>
        </w:rPr>
      </w:pPr>
    </w:p>
    <w:p>
      <w:pPr>
        <w:adjustRightInd w:val="0"/>
        <w:snapToGrid w:val="0"/>
        <w:spacing w:line="360" w:lineRule="auto"/>
        <w:jc w:val="left"/>
        <w:rPr>
          <w:rFonts w:ascii="等线" w:hAnsi="等线" w:eastAsia="等线"/>
          <w:b/>
          <w:sz w:val="24"/>
          <w:szCs w:val="24"/>
          <w:highlight w:val="none"/>
        </w:rPr>
      </w:pPr>
    </w:p>
    <w:p>
      <w:pPr>
        <w:adjustRightInd w:val="0"/>
        <w:snapToGrid w:val="0"/>
        <w:spacing w:line="360" w:lineRule="auto"/>
        <w:jc w:val="left"/>
        <w:rPr>
          <w:rFonts w:ascii="等线" w:hAnsi="等线" w:eastAsia="等线"/>
          <w:b/>
          <w:sz w:val="24"/>
          <w:szCs w:val="24"/>
          <w:highlight w:val="none"/>
        </w:rPr>
      </w:pPr>
    </w:p>
    <w:p>
      <w:pPr>
        <w:adjustRightInd w:val="0"/>
        <w:snapToGrid w:val="0"/>
        <w:spacing w:line="360" w:lineRule="auto"/>
        <w:jc w:val="left"/>
        <w:rPr>
          <w:rFonts w:ascii="等线" w:hAnsi="等线" w:eastAsia="等线"/>
          <w:b/>
          <w:sz w:val="24"/>
          <w:szCs w:val="24"/>
          <w:highlight w:val="none"/>
        </w:rPr>
      </w:pPr>
    </w:p>
    <w:p>
      <w:pPr>
        <w:adjustRightInd w:val="0"/>
        <w:snapToGrid w:val="0"/>
        <w:spacing w:line="360" w:lineRule="auto"/>
        <w:jc w:val="left"/>
        <w:rPr>
          <w:rFonts w:ascii="等线" w:hAnsi="等线" w:eastAsia="等线"/>
          <w:b/>
          <w:sz w:val="24"/>
          <w:szCs w:val="24"/>
          <w:highlight w:val="none"/>
        </w:rPr>
      </w:pPr>
    </w:p>
    <w:p>
      <w:pPr>
        <w:adjustRightInd w:val="0"/>
        <w:snapToGrid w:val="0"/>
        <w:spacing w:line="360" w:lineRule="auto"/>
        <w:jc w:val="left"/>
        <w:rPr>
          <w:rFonts w:ascii="等线" w:hAnsi="等线" w:eastAsia="等线"/>
          <w:b/>
          <w:sz w:val="24"/>
          <w:szCs w:val="24"/>
          <w:highlight w:val="none"/>
        </w:rPr>
      </w:pPr>
    </w:p>
    <w:p>
      <w:pPr>
        <w:adjustRightInd w:val="0"/>
        <w:snapToGrid w:val="0"/>
        <w:spacing w:line="360" w:lineRule="auto"/>
        <w:ind w:firstLine="1628" w:firstLineChars="678"/>
        <w:jc w:val="left"/>
        <w:rPr>
          <w:rFonts w:ascii="等线" w:hAnsi="等线" w:eastAsia="等线"/>
          <w:b/>
          <w:sz w:val="24"/>
          <w:szCs w:val="24"/>
          <w:highlight w:val="none"/>
        </w:rPr>
      </w:pPr>
      <w:r>
        <w:rPr>
          <w:rFonts w:hint="eastAsia" w:ascii="等线" w:hAnsi="等线" w:eastAsia="等线"/>
          <w:b/>
          <w:sz w:val="24"/>
          <w:szCs w:val="24"/>
          <w:highlight w:val="none"/>
        </w:rPr>
        <w:t>甲  方：</w:t>
      </w:r>
      <w:r>
        <w:rPr>
          <w:rFonts w:ascii="等线" w:hAnsi="等线" w:eastAsia="等线"/>
          <w:b/>
          <w:sz w:val="24"/>
          <w:szCs w:val="24"/>
          <w:highlight w:val="none"/>
          <w:u w:val="thick"/>
        </w:rPr>
        <w:t xml:space="preserve">                           </w:t>
      </w:r>
    </w:p>
    <w:p>
      <w:pPr>
        <w:adjustRightInd w:val="0"/>
        <w:snapToGrid w:val="0"/>
        <w:spacing w:line="360" w:lineRule="auto"/>
        <w:ind w:firstLine="1628" w:firstLineChars="678"/>
        <w:jc w:val="left"/>
        <w:rPr>
          <w:rFonts w:ascii="等线" w:hAnsi="等线" w:eastAsia="等线"/>
          <w:b/>
          <w:sz w:val="24"/>
          <w:szCs w:val="24"/>
          <w:highlight w:val="none"/>
        </w:rPr>
      </w:pPr>
    </w:p>
    <w:p>
      <w:pPr>
        <w:adjustRightInd w:val="0"/>
        <w:snapToGrid w:val="0"/>
        <w:spacing w:line="360" w:lineRule="auto"/>
        <w:ind w:firstLine="1628" w:firstLineChars="678"/>
        <w:jc w:val="left"/>
        <w:rPr>
          <w:rFonts w:ascii="等线" w:hAnsi="等线" w:eastAsia="等线"/>
          <w:b/>
          <w:sz w:val="24"/>
          <w:szCs w:val="24"/>
          <w:highlight w:val="none"/>
        </w:rPr>
      </w:pPr>
      <w:r>
        <w:rPr>
          <w:rFonts w:hint="eastAsia" w:ascii="等线" w:hAnsi="等线" w:eastAsia="等线"/>
          <w:b/>
          <w:sz w:val="24"/>
          <w:szCs w:val="24"/>
          <w:highlight w:val="none"/>
        </w:rPr>
        <w:t>乙  方：</w:t>
      </w:r>
      <w:r>
        <w:rPr>
          <w:rFonts w:ascii="等线" w:hAnsi="等线" w:eastAsia="等线"/>
          <w:b/>
          <w:sz w:val="24"/>
          <w:szCs w:val="24"/>
          <w:highlight w:val="none"/>
          <w:u w:val="thick"/>
        </w:rPr>
        <w:t xml:space="preserve">                           </w:t>
      </w:r>
    </w:p>
    <w:p>
      <w:pPr>
        <w:adjustRightInd w:val="0"/>
        <w:snapToGrid w:val="0"/>
        <w:spacing w:line="360" w:lineRule="auto"/>
        <w:ind w:firstLine="1628" w:firstLineChars="678"/>
        <w:jc w:val="left"/>
        <w:rPr>
          <w:rFonts w:ascii="等线" w:hAnsi="等线" w:eastAsia="等线"/>
          <w:b/>
          <w:sz w:val="24"/>
          <w:szCs w:val="24"/>
          <w:highlight w:val="none"/>
        </w:rPr>
      </w:pPr>
    </w:p>
    <w:p>
      <w:pPr>
        <w:adjustRightInd w:val="0"/>
        <w:snapToGrid w:val="0"/>
        <w:spacing w:line="360" w:lineRule="auto"/>
        <w:ind w:firstLine="1628" w:firstLineChars="678"/>
        <w:jc w:val="left"/>
        <w:rPr>
          <w:rFonts w:ascii="等线" w:hAnsi="等线" w:eastAsia="等线"/>
          <w:b/>
          <w:sz w:val="24"/>
          <w:szCs w:val="24"/>
          <w:highlight w:val="none"/>
        </w:rPr>
      </w:pPr>
      <w:r>
        <w:rPr>
          <w:rFonts w:hint="eastAsia" w:ascii="等线" w:hAnsi="等线" w:eastAsia="等线"/>
          <w:b/>
          <w:sz w:val="24"/>
          <w:szCs w:val="24"/>
          <w:highlight w:val="none"/>
        </w:rPr>
        <w:t>签订日期：</w:t>
      </w:r>
      <w:r>
        <w:rPr>
          <w:rFonts w:ascii="等线" w:hAnsi="等线" w:eastAsia="等线"/>
          <w:b/>
          <w:sz w:val="24"/>
          <w:szCs w:val="24"/>
          <w:highlight w:val="none"/>
          <w:u w:val="thick"/>
        </w:rPr>
        <w:t xml:space="preserve">       </w:t>
      </w:r>
      <w:r>
        <w:rPr>
          <w:rFonts w:hint="eastAsia" w:ascii="等线" w:hAnsi="等线" w:eastAsia="等线"/>
          <w:b/>
          <w:sz w:val="24"/>
          <w:szCs w:val="24"/>
          <w:highlight w:val="none"/>
        </w:rPr>
        <w:t>年</w:t>
      </w:r>
      <w:r>
        <w:rPr>
          <w:rFonts w:ascii="等线" w:hAnsi="等线" w:eastAsia="等线"/>
          <w:b/>
          <w:sz w:val="24"/>
          <w:szCs w:val="24"/>
          <w:highlight w:val="none"/>
          <w:u w:val="thick"/>
        </w:rPr>
        <w:t xml:space="preserve">      </w:t>
      </w:r>
      <w:r>
        <w:rPr>
          <w:rFonts w:hint="eastAsia" w:ascii="等线" w:hAnsi="等线" w:eastAsia="等线"/>
          <w:b/>
          <w:sz w:val="24"/>
          <w:szCs w:val="24"/>
          <w:highlight w:val="none"/>
        </w:rPr>
        <w:t>月</w:t>
      </w:r>
      <w:r>
        <w:rPr>
          <w:rFonts w:ascii="等线" w:hAnsi="等线" w:eastAsia="等线"/>
          <w:b/>
          <w:sz w:val="24"/>
          <w:szCs w:val="24"/>
          <w:highlight w:val="none"/>
          <w:u w:val="thick"/>
        </w:rPr>
        <w:t xml:space="preserve">      </w:t>
      </w:r>
      <w:r>
        <w:rPr>
          <w:rFonts w:hint="eastAsia" w:ascii="等线" w:hAnsi="等线" w:eastAsia="等线"/>
          <w:b/>
          <w:sz w:val="24"/>
          <w:szCs w:val="24"/>
          <w:highlight w:val="none"/>
        </w:rPr>
        <w:t>日</w:t>
      </w:r>
    </w:p>
    <w:p>
      <w:pPr>
        <w:rPr>
          <w:rFonts w:ascii="等线" w:hAnsi="等线" w:eastAsia="等线"/>
          <w:sz w:val="24"/>
          <w:szCs w:val="24"/>
          <w:highlight w:val="none"/>
        </w:rPr>
      </w:pPr>
    </w:p>
    <w:p>
      <w:pPr>
        <w:rPr>
          <w:rFonts w:ascii="等线" w:hAnsi="等线" w:eastAsia="等线"/>
          <w:sz w:val="24"/>
          <w:szCs w:val="24"/>
          <w:highlight w:val="none"/>
        </w:rPr>
      </w:pPr>
    </w:p>
    <w:p>
      <w:pPr>
        <w:rPr>
          <w:rFonts w:ascii="等线" w:hAnsi="等线" w:eastAsia="等线"/>
          <w:sz w:val="24"/>
          <w:szCs w:val="24"/>
          <w:highlight w:val="none"/>
        </w:rPr>
      </w:pPr>
    </w:p>
    <w:p>
      <w:pPr>
        <w:rPr>
          <w:rFonts w:ascii="等线" w:hAnsi="等线" w:eastAsia="等线"/>
          <w:sz w:val="24"/>
          <w:szCs w:val="24"/>
          <w:highlight w:val="none"/>
        </w:rPr>
      </w:pPr>
    </w:p>
    <w:p>
      <w:pPr>
        <w:spacing w:line="360" w:lineRule="auto"/>
        <w:jc w:val="center"/>
        <w:rPr>
          <w:rFonts w:ascii="等线" w:hAnsi="等线" w:eastAsia="等线" w:cs="宋体"/>
          <w:bCs/>
          <w:sz w:val="24"/>
          <w:szCs w:val="24"/>
          <w:highlight w:val="none"/>
        </w:rPr>
      </w:pPr>
    </w:p>
    <w:p>
      <w:pPr>
        <w:spacing w:line="360" w:lineRule="auto"/>
        <w:ind w:right="480"/>
        <w:jc w:val="center"/>
        <w:rPr>
          <w:rFonts w:ascii="等线" w:hAnsi="等线" w:eastAsia="等线" w:cs="宋体"/>
          <w:bCs/>
          <w:sz w:val="24"/>
          <w:szCs w:val="24"/>
          <w:highlight w:val="none"/>
          <w:u w:val="single"/>
        </w:rPr>
      </w:pPr>
      <w:r>
        <w:rPr>
          <w:rFonts w:hint="eastAsia" w:ascii="等线" w:hAnsi="等线" w:eastAsia="等线" w:cs="宋体"/>
          <w:bCs/>
          <w:sz w:val="24"/>
          <w:szCs w:val="24"/>
          <w:highlight w:val="none"/>
        </w:rPr>
        <w:t xml:space="preserve">                                        </w:t>
      </w:r>
      <w:r>
        <w:rPr>
          <w:rFonts w:hint="eastAsia" w:ascii="等线" w:hAnsi="等线" w:eastAsia="等线"/>
          <w:sz w:val="24"/>
          <w:szCs w:val="24"/>
          <w:highlight w:val="none"/>
          <w:u w:val="single"/>
        </w:rPr>
        <w:t xml:space="preserve">        </w:t>
      </w:r>
    </w:p>
    <w:p>
      <w:pPr>
        <w:spacing w:line="360" w:lineRule="auto"/>
        <w:rPr>
          <w:rFonts w:ascii="等线" w:hAnsi="等线" w:eastAsia="等线" w:cs="宋体"/>
          <w:bCs/>
          <w:sz w:val="24"/>
          <w:szCs w:val="24"/>
          <w:highlight w:val="none"/>
        </w:rPr>
        <w:sectPr>
          <w:headerReference r:id="rId7" w:type="default"/>
          <w:footerReference r:id="rId8" w:type="default"/>
          <w:pgSz w:w="11907" w:h="16840"/>
          <w:pgMar w:top="1785" w:right="1418" w:bottom="1418" w:left="1418" w:header="724" w:footer="851" w:gutter="0"/>
          <w:cols w:space="720" w:num="1"/>
          <w:docGrid w:linePitch="290" w:charSpace="-3931"/>
        </w:sectPr>
      </w:pPr>
    </w:p>
    <w:p>
      <w:pPr>
        <w:spacing w:line="360" w:lineRule="auto"/>
        <w:rPr>
          <w:rFonts w:ascii="等线" w:hAnsi="等线" w:eastAsia="等线" w:cs="宋体"/>
          <w:bCs/>
          <w:sz w:val="24"/>
          <w:szCs w:val="24"/>
          <w:highlight w:val="none"/>
        </w:rPr>
      </w:pPr>
      <w:r>
        <w:rPr>
          <w:rFonts w:hint="eastAsia" w:ascii="等线" w:hAnsi="等线" w:eastAsia="等线" w:cs="宋体"/>
          <w:bCs/>
          <w:sz w:val="24"/>
          <w:szCs w:val="24"/>
          <w:highlight w:val="none"/>
        </w:rPr>
        <w:t xml:space="preserve"> 甲方（买方）：</w:t>
      </w:r>
      <w:r>
        <w:rPr>
          <w:rFonts w:hint="eastAsia" w:ascii="等线" w:hAnsi="等线" w:eastAsia="等线" w:cs="宋体"/>
          <w:b/>
          <w:bCs/>
          <w:sz w:val="24"/>
          <w:szCs w:val="24"/>
          <w:highlight w:val="none"/>
          <w:u w:val="single"/>
        </w:rPr>
        <w:t xml:space="preserve">          </w:t>
      </w:r>
      <w:r>
        <w:rPr>
          <w:rFonts w:hint="eastAsia" w:ascii="等线" w:hAnsi="等线" w:eastAsia="等线" w:cs="宋体"/>
          <w:bCs/>
          <w:sz w:val="24"/>
          <w:szCs w:val="24"/>
          <w:highlight w:val="none"/>
        </w:rPr>
        <w:t xml:space="preserve">      </w:t>
      </w:r>
    </w:p>
    <w:p>
      <w:pPr>
        <w:spacing w:line="360" w:lineRule="auto"/>
        <w:rPr>
          <w:rFonts w:ascii="等线" w:hAnsi="等线" w:eastAsia="等线" w:cs="宋体"/>
          <w:bCs/>
          <w:sz w:val="24"/>
          <w:szCs w:val="24"/>
          <w:highlight w:val="none"/>
        </w:rPr>
      </w:pPr>
      <w:r>
        <w:rPr>
          <w:rFonts w:hint="eastAsia" w:ascii="等线" w:hAnsi="等线" w:eastAsia="等线" w:cs="宋体"/>
          <w:bCs/>
          <w:sz w:val="24"/>
          <w:szCs w:val="24"/>
          <w:highlight w:val="none"/>
        </w:rPr>
        <w:t xml:space="preserve">    </w:t>
      </w:r>
    </w:p>
    <w:p>
      <w:pPr>
        <w:ind w:right="-189" w:rightChars="-90" w:firstLine="120" w:firstLineChars="50"/>
        <w:jc w:val="left"/>
        <w:rPr>
          <w:rFonts w:ascii="等线" w:hAnsi="等线" w:eastAsia="等线" w:cs="宋体"/>
          <w:b/>
          <w:bCs/>
          <w:sz w:val="24"/>
          <w:szCs w:val="24"/>
          <w:highlight w:val="none"/>
          <w:u w:val="single"/>
        </w:rPr>
      </w:pPr>
      <w:r>
        <w:rPr>
          <w:rFonts w:hint="eastAsia" w:ascii="等线" w:hAnsi="等线" w:eastAsia="等线" w:cs="宋体"/>
          <w:bCs/>
          <w:sz w:val="24"/>
          <w:szCs w:val="24"/>
          <w:highlight w:val="none"/>
        </w:rPr>
        <w:t>乙方（卖方）：</w:t>
      </w:r>
      <w:r>
        <w:rPr>
          <w:rFonts w:hint="eastAsia" w:ascii="等线" w:hAnsi="等线" w:eastAsia="等线" w:cs="宋体"/>
          <w:b/>
          <w:bCs/>
          <w:sz w:val="24"/>
          <w:szCs w:val="24"/>
          <w:highlight w:val="none"/>
          <w:u w:val="single"/>
        </w:rPr>
        <w:t xml:space="preserve">          </w:t>
      </w:r>
    </w:p>
    <w:p>
      <w:pPr>
        <w:ind w:right="-189" w:rightChars="-90" w:firstLine="120" w:firstLineChars="50"/>
        <w:jc w:val="left"/>
        <w:rPr>
          <w:rFonts w:ascii="等线" w:hAnsi="等线" w:eastAsia="等线" w:cs="宋体"/>
          <w:b/>
          <w:bCs/>
          <w:sz w:val="24"/>
          <w:szCs w:val="24"/>
          <w:highlight w:val="none"/>
          <w:u w:val="single"/>
        </w:rPr>
      </w:pPr>
    </w:p>
    <w:p>
      <w:pPr>
        <w:ind w:right="-189" w:rightChars="-90" w:firstLine="120" w:firstLineChars="50"/>
        <w:jc w:val="left"/>
        <w:rPr>
          <w:rFonts w:ascii="等线" w:hAnsi="等线" w:eastAsia="等线" w:cs="宋体"/>
          <w:b/>
          <w:bCs/>
          <w:sz w:val="24"/>
          <w:szCs w:val="24"/>
          <w:highlight w:val="none"/>
          <w:u w:val="single"/>
        </w:rPr>
      </w:pPr>
    </w:p>
    <w:p>
      <w:pPr>
        <w:spacing w:line="360" w:lineRule="auto"/>
        <w:ind w:firstLine="480" w:firstLineChars="200"/>
        <w:jc w:val="left"/>
        <w:rPr>
          <w:sz w:val="24"/>
          <w:highlight w:val="none"/>
        </w:rPr>
      </w:pPr>
      <w:r>
        <w:rPr>
          <w:rFonts w:hint="eastAsia"/>
          <w:sz w:val="24"/>
          <w:highlight w:val="none"/>
        </w:rPr>
        <w:t>甲乙双方本着平等互惠、诚实信用的原则，就甲方租用乙方试验场地、办公室及备品备件库房，以及委托乙方为甲方提供车辆维修、设备租赁和试验测试服务等相关事宜进行协商，达成如下协议：</w:t>
      </w:r>
    </w:p>
    <w:p>
      <w:pPr>
        <w:spacing w:line="360" w:lineRule="auto"/>
        <w:ind w:firstLine="482" w:firstLineChars="200"/>
        <w:jc w:val="left"/>
        <w:rPr>
          <w:b/>
          <w:sz w:val="24"/>
          <w:highlight w:val="none"/>
        </w:rPr>
      </w:pPr>
      <w:r>
        <w:rPr>
          <w:rFonts w:hint="eastAsia" w:ascii="黑体" w:hAnsi="黑体" w:eastAsia="黑体" w:cs="黑体"/>
          <w:b/>
          <w:sz w:val="24"/>
          <w:highlight w:val="none"/>
        </w:rPr>
        <w:t>一、合同内容</w:t>
      </w:r>
    </w:p>
    <w:p>
      <w:pPr>
        <w:spacing w:line="360" w:lineRule="auto"/>
        <w:ind w:left="-23" w:leftChars="-11" w:firstLine="480" w:firstLineChars="200"/>
        <w:jc w:val="left"/>
        <w:rPr>
          <w:sz w:val="24"/>
          <w:highlight w:val="none"/>
        </w:rPr>
      </w:pPr>
      <w:r>
        <w:rPr>
          <w:rFonts w:hint="eastAsia"/>
          <w:sz w:val="24"/>
          <w:highlight w:val="none"/>
        </w:rPr>
        <w:t>（一）本合同旨在确定甲方租用乙方试验场地、办公室及备品备件库房的相关事宜；具体的收费项目及收费标准见</w:t>
      </w:r>
      <w:r>
        <w:rPr>
          <w:rFonts w:hint="eastAsia"/>
          <w:b/>
          <w:bCs/>
          <w:sz w:val="24"/>
          <w:highlight w:val="none"/>
        </w:rPr>
        <w:t xml:space="preserve">附件： </w:t>
      </w:r>
      <w:r>
        <w:rPr>
          <w:b/>
          <w:bCs/>
          <w:sz w:val="24"/>
          <w:highlight w:val="none"/>
        </w:rPr>
        <w:t xml:space="preserve">          </w:t>
      </w:r>
      <w:r>
        <w:rPr>
          <w:rFonts w:hint="eastAsia"/>
          <w:sz w:val="24"/>
          <w:highlight w:val="none"/>
        </w:rPr>
        <w:t>；</w:t>
      </w:r>
    </w:p>
    <w:p>
      <w:pPr>
        <w:spacing w:line="360" w:lineRule="auto"/>
        <w:ind w:left="-23" w:leftChars="-11" w:firstLine="480" w:firstLineChars="200"/>
        <w:jc w:val="left"/>
        <w:rPr>
          <w:sz w:val="24"/>
          <w:highlight w:val="none"/>
        </w:rPr>
      </w:pPr>
      <w:r>
        <w:rPr>
          <w:rFonts w:hint="eastAsia"/>
          <w:sz w:val="24"/>
          <w:highlight w:val="none"/>
        </w:rPr>
        <w:t>（二）本合同旨在确定乙方为甲方提供车辆维修、设备租赁和试验测试服务的相关事宜，具体的服务项目及收费标准见</w:t>
      </w:r>
      <w:r>
        <w:rPr>
          <w:rFonts w:hint="eastAsia"/>
          <w:b/>
          <w:bCs/>
          <w:sz w:val="24"/>
          <w:highlight w:val="none"/>
        </w:rPr>
        <w:t xml:space="preserve">附件： </w:t>
      </w:r>
      <w:r>
        <w:rPr>
          <w:b/>
          <w:bCs/>
          <w:sz w:val="24"/>
          <w:highlight w:val="none"/>
        </w:rPr>
        <w:t xml:space="preserve">           </w:t>
      </w:r>
      <w:r>
        <w:rPr>
          <w:rFonts w:hint="eastAsia"/>
          <w:b/>
          <w:bCs/>
          <w:sz w:val="24"/>
          <w:highlight w:val="none"/>
        </w:rPr>
        <w:t>；</w:t>
      </w:r>
      <w:r>
        <w:rPr>
          <w:rFonts w:hint="eastAsia"/>
          <w:sz w:val="24"/>
          <w:highlight w:val="none"/>
        </w:rPr>
        <w:t>其中维修项目明细见</w:t>
      </w:r>
      <w:r>
        <w:rPr>
          <w:rFonts w:hint="eastAsia"/>
          <w:b/>
          <w:sz w:val="24"/>
          <w:highlight w:val="none"/>
        </w:rPr>
        <w:t>附件：中国重汽集团济南动力有限公司试验车维修服务工序工时表。</w:t>
      </w:r>
    </w:p>
    <w:p>
      <w:pPr>
        <w:spacing w:line="360" w:lineRule="auto"/>
        <w:ind w:left="-23" w:leftChars="-11" w:firstLine="480" w:firstLineChars="200"/>
        <w:jc w:val="left"/>
        <w:rPr>
          <w:sz w:val="24"/>
          <w:highlight w:val="none"/>
        </w:rPr>
      </w:pPr>
      <w:r>
        <w:rPr>
          <w:rFonts w:hint="eastAsia"/>
          <w:sz w:val="24"/>
          <w:highlight w:val="none"/>
        </w:rPr>
        <w:t>（三）对于</w:t>
      </w:r>
      <w:r>
        <w:rPr>
          <w:rFonts w:hint="eastAsia"/>
          <w:b/>
          <w:bCs/>
          <w:sz w:val="24"/>
          <w:highlight w:val="none"/>
        </w:rPr>
        <w:t xml:space="preserve">附件： </w:t>
      </w:r>
      <w:r>
        <w:rPr>
          <w:b/>
          <w:bCs/>
          <w:sz w:val="24"/>
          <w:highlight w:val="none"/>
        </w:rPr>
        <w:t xml:space="preserve">                                </w:t>
      </w:r>
      <w:r>
        <w:rPr>
          <w:rFonts w:hint="eastAsia"/>
          <w:sz w:val="24"/>
          <w:highlight w:val="none"/>
        </w:rPr>
        <w:t>中未列明的项目，可根据甲方的实际需要，由甲乙双方协商确定试验内容及收费标准。</w:t>
      </w:r>
    </w:p>
    <w:p>
      <w:pPr>
        <w:spacing w:line="360" w:lineRule="auto"/>
        <w:ind w:firstLine="482" w:firstLineChars="200"/>
        <w:jc w:val="left"/>
        <w:rPr>
          <w:b/>
          <w:sz w:val="24"/>
          <w:highlight w:val="none"/>
        </w:rPr>
      </w:pPr>
      <w:r>
        <w:rPr>
          <w:rFonts w:hint="eastAsia" w:ascii="黑体" w:hAnsi="黑体" w:eastAsia="黑体" w:cs="黑体"/>
          <w:b/>
          <w:sz w:val="24"/>
          <w:highlight w:val="none"/>
        </w:rPr>
        <w:t>二、双方责任</w:t>
      </w:r>
    </w:p>
    <w:p>
      <w:pPr>
        <w:spacing w:line="360" w:lineRule="auto"/>
        <w:ind w:firstLine="482" w:firstLineChars="200"/>
        <w:jc w:val="left"/>
        <w:rPr>
          <w:b/>
          <w:sz w:val="24"/>
          <w:highlight w:val="none"/>
        </w:rPr>
      </w:pPr>
      <w:r>
        <w:rPr>
          <w:rFonts w:hint="eastAsia"/>
          <w:b/>
          <w:sz w:val="24"/>
          <w:highlight w:val="none"/>
        </w:rPr>
        <w:t>（一）甲方责任</w:t>
      </w:r>
    </w:p>
    <w:p>
      <w:pPr>
        <w:spacing w:line="360" w:lineRule="auto"/>
        <w:ind w:firstLine="480" w:firstLineChars="200"/>
        <w:jc w:val="left"/>
        <w:rPr>
          <w:sz w:val="24"/>
          <w:highlight w:val="none"/>
        </w:rPr>
      </w:pPr>
      <w:r>
        <w:rPr>
          <w:rFonts w:hint="eastAsia"/>
          <w:sz w:val="24"/>
          <w:highlight w:val="none"/>
        </w:rPr>
        <w:t>1.试验进行前，甲方应提前与乙方确认试验内容以及试验进行的时间及期限，并提供试验车辆、试验备件及试验需要的技术资料；</w:t>
      </w:r>
    </w:p>
    <w:p>
      <w:pPr>
        <w:spacing w:line="360" w:lineRule="auto"/>
        <w:ind w:firstLine="480" w:firstLineChars="200"/>
        <w:jc w:val="left"/>
        <w:rPr>
          <w:sz w:val="24"/>
          <w:highlight w:val="none"/>
        </w:rPr>
      </w:pPr>
      <w:r>
        <w:rPr>
          <w:rFonts w:hint="eastAsia"/>
          <w:sz w:val="24"/>
          <w:highlight w:val="none"/>
        </w:rPr>
        <w:t>2.如因甲方原因造成试验期限延误，应及时与乙方协商确定新的试验日期；</w:t>
      </w:r>
    </w:p>
    <w:p>
      <w:pPr>
        <w:spacing w:line="360" w:lineRule="auto"/>
        <w:ind w:firstLine="480" w:firstLineChars="200"/>
        <w:jc w:val="left"/>
        <w:rPr>
          <w:sz w:val="24"/>
          <w:highlight w:val="none"/>
        </w:rPr>
      </w:pPr>
      <w:r>
        <w:rPr>
          <w:rFonts w:hint="eastAsia"/>
          <w:sz w:val="24"/>
          <w:highlight w:val="none"/>
        </w:rPr>
        <w:t>3.如因甲方原因造成试验无法继续进行，应及时与乙方协商处理中止或终结试验的相关事宜，并与乙方结算相关费用；</w:t>
      </w:r>
    </w:p>
    <w:p>
      <w:pPr>
        <w:spacing w:line="360" w:lineRule="auto"/>
        <w:ind w:firstLine="480" w:firstLineChars="200"/>
        <w:jc w:val="left"/>
        <w:rPr>
          <w:sz w:val="24"/>
          <w:highlight w:val="none"/>
        </w:rPr>
      </w:pPr>
      <w:r>
        <w:rPr>
          <w:rFonts w:hint="eastAsia"/>
          <w:sz w:val="24"/>
          <w:highlight w:val="none"/>
        </w:rPr>
        <w:t>4.负责试验车辆保险及牌证、养路费等交通规费以及验期间甲方试验人员生活费用（若交乙方办理，需支付相应费用）；</w:t>
      </w:r>
    </w:p>
    <w:p>
      <w:pPr>
        <w:spacing w:line="360" w:lineRule="auto"/>
        <w:ind w:firstLine="480" w:firstLineChars="200"/>
        <w:jc w:val="left"/>
        <w:rPr>
          <w:sz w:val="24"/>
          <w:highlight w:val="none"/>
        </w:rPr>
      </w:pPr>
      <w:r>
        <w:rPr>
          <w:rFonts w:hint="eastAsia"/>
          <w:sz w:val="24"/>
          <w:highlight w:val="none"/>
        </w:rPr>
        <w:t>5.如因甲方原因，造成人员伤亡，财产损失，由甲方承担赔偿责任；</w:t>
      </w:r>
    </w:p>
    <w:p>
      <w:pPr>
        <w:spacing w:line="360" w:lineRule="auto"/>
        <w:ind w:firstLine="480" w:firstLineChars="200"/>
        <w:jc w:val="left"/>
        <w:rPr>
          <w:sz w:val="24"/>
          <w:highlight w:val="none"/>
        </w:rPr>
      </w:pPr>
      <w:r>
        <w:rPr>
          <w:rFonts w:hint="eastAsia"/>
          <w:sz w:val="24"/>
          <w:highlight w:val="none"/>
        </w:rPr>
        <w:t>6.依据合同约定时间，按照</w:t>
      </w:r>
      <w:r>
        <w:rPr>
          <w:rFonts w:hint="eastAsia"/>
          <w:b/>
          <w:sz w:val="24"/>
          <w:highlight w:val="none"/>
        </w:rPr>
        <w:t>附件：</w:t>
      </w:r>
      <w:r>
        <w:rPr>
          <w:b/>
          <w:bCs/>
          <w:sz w:val="24"/>
          <w:highlight w:val="none"/>
        </w:rPr>
        <w:t xml:space="preserve">                                    </w:t>
      </w:r>
      <w:r>
        <w:rPr>
          <w:rFonts w:hint="eastAsia"/>
          <w:sz w:val="24"/>
          <w:highlight w:val="none"/>
        </w:rPr>
        <w:t>向乙方支付费用；</w:t>
      </w:r>
    </w:p>
    <w:p>
      <w:pPr>
        <w:spacing w:line="360" w:lineRule="auto"/>
        <w:ind w:firstLine="480" w:firstLineChars="200"/>
        <w:jc w:val="left"/>
        <w:rPr>
          <w:color w:val="FF0000"/>
          <w:sz w:val="24"/>
          <w:highlight w:val="none"/>
        </w:rPr>
      </w:pPr>
      <w:r>
        <w:rPr>
          <w:rFonts w:hint="eastAsia"/>
          <w:sz w:val="24"/>
          <w:highlight w:val="none"/>
        </w:rPr>
        <w:t>7.试验完成或终结后，甲方应于三个月内回收试验车辆、备件及相关技术资料。</w:t>
      </w:r>
    </w:p>
    <w:p>
      <w:pPr>
        <w:spacing w:line="360" w:lineRule="auto"/>
        <w:ind w:firstLine="482" w:firstLineChars="200"/>
        <w:jc w:val="left"/>
        <w:rPr>
          <w:sz w:val="24"/>
          <w:highlight w:val="none"/>
        </w:rPr>
      </w:pPr>
      <w:r>
        <w:rPr>
          <w:rFonts w:hint="eastAsia"/>
          <w:b/>
          <w:sz w:val="24"/>
          <w:highlight w:val="none"/>
        </w:rPr>
        <w:t>（二）乙方责任</w:t>
      </w:r>
    </w:p>
    <w:p>
      <w:pPr>
        <w:spacing w:line="360" w:lineRule="auto"/>
        <w:ind w:firstLine="480" w:firstLineChars="200"/>
        <w:jc w:val="left"/>
        <w:rPr>
          <w:sz w:val="24"/>
          <w:highlight w:val="none"/>
        </w:rPr>
      </w:pPr>
      <w:r>
        <w:rPr>
          <w:rFonts w:hint="eastAsia"/>
          <w:sz w:val="24"/>
          <w:highlight w:val="none"/>
        </w:rPr>
        <w:t>1.按照与甲方确认的试验内容及试验期限，为甲方试验车辆提供试验技术服务及其他服务；</w:t>
      </w:r>
    </w:p>
    <w:p>
      <w:pPr>
        <w:spacing w:line="360" w:lineRule="auto"/>
        <w:ind w:firstLine="480" w:firstLineChars="200"/>
        <w:jc w:val="left"/>
        <w:rPr>
          <w:sz w:val="24"/>
          <w:highlight w:val="none"/>
        </w:rPr>
      </w:pPr>
      <w:r>
        <w:rPr>
          <w:rFonts w:hint="eastAsia"/>
          <w:sz w:val="24"/>
          <w:highlight w:val="none"/>
        </w:rPr>
        <w:t>2.负责试验场地及有关设施的完好、安全及使用方面的协调，妥善保管甲方的试验车辆；</w:t>
      </w:r>
    </w:p>
    <w:p>
      <w:pPr>
        <w:spacing w:line="360" w:lineRule="auto"/>
        <w:ind w:firstLine="480" w:firstLineChars="200"/>
        <w:jc w:val="left"/>
        <w:rPr>
          <w:sz w:val="24"/>
          <w:highlight w:val="none"/>
        </w:rPr>
      </w:pPr>
      <w:r>
        <w:rPr>
          <w:rFonts w:hint="eastAsia"/>
          <w:sz w:val="24"/>
          <w:highlight w:val="none"/>
        </w:rPr>
        <w:t>3.未经甲方允许，不向除甲方外的第三方提供甲方试验样品的技术资料及试验结果，不得对甲方试验样品进行拍照；</w:t>
      </w:r>
    </w:p>
    <w:p>
      <w:pPr>
        <w:spacing w:line="360" w:lineRule="auto"/>
        <w:ind w:firstLine="480" w:firstLineChars="200"/>
        <w:jc w:val="left"/>
        <w:rPr>
          <w:sz w:val="24"/>
          <w:highlight w:val="none"/>
        </w:rPr>
      </w:pPr>
      <w:r>
        <w:rPr>
          <w:rFonts w:hint="eastAsia"/>
          <w:sz w:val="24"/>
          <w:highlight w:val="none"/>
        </w:rPr>
        <w:t>4.如因乙方原因造成试验无法继续进行，应及时与甲方协商处理中止或终结试验的相关事宜，并与甲方结算相关费用；</w:t>
      </w:r>
    </w:p>
    <w:p>
      <w:pPr>
        <w:spacing w:line="360" w:lineRule="auto"/>
        <w:ind w:firstLine="480" w:firstLineChars="200"/>
        <w:jc w:val="left"/>
        <w:rPr>
          <w:sz w:val="24"/>
          <w:highlight w:val="none"/>
        </w:rPr>
      </w:pPr>
      <w:r>
        <w:rPr>
          <w:rFonts w:hint="eastAsia"/>
          <w:sz w:val="24"/>
          <w:highlight w:val="none"/>
        </w:rPr>
        <w:t>5.如因乙方原因，造成人员伤亡，财产损失，由乙方承担赔偿责任；</w:t>
      </w:r>
    </w:p>
    <w:p>
      <w:pPr>
        <w:spacing w:line="360" w:lineRule="auto"/>
        <w:ind w:firstLine="480" w:firstLineChars="200"/>
        <w:jc w:val="left"/>
        <w:rPr>
          <w:sz w:val="24"/>
          <w:szCs w:val="22"/>
          <w:highlight w:val="none"/>
        </w:rPr>
      </w:pPr>
      <w:r>
        <w:rPr>
          <w:rFonts w:hint="eastAsia"/>
          <w:sz w:val="24"/>
          <w:highlight w:val="none"/>
        </w:rPr>
        <w:t>6.甲方试验车辆在乙方提供的试验场地进行试验过程</w:t>
      </w:r>
      <w:r>
        <w:rPr>
          <w:rFonts w:hint="eastAsia"/>
          <w:sz w:val="24"/>
          <w:szCs w:val="22"/>
          <w:highlight w:val="none"/>
        </w:rPr>
        <w:t>中，由于第三方的原因造成甲方试验车辆的损坏或人员的伤亡，由乙方协调甲方与第三方之间的相互关系，以利于事故处理；</w:t>
      </w:r>
    </w:p>
    <w:p>
      <w:pPr>
        <w:spacing w:line="360" w:lineRule="auto"/>
        <w:ind w:firstLine="480" w:firstLineChars="200"/>
        <w:jc w:val="left"/>
        <w:rPr>
          <w:b/>
          <w:sz w:val="24"/>
          <w:highlight w:val="none"/>
        </w:rPr>
      </w:pPr>
      <w:r>
        <w:rPr>
          <w:rFonts w:hint="eastAsia"/>
          <w:sz w:val="24"/>
          <w:highlight w:val="none"/>
        </w:rPr>
        <w:t>7.为甲方试验人员工作及生活条件提供必要的协助。</w:t>
      </w:r>
    </w:p>
    <w:p>
      <w:pPr>
        <w:spacing w:line="360" w:lineRule="auto"/>
        <w:ind w:firstLine="482" w:firstLineChars="200"/>
        <w:jc w:val="left"/>
        <w:rPr>
          <w:b/>
          <w:sz w:val="24"/>
          <w:highlight w:val="none"/>
        </w:rPr>
      </w:pPr>
      <w:r>
        <w:rPr>
          <w:rFonts w:hint="eastAsia" w:ascii="黑体" w:hAnsi="黑体" w:eastAsia="黑体" w:cs="黑体"/>
          <w:b/>
          <w:sz w:val="24"/>
          <w:highlight w:val="none"/>
        </w:rPr>
        <w:t>三、费用结算及支付方式</w:t>
      </w:r>
    </w:p>
    <w:p>
      <w:pPr>
        <w:tabs>
          <w:tab w:val="left" w:pos="709"/>
        </w:tabs>
        <w:spacing w:line="360" w:lineRule="auto"/>
        <w:ind w:firstLine="482" w:firstLineChars="200"/>
        <w:jc w:val="left"/>
        <w:rPr>
          <w:b/>
          <w:bCs/>
          <w:sz w:val="24"/>
          <w:highlight w:val="none"/>
        </w:rPr>
      </w:pPr>
      <w:r>
        <w:rPr>
          <w:rFonts w:hint="eastAsia"/>
          <w:b/>
          <w:bCs/>
          <w:sz w:val="24"/>
          <w:highlight w:val="none"/>
        </w:rPr>
        <w:t>（一）费用结算</w:t>
      </w:r>
    </w:p>
    <w:p>
      <w:pPr>
        <w:tabs>
          <w:tab w:val="left" w:pos="709"/>
        </w:tabs>
        <w:spacing w:line="360" w:lineRule="auto"/>
        <w:ind w:firstLine="480" w:firstLineChars="200"/>
        <w:jc w:val="left"/>
        <w:rPr>
          <w:sz w:val="24"/>
          <w:highlight w:val="none"/>
        </w:rPr>
      </w:pPr>
      <w:r>
        <w:rPr>
          <w:rFonts w:hint="eastAsia"/>
          <w:sz w:val="24"/>
          <w:highlight w:val="none"/>
        </w:rPr>
        <w:t>试验结束后，由乙方依据</w:t>
      </w:r>
      <w:r>
        <w:rPr>
          <w:rFonts w:hint="eastAsia"/>
          <w:b/>
          <w:bCs/>
          <w:sz w:val="24"/>
          <w:highlight w:val="none"/>
        </w:rPr>
        <w:t xml:space="preserve"> </w:t>
      </w:r>
      <w:r>
        <w:rPr>
          <w:b/>
          <w:bCs/>
          <w:sz w:val="24"/>
          <w:highlight w:val="none"/>
        </w:rPr>
        <w:t xml:space="preserve">                                               </w:t>
      </w:r>
      <w:r>
        <w:rPr>
          <w:rFonts w:hint="eastAsia"/>
          <w:sz w:val="24"/>
          <w:highlight w:val="none"/>
        </w:rPr>
        <w:t>（收费标准中未列明的项目，由甲乙双方协商确定收费标准）核收</w:t>
      </w:r>
      <w:r>
        <w:rPr>
          <w:sz w:val="24"/>
          <w:highlight w:val="none"/>
        </w:rPr>
        <w:t>，</w:t>
      </w:r>
      <w:r>
        <w:rPr>
          <w:rFonts w:hint="eastAsia"/>
          <w:sz w:val="24"/>
          <w:highlight w:val="none"/>
        </w:rPr>
        <w:t>按季度向甲方提交《收费明细及确认表》，经甲方确认后由双方盖章，作为结算及支付依据。</w:t>
      </w:r>
    </w:p>
    <w:p>
      <w:pPr>
        <w:spacing w:line="360" w:lineRule="auto"/>
        <w:ind w:firstLine="482" w:firstLineChars="200"/>
        <w:jc w:val="left"/>
        <w:rPr>
          <w:b/>
          <w:sz w:val="24"/>
          <w:highlight w:val="none"/>
        </w:rPr>
      </w:pPr>
      <w:r>
        <w:rPr>
          <w:rFonts w:hint="eastAsia"/>
          <w:b/>
          <w:sz w:val="24"/>
          <w:highlight w:val="none"/>
        </w:rPr>
        <w:t>（二）支付方式</w:t>
      </w:r>
    </w:p>
    <w:p>
      <w:pPr>
        <w:spacing w:line="360" w:lineRule="auto"/>
        <w:ind w:firstLine="480" w:firstLineChars="200"/>
        <w:jc w:val="left"/>
        <w:rPr>
          <w:sz w:val="24"/>
          <w:highlight w:val="none"/>
        </w:rPr>
      </w:pPr>
      <w:r>
        <w:rPr>
          <w:rFonts w:hint="eastAsia"/>
          <w:sz w:val="24"/>
          <w:highlight w:val="none"/>
        </w:rPr>
        <w:t>依据经双方盖章确认的《收费明细及确认表》，甲方在收到</w:t>
      </w:r>
      <w:r>
        <w:rPr>
          <w:sz w:val="24"/>
          <w:highlight w:val="none"/>
        </w:rPr>
        <w:t>乙方开具的合法有效的</w:t>
      </w:r>
      <w:r>
        <w:rPr>
          <w:rFonts w:hint="eastAsia"/>
          <w:sz w:val="24"/>
          <w:highlight w:val="none"/>
        </w:rPr>
        <w:t>符合本合同</w:t>
      </w:r>
      <w:r>
        <w:rPr>
          <w:sz w:val="24"/>
          <w:highlight w:val="none"/>
        </w:rPr>
        <w:t>的增值税专用发票</w:t>
      </w:r>
      <w:r>
        <w:rPr>
          <w:rFonts w:hint="eastAsia"/>
          <w:sz w:val="24"/>
          <w:highlight w:val="none"/>
        </w:rPr>
        <w:t>后</w:t>
      </w:r>
      <w:r>
        <w:rPr>
          <w:sz w:val="24"/>
          <w:highlight w:val="none"/>
        </w:rPr>
        <w:t>，</w:t>
      </w:r>
      <w:r>
        <w:rPr>
          <w:rFonts w:hint="eastAsia"/>
          <w:sz w:val="24"/>
          <w:highlight w:val="none"/>
        </w:rPr>
        <w:t xml:space="preserve">一个月内一次性通过 </w:t>
      </w:r>
      <w:r>
        <w:rPr>
          <w:sz w:val="24"/>
          <w:highlight w:val="none"/>
        </w:rPr>
        <w:t xml:space="preserve">   </w:t>
      </w:r>
      <w:r>
        <w:rPr>
          <w:rFonts w:hint="eastAsia"/>
          <w:sz w:val="24"/>
          <w:highlight w:val="none"/>
        </w:rPr>
        <w:t xml:space="preserve">乙方支付该次试验费用。    </w:t>
      </w:r>
    </w:p>
    <w:p>
      <w:pPr>
        <w:spacing w:line="360" w:lineRule="auto"/>
        <w:ind w:firstLine="482" w:firstLineChars="200"/>
        <w:jc w:val="left"/>
        <w:rPr>
          <w:rFonts w:ascii="黑体" w:hAnsi="黑体" w:eastAsia="黑体" w:cs="黑体"/>
          <w:b/>
          <w:sz w:val="24"/>
          <w:highlight w:val="none"/>
        </w:rPr>
      </w:pPr>
      <w:r>
        <w:rPr>
          <w:rFonts w:hint="eastAsia" w:ascii="黑体" w:hAnsi="黑体" w:eastAsia="黑体" w:cs="黑体"/>
          <w:b/>
          <w:sz w:val="24"/>
          <w:highlight w:val="none"/>
        </w:rPr>
        <w:t>四、合同解除</w:t>
      </w:r>
    </w:p>
    <w:p>
      <w:pPr>
        <w:spacing w:line="360" w:lineRule="auto"/>
        <w:ind w:firstLine="480" w:firstLineChars="200"/>
        <w:jc w:val="left"/>
        <w:rPr>
          <w:sz w:val="24"/>
          <w:szCs w:val="22"/>
          <w:highlight w:val="none"/>
        </w:rPr>
      </w:pPr>
      <w:r>
        <w:rPr>
          <w:rFonts w:hint="eastAsia"/>
          <w:sz w:val="24"/>
          <w:szCs w:val="22"/>
          <w:highlight w:val="none"/>
        </w:rPr>
        <w:t>（一）本合同任何一方不得无故单方解除本合同，否则单方解除本合同的一方，应承担违约责任。但因下列原因一方解除本合同时，不承担违约责任，提出解除本合同的一方应提前三十日书面通知对方：</w:t>
      </w:r>
    </w:p>
    <w:p>
      <w:pPr>
        <w:spacing w:line="360" w:lineRule="auto"/>
        <w:ind w:firstLine="480" w:firstLineChars="200"/>
        <w:jc w:val="left"/>
        <w:rPr>
          <w:sz w:val="24"/>
          <w:szCs w:val="22"/>
          <w:highlight w:val="none"/>
        </w:rPr>
      </w:pPr>
      <w:r>
        <w:rPr>
          <w:rFonts w:hint="eastAsia"/>
          <w:sz w:val="24"/>
          <w:szCs w:val="22"/>
          <w:highlight w:val="none"/>
        </w:rPr>
        <w:t>1.双方协商一致，同意解除的；</w:t>
      </w:r>
    </w:p>
    <w:p>
      <w:pPr>
        <w:spacing w:line="360" w:lineRule="auto"/>
        <w:ind w:firstLine="480" w:firstLineChars="200"/>
        <w:jc w:val="left"/>
        <w:rPr>
          <w:sz w:val="24"/>
          <w:szCs w:val="22"/>
          <w:highlight w:val="none"/>
        </w:rPr>
      </w:pPr>
      <w:r>
        <w:rPr>
          <w:rFonts w:hint="eastAsia"/>
          <w:sz w:val="24"/>
          <w:szCs w:val="22"/>
          <w:highlight w:val="none"/>
        </w:rPr>
        <w:t>2.因不可抗力事件发生，致使本合同完全无法履行。</w:t>
      </w:r>
    </w:p>
    <w:p>
      <w:pPr>
        <w:spacing w:line="360" w:lineRule="auto"/>
        <w:ind w:firstLine="480" w:firstLineChars="200"/>
        <w:jc w:val="left"/>
        <w:rPr>
          <w:sz w:val="24"/>
          <w:szCs w:val="22"/>
          <w:highlight w:val="none"/>
        </w:rPr>
      </w:pPr>
      <w:r>
        <w:rPr>
          <w:rFonts w:hint="eastAsia"/>
          <w:sz w:val="24"/>
          <w:szCs w:val="22"/>
          <w:highlight w:val="none"/>
        </w:rPr>
        <w:t>（二）因不可抗力造成合同解除的，双方应本着平等友好的原则协商处理善后事宜。</w:t>
      </w:r>
    </w:p>
    <w:p>
      <w:pPr>
        <w:spacing w:line="360" w:lineRule="auto"/>
        <w:ind w:firstLine="480" w:firstLineChars="200"/>
        <w:jc w:val="left"/>
        <w:rPr>
          <w:sz w:val="24"/>
          <w:highlight w:val="none"/>
        </w:rPr>
      </w:pPr>
    </w:p>
    <w:p>
      <w:pPr>
        <w:spacing w:line="360" w:lineRule="auto"/>
        <w:ind w:firstLine="482" w:firstLineChars="200"/>
        <w:jc w:val="left"/>
        <w:rPr>
          <w:sz w:val="24"/>
          <w:highlight w:val="none"/>
        </w:rPr>
      </w:pPr>
      <w:r>
        <w:rPr>
          <w:rFonts w:hint="eastAsia" w:ascii="黑体" w:hAnsi="黑体" w:eastAsia="黑体" w:cs="黑体"/>
          <w:b/>
          <w:bCs/>
          <w:sz w:val="24"/>
          <w:highlight w:val="none"/>
        </w:rPr>
        <w:t>五、争议解决</w:t>
      </w:r>
    </w:p>
    <w:p>
      <w:pPr>
        <w:spacing w:line="360" w:lineRule="auto"/>
        <w:ind w:firstLine="480" w:firstLineChars="200"/>
        <w:jc w:val="left"/>
        <w:rPr>
          <w:sz w:val="24"/>
          <w:highlight w:val="none"/>
        </w:rPr>
      </w:pPr>
      <w:r>
        <w:rPr>
          <w:rFonts w:hint="eastAsia"/>
          <w:sz w:val="24"/>
          <w:highlight w:val="none"/>
        </w:rPr>
        <w:t>本合同履行过程中产生的争议问题，由甲乙双方协商解决，协商不成的，双方均可向对本合同具有管辖权的法院提起诉讼解决。</w:t>
      </w:r>
    </w:p>
    <w:p>
      <w:pPr>
        <w:spacing w:line="360" w:lineRule="auto"/>
        <w:ind w:firstLine="482" w:firstLineChars="200"/>
        <w:jc w:val="left"/>
        <w:rPr>
          <w:sz w:val="24"/>
          <w:highlight w:val="none"/>
        </w:rPr>
      </w:pPr>
      <w:r>
        <w:rPr>
          <w:rFonts w:hint="eastAsia" w:ascii="黑体" w:hAnsi="黑体" w:eastAsia="黑体" w:cs="黑体"/>
          <w:b/>
          <w:bCs/>
          <w:sz w:val="24"/>
          <w:highlight w:val="none"/>
        </w:rPr>
        <w:t>六、保密条款</w:t>
      </w:r>
    </w:p>
    <w:p>
      <w:pPr>
        <w:spacing w:line="360" w:lineRule="auto"/>
        <w:ind w:firstLine="480" w:firstLineChars="200"/>
        <w:jc w:val="left"/>
        <w:rPr>
          <w:sz w:val="24"/>
          <w:szCs w:val="22"/>
          <w:highlight w:val="none"/>
        </w:rPr>
      </w:pPr>
      <w:r>
        <w:rPr>
          <w:rFonts w:hint="eastAsia"/>
          <w:sz w:val="24"/>
          <w:szCs w:val="22"/>
          <w:highlight w:val="none"/>
        </w:rPr>
        <w:t>甲乙双方对合同履行过程中所获取的对方的技术资料或商业资料保密，未经对方许可不得以任何形式向任何第三方泄露。双方约定，无论本合同是否变更、解除、终止，本条款均有效。</w:t>
      </w:r>
    </w:p>
    <w:p>
      <w:pPr>
        <w:spacing w:line="360" w:lineRule="auto"/>
        <w:ind w:firstLine="482" w:firstLineChars="200"/>
        <w:jc w:val="left"/>
        <w:rPr>
          <w:sz w:val="24"/>
          <w:highlight w:val="none"/>
        </w:rPr>
      </w:pPr>
      <w:r>
        <w:rPr>
          <w:rFonts w:hint="eastAsia" w:ascii="黑体" w:hAnsi="黑体" w:eastAsia="黑体" w:cs="黑体"/>
          <w:b/>
          <w:bCs/>
          <w:sz w:val="24"/>
          <w:highlight w:val="none"/>
        </w:rPr>
        <w:t>七、其他事项</w:t>
      </w:r>
    </w:p>
    <w:p>
      <w:pPr>
        <w:spacing w:line="360" w:lineRule="auto"/>
        <w:ind w:firstLine="480" w:firstLineChars="200"/>
        <w:jc w:val="left"/>
        <w:rPr>
          <w:sz w:val="24"/>
          <w:highlight w:val="none"/>
        </w:rPr>
      </w:pPr>
      <w:r>
        <w:rPr>
          <w:rFonts w:hint="eastAsia"/>
          <w:sz w:val="24"/>
          <w:highlight w:val="none"/>
        </w:rPr>
        <w:t>（一）本合同自甲乙双方签字盖章之日起生效，有效期</w:t>
      </w:r>
      <w:r>
        <w:rPr>
          <w:rFonts w:hint="eastAsia"/>
          <w:sz w:val="24"/>
          <w:highlight w:val="none"/>
          <w:u w:val="single"/>
        </w:rPr>
        <w:t xml:space="preserve">  1  </w:t>
      </w:r>
      <w:r>
        <w:rPr>
          <w:rFonts w:hint="eastAsia"/>
          <w:sz w:val="24"/>
          <w:highlight w:val="none"/>
        </w:rPr>
        <w:t>年；</w:t>
      </w:r>
    </w:p>
    <w:p>
      <w:pPr>
        <w:spacing w:line="360" w:lineRule="auto"/>
        <w:ind w:firstLine="480" w:firstLineChars="200"/>
        <w:jc w:val="left"/>
        <w:rPr>
          <w:sz w:val="24"/>
          <w:highlight w:val="none"/>
        </w:rPr>
      </w:pPr>
      <w:r>
        <w:rPr>
          <w:rFonts w:hint="eastAsia"/>
          <w:sz w:val="24"/>
          <w:highlight w:val="none"/>
        </w:rPr>
        <w:t>（二）本合同未尽事宜，可由甲乙双方签订补充协议加以约定，补充协议与本协议具备同等法律效力；</w:t>
      </w:r>
    </w:p>
    <w:p>
      <w:pPr>
        <w:spacing w:line="360" w:lineRule="auto"/>
        <w:ind w:firstLine="480" w:firstLineChars="200"/>
        <w:jc w:val="left"/>
        <w:rPr>
          <w:sz w:val="24"/>
          <w:highlight w:val="none"/>
        </w:rPr>
      </w:pPr>
      <w:r>
        <w:rPr>
          <w:rFonts w:hint="eastAsia"/>
          <w:sz w:val="24"/>
          <w:highlight w:val="none"/>
        </w:rPr>
        <w:t>（三）经甲乙双方协商一致，可对合同内容进行变更，并签署补充协议；</w:t>
      </w:r>
    </w:p>
    <w:p>
      <w:pPr>
        <w:spacing w:line="360" w:lineRule="auto"/>
        <w:ind w:firstLine="480" w:firstLineChars="200"/>
        <w:jc w:val="left"/>
        <w:rPr>
          <w:sz w:val="24"/>
          <w:highlight w:val="none"/>
        </w:rPr>
      </w:pPr>
      <w:r>
        <w:rPr>
          <w:rFonts w:hint="eastAsia"/>
          <w:sz w:val="24"/>
          <w:highlight w:val="none"/>
        </w:rPr>
        <w:t>（四）本合同一式肆份，甲乙双方各执贰份，具备同等法律效力。</w:t>
      </w:r>
    </w:p>
    <w:p>
      <w:pPr>
        <w:spacing w:line="360" w:lineRule="auto"/>
        <w:jc w:val="center"/>
        <w:rPr>
          <w:sz w:val="24"/>
          <w:highlight w:val="none"/>
        </w:rPr>
      </w:pPr>
      <w:r>
        <w:rPr>
          <w:rFonts w:hint="eastAsia"/>
          <w:sz w:val="24"/>
          <w:highlight w:val="none"/>
        </w:rPr>
        <w:t>（本页以下无正文）</w:t>
      </w:r>
    </w:p>
    <w:p>
      <w:pPr>
        <w:spacing w:line="400" w:lineRule="exact"/>
        <w:ind w:firstLine="482" w:firstLineChars="200"/>
        <w:jc w:val="left"/>
        <w:rPr>
          <w:sz w:val="24"/>
          <w:highlight w:val="none"/>
        </w:rPr>
      </w:pPr>
      <w:r>
        <w:rPr>
          <w:rFonts w:hint="eastAsia" w:ascii="黑体" w:hAnsi="黑体" w:eastAsia="黑体" w:cs="黑体"/>
          <w:b/>
          <w:bCs/>
          <w:sz w:val="24"/>
          <w:highlight w:val="none"/>
        </w:rPr>
        <w:t>甲  方：</w:t>
      </w:r>
      <w:r>
        <w:rPr>
          <w:rFonts w:hint="eastAsia" w:hAnsi="宋体" w:cs="宋体"/>
          <w:color w:val="000000"/>
          <w:sz w:val="24"/>
          <w:szCs w:val="24"/>
          <w:highlight w:val="none"/>
        </w:rPr>
        <w:t xml:space="preserve">     </w:t>
      </w:r>
      <w:r>
        <w:rPr>
          <w:rFonts w:hint="eastAsia"/>
          <w:sz w:val="24"/>
          <w:highlight w:val="none"/>
        </w:rPr>
        <w:t xml:space="preserve">          </w:t>
      </w:r>
      <w:r>
        <w:rPr>
          <w:sz w:val="24"/>
          <w:highlight w:val="none"/>
        </w:rPr>
        <w:t xml:space="preserve"> </w:t>
      </w:r>
      <w:r>
        <w:rPr>
          <w:rFonts w:hint="eastAsia"/>
          <w:sz w:val="24"/>
          <w:highlight w:val="none"/>
        </w:rPr>
        <w:t xml:space="preserve">            </w:t>
      </w:r>
      <w:r>
        <w:rPr>
          <w:rFonts w:hint="eastAsia" w:ascii="黑体" w:hAnsi="黑体" w:eastAsia="黑体" w:cs="黑体"/>
          <w:b/>
          <w:bCs/>
          <w:sz w:val="24"/>
          <w:szCs w:val="22"/>
          <w:highlight w:val="none"/>
        </w:rPr>
        <w:t>乙  方：</w:t>
      </w:r>
      <w:r>
        <w:rPr>
          <w:rFonts w:hint="eastAsia"/>
          <w:sz w:val="24"/>
          <w:highlight w:val="none"/>
        </w:rPr>
        <w:t xml:space="preserve"> </w:t>
      </w:r>
    </w:p>
    <w:p>
      <w:pPr>
        <w:spacing w:line="400" w:lineRule="exact"/>
        <w:ind w:firstLine="480" w:firstLineChars="200"/>
        <w:jc w:val="left"/>
        <w:rPr>
          <w:sz w:val="24"/>
          <w:highlight w:val="none"/>
        </w:rPr>
      </w:pPr>
      <w:r>
        <w:rPr>
          <w:rFonts w:hint="eastAsia" w:hAnsi="宋体" w:cs="黑体"/>
          <w:color w:val="333333"/>
          <w:sz w:val="24"/>
          <w:szCs w:val="24"/>
          <w:highlight w:val="none"/>
        </w:rPr>
        <w:t xml:space="preserve"> 中国重汽集团济南动力有限公司        </w:t>
      </w:r>
    </w:p>
    <w:p>
      <w:pPr>
        <w:spacing w:line="400" w:lineRule="exact"/>
        <w:ind w:firstLine="482" w:firstLineChars="200"/>
        <w:jc w:val="left"/>
        <w:rPr>
          <w:rFonts w:ascii="黑体" w:hAnsi="黑体" w:eastAsia="黑体" w:cs="黑体"/>
          <w:b/>
          <w:bCs/>
          <w:sz w:val="24"/>
          <w:szCs w:val="22"/>
          <w:highlight w:val="none"/>
        </w:rPr>
      </w:pPr>
      <w:r>
        <w:rPr>
          <w:rFonts w:hint="eastAsia" w:ascii="黑体" w:hAnsi="黑体" w:eastAsia="黑体" w:cs="黑体"/>
          <w:b/>
          <w:bCs/>
          <w:sz w:val="24"/>
          <w:szCs w:val="22"/>
          <w:highlight w:val="none"/>
        </w:rPr>
        <w:t>法定代表人/委托人（签字）：</w:t>
      </w:r>
      <w:r>
        <w:rPr>
          <w:rFonts w:hint="eastAsia" w:hAnsi="宋体" w:cs="Arial"/>
          <w:sz w:val="24"/>
          <w:szCs w:val="21"/>
          <w:highlight w:val="none"/>
        </w:rPr>
        <w:t xml:space="preserve">   </w:t>
      </w:r>
      <w:r>
        <w:rPr>
          <w:rFonts w:hint="eastAsia"/>
          <w:sz w:val="24"/>
          <w:highlight w:val="none"/>
        </w:rPr>
        <w:t xml:space="preserve">       </w:t>
      </w:r>
      <w:r>
        <w:rPr>
          <w:rFonts w:hint="eastAsia" w:ascii="黑体" w:hAnsi="黑体" w:eastAsia="黑体" w:cs="黑体"/>
          <w:b/>
          <w:bCs/>
          <w:sz w:val="24"/>
          <w:szCs w:val="22"/>
          <w:highlight w:val="none"/>
        </w:rPr>
        <w:t>法定代表人/委托人（签字）：</w:t>
      </w:r>
    </w:p>
    <w:p>
      <w:pPr>
        <w:spacing w:line="400" w:lineRule="exact"/>
        <w:ind w:firstLine="480" w:firstLineChars="200"/>
        <w:jc w:val="left"/>
        <w:rPr>
          <w:sz w:val="24"/>
          <w:highlight w:val="none"/>
        </w:rPr>
      </w:pPr>
    </w:p>
    <w:p>
      <w:pPr>
        <w:spacing w:line="400" w:lineRule="exact"/>
        <w:ind w:firstLine="482" w:firstLineChars="200"/>
        <w:jc w:val="left"/>
        <w:rPr>
          <w:rFonts w:ascii="黑体" w:hAnsi="黑体" w:eastAsia="黑体" w:cs="黑体"/>
          <w:b/>
          <w:bCs/>
          <w:sz w:val="24"/>
          <w:szCs w:val="22"/>
          <w:highlight w:val="none"/>
        </w:rPr>
      </w:pPr>
      <w:r>
        <w:rPr>
          <w:rFonts w:hint="eastAsia" w:ascii="黑体" w:hAnsi="黑体" w:eastAsia="黑体" w:cs="黑体"/>
          <w:b/>
          <w:bCs/>
          <w:sz w:val="24"/>
          <w:szCs w:val="22"/>
          <w:highlight w:val="none"/>
        </w:rPr>
        <w:t>地 址：</w:t>
      </w:r>
      <w:r>
        <w:rPr>
          <w:rFonts w:hint="eastAsia" w:hAnsi="宋体" w:cs="宋体"/>
          <w:sz w:val="24"/>
          <w:szCs w:val="24"/>
          <w:highlight w:val="none"/>
        </w:rPr>
        <w:t xml:space="preserve">                             </w:t>
      </w:r>
      <w:r>
        <w:rPr>
          <w:rFonts w:hint="eastAsia" w:ascii="黑体" w:hAnsi="黑体" w:eastAsia="黑体" w:cs="黑体"/>
          <w:b/>
          <w:bCs/>
          <w:sz w:val="24"/>
          <w:szCs w:val="22"/>
          <w:highlight w:val="none"/>
        </w:rPr>
        <w:t>地址：</w:t>
      </w:r>
    </w:p>
    <w:p>
      <w:pPr>
        <w:spacing w:line="400" w:lineRule="exact"/>
        <w:ind w:firstLine="480" w:firstLineChars="200"/>
        <w:jc w:val="left"/>
        <w:rPr>
          <w:sz w:val="24"/>
          <w:highlight w:val="none"/>
        </w:rPr>
      </w:pPr>
      <w:r>
        <w:rPr>
          <w:rFonts w:hint="eastAsia"/>
          <w:sz w:val="24"/>
          <w:highlight w:val="none"/>
        </w:rPr>
        <w:t xml:space="preserve">济南市章丘区圣井唐王山路北潘王路西  </w:t>
      </w:r>
    </w:p>
    <w:p>
      <w:pPr>
        <w:spacing w:line="400" w:lineRule="exact"/>
        <w:ind w:firstLine="480" w:firstLineChars="200"/>
        <w:jc w:val="left"/>
        <w:rPr>
          <w:sz w:val="24"/>
          <w:highlight w:val="none"/>
        </w:rPr>
      </w:pPr>
    </w:p>
    <w:p>
      <w:pPr>
        <w:spacing w:line="400" w:lineRule="exact"/>
        <w:ind w:firstLine="482" w:firstLineChars="200"/>
        <w:jc w:val="left"/>
        <w:rPr>
          <w:rFonts w:ascii="黑体" w:hAnsi="黑体" w:eastAsia="黑体" w:cs="黑体"/>
          <w:b/>
          <w:bCs/>
          <w:sz w:val="24"/>
          <w:highlight w:val="none"/>
        </w:rPr>
      </w:pPr>
      <w:r>
        <w:rPr>
          <w:rFonts w:hint="eastAsia" w:ascii="黑体" w:hAnsi="黑体" w:eastAsia="黑体" w:cs="黑体"/>
          <w:b/>
          <w:bCs/>
          <w:sz w:val="24"/>
          <w:highlight w:val="none"/>
        </w:rPr>
        <w:t>电话：</w:t>
      </w:r>
      <w:r>
        <w:rPr>
          <w:rFonts w:ascii="黑体" w:hAnsi="黑体" w:eastAsia="黑体" w:cs="黑体"/>
          <w:b/>
          <w:bCs/>
          <w:sz w:val="24"/>
          <w:highlight w:val="none"/>
        </w:rPr>
        <w:t>0531-58062198</w:t>
      </w:r>
      <w:r>
        <w:rPr>
          <w:rFonts w:hint="eastAsia" w:ascii="黑体" w:hAnsi="黑体" w:eastAsia="黑体" w:cs="黑体"/>
          <w:b/>
          <w:bCs/>
          <w:color w:val="000000"/>
          <w:sz w:val="24"/>
          <w:szCs w:val="24"/>
          <w:highlight w:val="none"/>
        </w:rPr>
        <w:t xml:space="preserve">    </w:t>
      </w:r>
      <w:r>
        <w:rPr>
          <w:rFonts w:hint="eastAsia" w:ascii="黑体" w:hAnsi="黑体" w:eastAsia="黑体" w:cs="黑体"/>
          <w:b/>
          <w:bCs/>
          <w:sz w:val="24"/>
          <w:szCs w:val="21"/>
          <w:highlight w:val="none"/>
        </w:rPr>
        <w:t xml:space="preserve">          </w:t>
      </w:r>
      <w:r>
        <w:rPr>
          <w:rFonts w:hint="eastAsia" w:ascii="黑体" w:hAnsi="黑体" w:eastAsia="黑体" w:cs="黑体"/>
          <w:b/>
          <w:bCs/>
          <w:sz w:val="24"/>
          <w:highlight w:val="none"/>
        </w:rPr>
        <w:t xml:space="preserve">   电话：</w:t>
      </w:r>
      <w:r>
        <w:rPr>
          <w:rFonts w:ascii="黑体" w:hAnsi="黑体" w:eastAsia="黑体" w:cs="黑体"/>
          <w:b/>
          <w:bCs/>
          <w:sz w:val="24"/>
          <w:highlight w:val="none"/>
        </w:rPr>
        <w:t>15851826808</w:t>
      </w:r>
    </w:p>
    <w:p>
      <w:pPr>
        <w:spacing w:line="400" w:lineRule="exact"/>
        <w:ind w:firstLine="482" w:firstLineChars="200"/>
        <w:jc w:val="left"/>
        <w:rPr>
          <w:rFonts w:ascii="黑体" w:hAnsi="黑体" w:eastAsia="黑体" w:cs="黑体"/>
          <w:b/>
          <w:bCs/>
          <w:sz w:val="24"/>
          <w:highlight w:val="none"/>
        </w:rPr>
      </w:pPr>
      <w:r>
        <w:rPr>
          <w:rFonts w:hint="eastAsia" w:ascii="黑体" w:hAnsi="黑体" w:eastAsia="黑体" w:cs="黑体"/>
          <w:b/>
          <w:bCs/>
          <w:sz w:val="24"/>
          <w:highlight w:val="none"/>
        </w:rPr>
        <w:t>传真：</w:t>
      </w:r>
      <w:r>
        <w:rPr>
          <w:rFonts w:ascii="黑体" w:hAnsi="黑体" w:eastAsia="黑体" w:cs="黑体"/>
          <w:b/>
          <w:bCs/>
          <w:sz w:val="24"/>
          <w:highlight w:val="none"/>
        </w:rPr>
        <w:t>0531-58066176</w:t>
      </w:r>
      <w:r>
        <w:rPr>
          <w:rFonts w:hint="eastAsia" w:ascii="黑体" w:hAnsi="黑体" w:eastAsia="黑体" w:cs="黑体"/>
          <w:b/>
          <w:bCs/>
          <w:sz w:val="24"/>
          <w:highlight w:val="none"/>
        </w:rPr>
        <w:t xml:space="preserve">                 传真：  </w:t>
      </w:r>
    </w:p>
    <w:p>
      <w:pPr>
        <w:spacing w:line="400" w:lineRule="exact"/>
        <w:ind w:firstLine="482" w:firstLineChars="200"/>
        <w:jc w:val="left"/>
        <w:rPr>
          <w:sz w:val="24"/>
          <w:highlight w:val="none"/>
        </w:rPr>
      </w:pPr>
      <w:r>
        <w:rPr>
          <w:rFonts w:hint="eastAsia" w:ascii="黑体" w:hAnsi="黑体" w:eastAsia="黑体" w:cs="黑体"/>
          <w:b/>
          <w:bCs/>
          <w:sz w:val="24"/>
          <w:highlight w:val="none"/>
        </w:rPr>
        <w:t>开户行：</w:t>
      </w:r>
      <w:r>
        <w:rPr>
          <w:rFonts w:hint="eastAsia" w:hAnsi="宋体" w:cs="宋体"/>
          <w:sz w:val="24"/>
          <w:szCs w:val="24"/>
          <w:highlight w:val="none"/>
        </w:rPr>
        <w:t xml:space="preserve">中国银行章丘支行营业         </w:t>
      </w:r>
      <w:r>
        <w:rPr>
          <w:rFonts w:hint="eastAsia" w:ascii="黑体" w:hAnsi="黑体" w:eastAsia="黑体" w:cs="黑体"/>
          <w:b/>
          <w:bCs/>
          <w:sz w:val="24"/>
          <w:szCs w:val="22"/>
          <w:highlight w:val="none"/>
        </w:rPr>
        <w:t>开户行</w:t>
      </w:r>
      <w:r>
        <w:rPr>
          <w:rFonts w:hint="eastAsia" w:ascii="黑体" w:hAnsi="黑体" w:eastAsia="黑体" w:cs="黑体"/>
          <w:b/>
          <w:bCs/>
          <w:sz w:val="24"/>
          <w:szCs w:val="22"/>
          <w:highlight w:val="none"/>
          <w:lang w:eastAsia="zh-CN"/>
        </w:rPr>
        <w:t>：</w:t>
      </w:r>
      <w:r>
        <w:rPr>
          <w:rFonts w:hint="eastAsia"/>
          <w:sz w:val="24"/>
          <w:highlight w:val="none"/>
        </w:rPr>
        <w:t xml:space="preserve"> </w:t>
      </w:r>
    </w:p>
    <w:p>
      <w:pPr>
        <w:ind w:firstLine="482" w:firstLineChars="200"/>
        <w:rPr>
          <w:rFonts w:ascii="等线" w:hAnsi="等线" w:eastAsia="等线"/>
          <w:sz w:val="24"/>
          <w:szCs w:val="24"/>
          <w:highlight w:val="none"/>
        </w:rPr>
      </w:pPr>
      <w:r>
        <w:rPr>
          <w:rFonts w:hint="eastAsia" w:ascii="黑体" w:hAnsi="黑体" w:eastAsia="黑体" w:cs="黑体"/>
          <w:b/>
          <w:bCs/>
          <w:sz w:val="24"/>
          <w:szCs w:val="22"/>
          <w:highlight w:val="none"/>
        </w:rPr>
        <w:t>帐  号：</w:t>
      </w:r>
      <w:r>
        <w:rPr>
          <w:rFonts w:ascii="黑体" w:hAnsi="黑体" w:eastAsia="黑体" w:cs="黑体"/>
          <w:bCs/>
          <w:sz w:val="24"/>
          <w:szCs w:val="22"/>
          <w:highlight w:val="none"/>
        </w:rPr>
        <w:t>2377 0557 4474</w:t>
      </w:r>
      <w:r>
        <w:rPr>
          <w:rFonts w:hint="eastAsia" w:hAnsi="宋体" w:cs="Arial"/>
          <w:sz w:val="24"/>
          <w:szCs w:val="24"/>
          <w:highlight w:val="none"/>
        </w:rPr>
        <w:t xml:space="preserve"> </w:t>
      </w:r>
      <w:r>
        <w:rPr>
          <w:rFonts w:hint="eastAsia" w:hAnsi="宋体" w:cs="宋体"/>
          <w:color w:val="000000"/>
          <w:sz w:val="24"/>
          <w:szCs w:val="24"/>
          <w:highlight w:val="none"/>
        </w:rPr>
        <w:t xml:space="preserve">             </w:t>
      </w:r>
      <w:r>
        <w:rPr>
          <w:rFonts w:hint="eastAsia" w:ascii="黑体" w:hAnsi="黑体" w:eastAsia="黑体" w:cs="黑体"/>
          <w:b/>
          <w:bCs/>
          <w:sz w:val="24"/>
          <w:szCs w:val="22"/>
          <w:highlight w:val="none"/>
        </w:rPr>
        <w:t>帐  号：</w:t>
      </w:r>
      <w:r>
        <w:rPr>
          <w:rFonts w:hint="eastAsia"/>
          <w:sz w:val="24"/>
          <w:highlight w:val="none"/>
        </w:rPr>
        <w:t xml:space="preserve"> </w:t>
      </w:r>
      <w:bookmarkEnd w:id="57"/>
    </w:p>
    <w:p>
      <w:pPr>
        <w:spacing w:line="560" w:lineRule="exact"/>
        <w:ind w:firstLine="420" w:firstLineChars="200"/>
        <w:jc w:val="left"/>
        <w:rPr>
          <w:rFonts w:ascii="宋体"/>
          <w:color w:val="000000" w:themeColor="text1"/>
          <w:szCs w:val="21"/>
          <w:highlight w:val="none"/>
          <w14:textFill>
            <w14:solidFill>
              <w14:schemeClr w14:val="tx1"/>
            </w14:solidFill>
          </w14:textFill>
        </w:rPr>
      </w:pPr>
    </w:p>
    <w:sectPr>
      <w:headerReference r:id="rId9" w:type="first"/>
      <w:pgSz w:w="11906" w:h="16838"/>
      <w:pgMar w:top="1304" w:right="1469" w:bottom="1304" w:left="1469"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Text Box 1028"/>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19"/>
                            <w:jc w:val="center"/>
                          </w:pPr>
                          <w:r>
                            <w:fldChar w:fldCharType="begin"/>
                          </w:r>
                          <w:r>
                            <w:instrText xml:space="preserve">PAGE   \* MERGEFORMAT</w:instrText>
                          </w:r>
                          <w:r>
                            <w:fldChar w:fldCharType="separate"/>
                          </w:r>
                          <w:r>
                            <w:rPr>
                              <w:lang w:val="zh-CN"/>
                            </w:rPr>
                            <w:t>-</w:t>
                          </w:r>
                          <w:r>
                            <w:t xml:space="preserve"> 13 -</w:t>
                          </w:r>
                          <w:r>
                            <w:rPr>
                              <w:lang w:val="zh-CN"/>
                            </w:rPr>
                            <w:fldChar w:fldCharType="end"/>
                          </w:r>
                        </w:p>
                      </w:txbxContent>
                    </wps:txbx>
                    <wps:bodyPr rot="0" vert="horz" wrap="none" lIns="0" tIns="0" rIns="0" bIns="0" anchor="t" anchorCtr="0" upright="1">
                      <a:spAutoFit/>
                    </wps:bodyPr>
                  </wps:wsp>
                </a:graphicData>
              </a:graphic>
            </wp:anchor>
          </w:drawing>
        </mc:Choice>
        <mc:Fallback>
          <w:pict>
            <v:shape id="Text Box 1028"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pFLs0AAAAAMBAAAPAAAAAAAAAAEAIAAAACIAAABkcnMvZG93bnJldi54bWxQSwEC&#10;FAAUAAAACACHTuJAKm00avwBAAAEBAAADgAAAAAAAAABACAAAAAfAQAAZHJzL2Uyb0RvYy54bWxQ&#10;SwUGAAAAAAYABgBZAQAAjQUAAAAA&#10;">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w:t>
                    </w:r>
                    <w:r>
                      <w:t xml:space="preserve"> 13 -</w:t>
                    </w:r>
                    <w:r>
                      <w:rPr>
                        <w:lang w:val="zh-CN"/>
                      </w:rPr>
                      <w:fldChar w:fldCharType="end"/>
                    </w:r>
                  </w:p>
                </w:txbxContent>
              </v:textbox>
            </v:shape>
          </w:pict>
        </mc:Fallback>
      </mc:AlternateConten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Text Box 1027"/>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19"/>
                            <w:jc w:val="center"/>
                          </w:pPr>
                          <w:r>
                            <w:fldChar w:fldCharType="begin"/>
                          </w:r>
                          <w:r>
                            <w:instrText xml:space="preserve">PAGE   \* MERGEFORMAT</w:instrText>
                          </w:r>
                          <w:r>
                            <w:fldChar w:fldCharType="separate"/>
                          </w:r>
                          <w:r>
                            <w:rPr>
                              <w:lang w:val="zh-CN"/>
                            </w:rPr>
                            <w:t>-</w:t>
                          </w:r>
                          <w:r>
                            <w:t xml:space="preserve"> 11 -</w:t>
                          </w:r>
                          <w:r>
                            <w:fldChar w:fldCharType="end"/>
                          </w:r>
                        </w:p>
                      </w:txbxContent>
                    </wps:txbx>
                    <wps:bodyPr rot="0" vert="horz" wrap="none" lIns="0" tIns="0" rIns="0" bIns="0" anchor="t" anchorCtr="0" upright="1">
                      <a:spAutoFit/>
                    </wps:bodyPr>
                  </wps:wsp>
                </a:graphicData>
              </a:graphic>
            </wp:anchor>
          </w:drawing>
        </mc:Choice>
        <mc:Fallback>
          <w:pict>
            <v:shape id="Text Box 1027"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sUjg0AAAAAMBAAAPAAAAAAAAAAEAIAAAACIAAABkcnMvZG93bnJldi54bWxQSwEC&#10;FAAUAAAACACHTuJAGlTwgvwBAAAEBAAADgAAAAAAAAABACAAAAAfAQAAZHJzL2Uyb0RvYy54bWxQ&#10;SwUGAAAAAAYABgBZAQAAjQUAAAAA&#10;">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w:t>
                    </w:r>
                    <w:r>
                      <w:t xml:space="preserve"> 11 -</w:t>
                    </w:r>
                    <w:r>
                      <w:fldChar w:fldCharType="end"/>
                    </w:r>
                  </w:p>
                </w:txbxContent>
              </v:textbox>
            </v:shape>
          </w:pict>
        </mc:Fallback>
      </mc:AlternateContent>
    </w:r>
  </w:p>
  <w:p>
    <w:pPr>
      <w:pStyle w:val="1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w:pict>
        <v:shape id="PowerPlusWaterMarkObject6060869" o:spid="_x0000_s4111" o:spt="136" type="#_x0000_t136" style="position:absolute;left:0pt;margin-left:416pt;margin-top:435.95pt;height:14pt;width:118pt;mso-position-horizontal-relative:margin;mso-position-vertical-relative:margin;rotation:-2949120f;z-index:-251641856;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5971517" o:spid="_x0000_s4112" o:spt="136" type="#_x0000_t136" style="position:absolute;left:0pt;margin-left:311.35pt;margin-top:540.6pt;height:14pt;width:118pt;mso-position-horizontal-relative:margin;mso-position-vertical-relative:margin;rotation:-2949120f;z-index:-251642880;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5284303" o:spid="_x0000_s4113" o:spt="136" type="#_x0000_t136" style="position:absolute;left:0pt;margin-left:206.65pt;margin-top:645.25pt;height:14pt;width:118pt;mso-position-horizontal-relative:margin;mso-position-vertical-relative:margin;rotation:-2949120f;z-index:-251643904;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4928714" o:spid="_x0000_s4114" o:spt="136" type="#_x0000_t136" style="position:absolute;left:0pt;margin-left:102pt;margin-top:749.9pt;height:14pt;width:118pt;mso-position-horizontal-relative:margin;mso-position-vertical-relative:margin;rotation:-2949120f;z-index:-251644928;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4880153" o:spid="_x0000_s4115" o:spt="136" type="#_x0000_t136" style="position:absolute;left:0pt;margin-left:416pt;margin-top:76.65pt;height:14pt;width:118pt;mso-position-horizontal-relative:margin;mso-position-vertical-relative:margin;rotation:-2949120f;z-index:-251645952;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4251828" o:spid="_x0000_s4116" o:spt="136" type="#_x0000_t136" style="position:absolute;left:0pt;margin-left:311.35pt;margin-top:181.3pt;height:14pt;width:118pt;mso-position-horizontal-relative:margin;mso-position-vertical-relative:margin;rotation:-2949120f;z-index:-251646976;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3692967" o:spid="_x0000_s4117" o:spt="136" type="#_x0000_t136" style="position:absolute;left:0pt;margin-left:206.65pt;margin-top:285.95pt;height:14pt;width:118pt;mso-position-horizontal-relative:margin;mso-position-vertical-relative:margin;rotation:-2949120f;z-index:-251648000;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3540632" o:spid="_x0000_s4118" o:spt="136" type="#_x0000_t136" style="position:absolute;left:0pt;margin-left:102pt;margin-top:390.6pt;height:14pt;width:118pt;mso-position-horizontal-relative:margin;mso-position-vertical-relative:margin;rotation:-2949120f;z-index:-251649024;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745875" o:spid="_x0000_s4119" o:spt="136" type="#_x0000_t136" style="position:absolute;left:0pt;margin-left:-2.65pt;margin-top:495.25pt;height:14pt;width:118pt;mso-position-horizontal-relative:margin;mso-position-vertical-relative:margin;rotation:-2949120f;z-index:-251650048;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282590" o:spid="_x0000_s4120" o:spt="136" type="#_x0000_t136" style="position:absolute;left:0pt;margin-left:-107.3pt;margin-top:599.9pt;height:14pt;width:118pt;mso-position-horizontal-relative:margin;mso-position-vertical-relative:margin;rotation:-2949120f;z-index:-251651072;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073994" o:spid="_x0000_s4121" o:spt="136" type="#_x0000_t136" style="position:absolute;left:0pt;margin-left:206.65pt;margin-top:-73.35pt;height:14pt;width:118pt;mso-position-horizontal-relative:margin;mso-position-vertical-relative:margin;rotation:-2949120f;z-index:-251652096;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030178" o:spid="_x0000_s4122" o:spt="136" type="#_x0000_t136" style="position:absolute;left:0pt;margin-left:102pt;margin-top:31.3pt;height:14pt;width:118pt;mso-position-horizontal-relative:margin;mso-position-vertical-relative:margin;rotation:-2949120f;z-index:-251653120;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631578" o:spid="_x0000_s4123" o:spt="136" type="#_x0000_t136" style="position:absolute;left:0pt;margin-left:-2.65pt;margin-top:135.95pt;height:14pt;width:118pt;mso-position-horizontal-relative:margin;mso-position-vertical-relative:margin;rotation:-2949120f;z-index:-251654144;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759008" o:spid="_x0000_s4124" o:spt="136" type="#_x0000_t136" style="position:absolute;left:0pt;margin-left:-107.3pt;margin-top:240.6pt;height:14pt;width:118pt;mso-position-horizontal-relative:margin;mso-position-vertical-relative:margin;rotation:-2949120f;z-index:-251655168;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w:pict>
        <v:shape id="PowerPlusWaterMarkObject13471694" o:spid="_x0000_s4097" o:spt="136" type="#_x0000_t136" style="position:absolute;left:0pt;margin-left:416pt;margin-top:435.95pt;height:14pt;width:118pt;mso-position-horizontal-relative:margin;mso-position-vertical-relative:margin;rotation:-2949120f;z-index:-251627520;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2780639" o:spid="_x0000_s4098" o:spt="136" type="#_x0000_t136" style="position:absolute;left:0pt;margin-left:311.35pt;margin-top:540.6pt;height:14pt;width:118pt;mso-position-horizontal-relative:margin;mso-position-vertical-relative:margin;rotation:-2949120f;z-index:-251628544;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2558194" o:spid="_x0000_s4099" o:spt="136" type="#_x0000_t136" style="position:absolute;left:0pt;margin-left:206.65pt;margin-top:645.25pt;height:14pt;width:118pt;mso-position-horizontal-relative:margin;mso-position-vertical-relative:margin;rotation:-2949120f;z-index:-251629568;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2487881" o:spid="_x0000_s4100" o:spt="136" type="#_x0000_t136" style="position:absolute;left:0pt;margin-left:102pt;margin-top:749.9pt;height:14pt;width:118pt;mso-position-horizontal-relative:margin;mso-position-vertical-relative:margin;rotation:-2949120f;z-index:-251630592;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1904899" o:spid="_x0000_s4101" o:spt="136" type="#_x0000_t136" style="position:absolute;left:0pt;margin-left:416pt;margin-top:76.65pt;height:14pt;width:118pt;mso-position-horizontal-relative:margin;mso-position-vertical-relative:margin;rotation:-2949120f;z-index:-251631616;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1073080" o:spid="_x0000_s4102" o:spt="136" type="#_x0000_t136" style="position:absolute;left:0pt;margin-left:311.35pt;margin-top:181.3pt;height:14pt;width:118pt;mso-position-horizontal-relative:margin;mso-position-vertical-relative:margin;rotation:-2949120f;z-index:-251632640;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0605922" o:spid="_x0000_s4103" o:spt="136" type="#_x0000_t136" style="position:absolute;left:0pt;margin-left:206.65pt;margin-top:285.95pt;height:14pt;width:118pt;mso-position-horizontal-relative:margin;mso-position-vertical-relative:margin;rotation:-2949120f;z-index:-251633664;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9719595" o:spid="_x0000_s4104" o:spt="136" type="#_x0000_t136" style="position:absolute;left:0pt;margin-left:102pt;margin-top:390.6pt;height:14pt;width:118pt;mso-position-horizontal-relative:margin;mso-position-vertical-relative:margin;rotation:-2949120f;z-index:-251634688;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9218300" o:spid="_x0000_s4105" o:spt="136" type="#_x0000_t136" style="position:absolute;left:0pt;margin-left:-2.65pt;margin-top:495.25pt;height:14pt;width:118pt;mso-position-horizontal-relative:margin;mso-position-vertical-relative:margin;rotation:-2949120f;z-index:-251635712;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8659178" o:spid="_x0000_s4106" o:spt="136" type="#_x0000_t136" style="position:absolute;left:0pt;margin-left:-107.3pt;margin-top:599.9pt;height:14pt;width:118pt;mso-position-horizontal-relative:margin;mso-position-vertical-relative:margin;rotation:-2949120f;z-index:-251636736;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8231079" o:spid="_x0000_s4107" o:spt="136" type="#_x0000_t136" style="position:absolute;left:0pt;margin-left:206.65pt;margin-top:-73.35pt;height:14pt;width:118pt;mso-position-horizontal-relative:margin;mso-position-vertical-relative:margin;rotation:-2949120f;z-index:-251637760;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7447125" o:spid="_x0000_s4108" o:spt="136" type="#_x0000_t136" style="position:absolute;left:0pt;margin-left:102pt;margin-top:31.3pt;height:14pt;width:118pt;mso-position-horizontal-relative:margin;mso-position-vertical-relative:margin;rotation:-2949120f;z-index:-251638784;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7431002" o:spid="_x0000_s4109" o:spt="136" type="#_x0000_t136" style="position:absolute;left:0pt;margin-left:-2.65pt;margin-top:135.95pt;height:14pt;width:118pt;mso-position-horizontal-relative:margin;mso-position-vertical-relative:margin;rotation:-2949120f;z-index:-251639808;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6918224" o:spid="_x0000_s4110" o:spt="136" type="#_x0000_t136" style="position:absolute;left:0pt;margin-left:-107.3pt;margin-top:240.6pt;height:14pt;width:118pt;mso-position-horizontal-relative:margin;mso-position-vertical-relative:margin;rotation:-2949120f;z-index:-251640832;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r>
      <w:rPr>
        <w:sz w:val="18"/>
      </w:rPr>
      <w:pict>
        <v:shape id="PowerPlusWaterMarkObject20868629" o:spid="_x0000_s4125" o:spt="136" type="#_x0000_t136" style="position:absolute;left:0pt;margin-left:435.1pt;margin-top:418.8pt;height:14pt;width:118pt;mso-position-horizontal-relative:margin;mso-position-vertical-relative:margin;rotation:-2949120f;z-index:-251613184;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0526950" o:spid="_x0000_s4126" o:spt="136" type="#_x0000_t136" style="position:absolute;left:0pt;margin-left:330.45pt;margin-top:523.45pt;height:14pt;width:118pt;mso-position-horizontal-relative:margin;mso-position-vertical-relative:margin;rotation:-2949120f;z-index:-251614208;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0060708" o:spid="_x0000_s4127" o:spt="136" type="#_x0000_t136" style="position:absolute;left:0pt;margin-left:225.75pt;margin-top:628.1pt;height:14pt;width:118pt;mso-position-horizontal-relative:margin;mso-position-vertical-relative:margin;rotation:-2949120f;z-index:-251615232;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9284167" o:spid="_x0000_s4128" o:spt="136" type="#_x0000_t136" style="position:absolute;left:0pt;margin-left:121.1pt;margin-top:732.75pt;height:14pt;width:118pt;mso-position-horizontal-relative:margin;mso-position-vertical-relative:margin;rotation:-2949120f;z-index:-251616256;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8804622" o:spid="_x0000_s4129" o:spt="136" type="#_x0000_t136" style="position:absolute;left:0pt;margin-left:435.1pt;margin-top:59.45pt;height:14pt;width:118pt;mso-position-horizontal-relative:margin;mso-position-vertical-relative:margin;rotation:-2949120f;z-index:-251617280;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7829511" o:spid="_x0000_s4130" o:spt="136" type="#_x0000_t136" style="position:absolute;left:0pt;margin-left:330.45pt;margin-top:164.1pt;height:14pt;width:118pt;mso-position-horizontal-relative:margin;mso-position-vertical-relative:margin;rotation:-2949120f;z-index:-251618304;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7783290" o:spid="_x0000_s4131" o:spt="136" type="#_x0000_t136" style="position:absolute;left:0pt;margin-left:225.75pt;margin-top:268.75pt;height:14pt;width:118pt;mso-position-horizontal-relative:margin;mso-position-vertical-relative:margin;rotation:-2949120f;z-index:-251619328;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7070826" o:spid="_x0000_s4132" o:spt="136" type="#_x0000_t136" style="position:absolute;left:0pt;margin-left:121.1pt;margin-top:373.4pt;height:14pt;width:118pt;mso-position-horizontal-relative:margin;mso-position-vertical-relative:margin;rotation:-2949120f;z-index:-251620352;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7023402" o:spid="_x0000_s4133" o:spt="136" type="#_x0000_t136" style="position:absolute;left:0pt;margin-left:16.45pt;margin-top:478.05pt;height:14pt;width:118pt;mso-position-horizontal-relative:margin;mso-position-vertical-relative:margin;rotation:-2949120f;z-index:-251621376;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6400676" o:spid="_x0000_s4134" o:spt="136" type="#_x0000_t136" style="position:absolute;left:0pt;margin-left:-88.2pt;margin-top:582.75pt;height:14pt;width:118pt;mso-position-horizontal-relative:margin;mso-position-vertical-relative:margin;rotation:-2949120f;z-index:-251622400;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6258165" o:spid="_x0000_s4135" o:spt="136" type="#_x0000_t136" style="position:absolute;left:0pt;margin-left:225.75pt;margin-top:-90.55pt;height:14pt;width:118pt;mso-position-horizontal-relative:margin;mso-position-vertical-relative:margin;rotation:-2949120f;z-index:-251623424;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5597855" o:spid="_x0000_s4136" o:spt="136" type="#_x0000_t136" style="position:absolute;left:0pt;margin-left:121.1pt;margin-top:14.1pt;height:14pt;width:118pt;mso-position-horizontal-relative:margin;mso-position-vertical-relative:margin;rotation:-2949120f;z-index:-251624448;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4876078" o:spid="_x0000_s4137" o:spt="136" type="#_x0000_t136" style="position:absolute;left:0pt;margin-left:16.45pt;margin-top:118.75pt;height:14pt;width:118pt;mso-position-horizontal-relative:margin;mso-position-vertical-relative:margin;rotation:-2949120f;z-index:-251625472;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13872991" o:spid="_x0000_s4138" o:spt="136" type="#_x0000_t136" style="position:absolute;left:0pt;margin-left:-88.2pt;margin-top:223.4pt;height:14pt;width:118pt;mso-position-horizontal-relative:margin;mso-position-vertical-relative:margin;rotation:-2949120f;z-index:-251626496;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both"/>
    </w:pPr>
  </w:p>
  <w:p>
    <w:pPr>
      <w:pStyle w:val="20"/>
      <w:pBdr>
        <w:bottom w:val="none" w:color="auto" w:sz="0" w:space="1"/>
      </w:pBdr>
      <w:jc w:val="both"/>
    </w:pPr>
    <w:r>
      <w:rPr>
        <w:sz w:val="18"/>
      </w:rPr>
      <w:pict>
        <v:shape id="PowerPlusWaterMarkObject28936229" o:spid="_x0000_s4139" o:spt="136" type="#_x0000_t136" style="position:absolute;left:0pt;margin-left:432.55pt;margin-top:442.75pt;height:14pt;width:118pt;mso-position-horizontal-relative:margin;mso-position-vertical-relative:margin;rotation:-2949120f;z-index:-251598848;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8653113" o:spid="_x0000_s4140" o:spt="136" type="#_x0000_t136" style="position:absolute;left:0pt;margin-left:327.9pt;margin-top:547.4pt;height:14pt;width:118pt;mso-position-horizontal-relative:margin;mso-position-vertical-relative:margin;rotation:-2949120f;z-index:-251599872;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8295453" o:spid="_x0000_s4141" o:spt="136" type="#_x0000_t136" style="position:absolute;left:0pt;margin-left:223.2pt;margin-top:652.05pt;height:14pt;width:118pt;mso-position-horizontal-relative:margin;mso-position-vertical-relative:margin;rotation:-2949120f;z-index:-251600896;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8129917" o:spid="_x0000_s4142" o:spt="136" type="#_x0000_t136" style="position:absolute;left:0pt;margin-left:118.55pt;margin-top:756.7pt;height:14pt;width:118pt;mso-position-horizontal-relative:margin;mso-position-vertical-relative:margin;rotation:-2949120f;z-index:-251601920;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7297326" o:spid="_x0000_s4143" o:spt="136" type="#_x0000_t136" style="position:absolute;left:0pt;margin-left:432.55pt;margin-top:83.45pt;height:14pt;width:118pt;mso-position-horizontal-relative:margin;mso-position-vertical-relative:margin;rotation:-2949120f;z-index:-251602944;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6633548" o:spid="_x0000_s4144" o:spt="136" type="#_x0000_t136" style="position:absolute;left:0pt;margin-left:327.9pt;margin-top:188.1pt;height:14pt;width:118pt;mso-position-horizontal-relative:margin;mso-position-vertical-relative:margin;rotation:-2949120f;z-index:-251603968;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6129042" o:spid="_x0000_s4145" o:spt="136" type="#_x0000_t136" style="position:absolute;left:0pt;margin-left:223.2pt;margin-top:292.75pt;height:14pt;width:118pt;mso-position-horizontal-relative:margin;mso-position-vertical-relative:margin;rotation:-2949120f;z-index:-251604992;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5130088" o:spid="_x0000_s4146" o:spt="136" type="#_x0000_t136" style="position:absolute;left:0pt;margin-left:118.55pt;margin-top:397.4pt;height:14pt;width:118pt;mso-position-horizontal-relative:margin;mso-position-vertical-relative:margin;rotation:-2949120f;z-index:-251606016;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4539267" o:spid="_x0000_s4147" o:spt="136" type="#_x0000_t136" style="position:absolute;left:0pt;margin-left:13.9pt;margin-top:502.05pt;height:14pt;width:118pt;mso-position-horizontal-relative:margin;mso-position-vertical-relative:margin;rotation:-2949120f;z-index:-251607040;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3918663" o:spid="_x0000_s4148" o:spt="136" type="#_x0000_t136" style="position:absolute;left:0pt;margin-left:-90.75pt;margin-top:606.7pt;height:14pt;width:118pt;mso-position-horizontal-relative:margin;mso-position-vertical-relative:margin;rotation:-2949120f;z-index:-251608064;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3371149" o:spid="_x0000_s4149" o:spt="136" type="#_x0000_t136" style="position:absolute;left:0pt;margin-left:223.2pt;margin-top:-66.55pt;height:14pt;width:118pt;mso-position-horizontal-relative:margin;mso-position-vertical-relative:margin;rotation:-2949120f;z-index:-251609088;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2447251" o:spid="_x0000_s4150" o:spt="136" type="#_x0000_t136" style="position:absolute;left:0pt;margin-left:118.55pt;margin-top:38.1pt;height:14pt;width:118pt;mso-position-horizontal-relative:margin;mso-position-vertical-relative:margin;rotation:-2949120f;z-index:-251610112;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2365690" o:spid="_x0000_s4151" o:spt="136" type="#_x0000_t136" style="position:absolute;left:0pt;margin-left:13.9pt;margin-top:142.75pt;height:14pt;width:118pt;mso-position-horizontal-relative:margin;mso-position-vertical-relative:margin;rotation:-2949120f;z-index:-251611136;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r>
      <w:rPr>
        <w:sz w:val="18"/>
      </w:rPr>
      <w:pict>
        <v:shape id="PowerPlusWaterMarkObject21559709" o:spid="_x0000_s4152" o:spt="136" type="#_x0000_t136" style="position:absolute;left:0pt;margin-left:-90.75pt;margin-top:247.4pt;height:14pt;width:118pt;mso-position-horizontal-relative:margin;mso-position-vertical-relative:margin;rotation:-2949120f;z-index:-251612160;mso-width-relative:page;mso-height-relative:page;" fillcolor="#C0C0C0" filled="t" stroked="f" coordsize="21600,21600" adj="10800">
          <v:path/>
          <v:fill on="t" opacity="52428f" focussize="0,0"/>
          <v:stroke on="f"/>
          <v:imagedata o:title=""/>
          <o:lock v:ext="edit" aspectratio="t"/>
          <v:textpath on="t" fitshape="t" fitpath="t" trim="t" xscale="f" string="王佳0695302022-10-28" style="font-family:瀹嬩綋;font-size:1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465865"/>
    <w:multiLevelType w:val="singleLevel"/>
    <w:tmpl w:val="F0465865"/>
    <w:lvl w:ilvl="0" w:tentative="0">
      <w:start w:val="2"/>
      <w:numFmt w:val="chineseCounting"/>
      <w:suff w:val="nothing"/>
      <w:lvlText w:val="%1、"/>
      <w:lvlJc w:val="left"/>
      <w:rPr>
        <w:rFonts w:hint="eastAsia"/>
      </w:rPr>
    </w:lvl>
  </w:abstractNum>
  <w:abstractNum w:abstractNumId="1">
    <w:nsid w:val="05C200AC"/>
    <w:multiLevelType w:val="multilevel"/>
    <w:tmpl w:val="05C200AC"/>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210163F6"/>
    <w:multiLevelType w:val="multilevel"/>
    <w:tmpl w:val="210163F6"/>
    <w:lvl w:ilvl="0" w:tentative="0">
      <w:start w:val="1"/>
      <w:numFmt w:val="lowerLetter"/>
      <w:lvlText w:val="%1)"/>
      <w:lvlJc w:val="left"/>
      <w:pPr>
        <w:ind w:left="5156" w:hanging="420"/>
      </w:pPr>
    </w:lvl>
    <w:lvl w:ilvl="1" w:tentative="0">
      <w:start w:val="1"/>
      <w:numFmt w:val="lowerLetter"/>
      <w:lvlText w:val="%2)"/>
      <w:lvlJc w:val="left"/>
      <w:pPr>
        <w:ind w:left="5576" w:hanging="420"/>
      </w:pPr>
    </w:lvl>
    <w:lvl w:ilvl="2" w:tentative="0">
      <w:start w:val="1"/>
      <w:numFmt w:val="lowerRoman"/>
      <w:lvlText w:val="%3."/>
      <w:lvlJc w:val="right"/>
      <w:pPr>
        <w:ind w:left="5996" w:hanging="420"/>
      </w:pPr>
    </w:lvl>
    <w:lvl w:ilvl="3" w:tentative="0">
      <w:start w:val="1"/>
      <w:numFmt w:val="decimal"/>
      <w:lvlText w:val="%4."/>
      <w:lvlJc w:val="left"/>
      <w:pPr>
        <w:ind w:left="6416" w:hanging="420"/>
      </w:pPr>
    </w:lvl>
    <w:lvl w:ilvl="4" w:tentative="0">
      <w:start w:val="1"/>
      <w:numFmt w:val="lowerLetter"/>
      <w:lvlText w:val="%5)"/>
      <w:lvlJc w:val="left"/>
      <w:pPr>
        <w:ind w:left="6836" w:hanging="420"/>
      </w:pPr>
    </w:lvl>
    <w:lvl w:ilvl="5" w:tentative="0">
      <w:start w:val="1"/>
      <w:numFmt w:val="lowerRoman"/>
      <w:lvlText w:val="%6."/>
      <w:lvlJc w:val="right"/>
      <w:pPr>
        <w:ind w:left="7256" w:hanging="420"/>
      </w:pPr>
    </w:lvl>
    <w:lvl w:ilvl="6" w:tentative="0">
      <w:start w:val="1"/>
      <w:numFmt w:val="decimal"/>
      <w:lvlText w:val="%7."/>
      <w:lvlJc w:val="left"/>
      <w:pPr>
        <w:ind w:left="7676" w:hanging="420"/>
      </w:pPr>
    </w:lvl>
    <w:lvl w:ilvl="7" w:tentative="0">
      <w:start w:val="1"/>
      <w:numFmt w:val="lowerLetter"/>
      <w:lvlText w:val="%8)"/>
      <w:lvlJc w:val="left"/>
      <w:pPr>
        <w:ind w:left="8096" w:hanging="420"/>
      </w:pPr>
    </w:lvl>
    <w:lvl w:ilvl="8" w:tentative="0">
      <w:start w:val="1"/>
      <w:numFmt w:val="lowerRoman"/>
      <w:lvlText w:val="%9."/>
      <w:lvlJc w:val="right"/>
      <w:pPr>
        <w:ind w:left="8516" w:hanging="420"/>
      </w:pPr>
    </w:lvl>
  </w:abstractNum>
  <w:abstractNum w:abstractNumId="3">
    <w:nsid w:val="28934A01"/>
    <w:multiLevelType w:val="multilevel"/>
    <w:tmpl w:val="28934A01"/>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4">
    <w:nsid w:val="2BCBB76B"/>
    <w:multiLevelType w:val="singleLevel"/>
    <w:tmpl w:val="2BCBB76B"/>
    <w:lvl w:ilvl="0" w:tentative="0">
      <w:start w:val="1"/>
      <w:numFmt w:val="decimalEnclosedCircleChinese"/>
      <w:suff w:val="nothing"/>
      <w:lvlText w:val="%1"/>
      <w:lvlJc w:val="left"/>
      <w:pPr>
        <w:ind w:left="17" w:firstLine="403"/>
      </w:pPr>
      <w:rPr>
        <w:rFonts w:hint="eastAsia"/>
      </w:rPr>
    </w:lvl>
  </w:abstractNum>
  <w:abstractNum w:abstractNumId="5">
    <w:nsid w:val="31C493A8"/>
    <w:multiLevelType w:val="singleLevel"/>
    <w:tmpl w:val="31C493A8"/>
    <w:lvl w:ilvl="0" w:tentative="0">
      <w:start w:val="1"/>
      <w:numFmt w:val="decimal"/>
      <w:suff w:val="nothing"/>
      <w:lvlText w:val="%1、"/>
      <w:lvlJc w:val="left"/>
    </w:lvl>
  </w:abstractNum>
  <w:abstractNum w:abstractNumId="6">
    <w:nsid w:val="4F9A0CC3"/>
    <w:multiLevelType w:val="multilevel"/>
    <w:tmpl w:val="4F9A0CC3"/>
    <w:lvl w:ilvl="0" w:tentative="0">
      <w:start w:val="1"/>
      <w:numFmt w:val="lowerLetter"/>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7">
    <w:nsid w:val="600020F1"/>
    <w:multiLevelType w:val="singleLevel"/>
    <w:tmpl w:val="600020F1"/>
    <w:lvl w:ilvl="0" w:tentative="0">
      <w:start w:val="2"/>
      <w:numFmt w:val="decimal"/>
      <w:suff w:val="nothing"/>
      <w:lvlText w:val="（%1）"/>
      <w:lvlJc w:val="left"/>
    </w:lvl>
  </w:abstractNum>
  <w:abstractNum w:abstractNumId="8">
    <w:nsid w:val="602C7A39"/>
    <w:multiLevelType w:val="singleLevel"/>
    <w:tmpl w:val="602C7A39"/>
    <w:lvl w:ilvl="0" w:tentative="0">
      <w:start w:val="4"/>
      <w:numFmt w:val="chineseCounting"/>
      <w:suff w:val="nothing"/>
      <w:lvlText w:val="%1、"/>
      <w:lvlJc w:val="left"/>
    </w:lvl>
  </w:abstractNum>
  <w:abstractNum w:abstractNumId="9">
    <w:nsid w:val="602CC4E4"/>
    <w:multiLevelType w:val="singleLevel"/>
    <w:tmpl w:val="602CC4E4"/>
    <w:lvl w:ilvl="0" w:tentative="0">
      <w:start w:val="5"/>
      <w:numFmt w:val="decimal"/>
      <w:suff w:val="nothing"/>
      <w:lvlText w:val="%1、"/>
      <w:lvlJc w:val="left"/>
    </w:lvl>
  </w:abstractNum>
  <w:abstractNum w:abstractNumId="10">
    <w:nsid w:val="602CD361"/>
    <w:multiLevelType w:val="singleLevel"/>
    <w:tmpl w:val="602CD361"/>
    <w:lvl w:ilvl="0" w:tentative="0">
      <w:start w:val="3"/>
      <w:numFmt w:val="decimal"/>
      <w:suff w:val="nothing"/>
      <w:lvlText w:val="（%1）"/>
      <w:lvlJc w:val="left"/>
    </w:lvl>
  </w:abstractNum>
  <w:abstractNum w:abstractNumId="11">
    <w:nsid w:val="6E871261"/>
    <w:multiLevelType w:val="multilevel"/>
    <w:tmpl w:val="6E871261"/>
    <w:lvl w:ilvl="0" w:tentative="0">
      <w:start w:val="1"/>
      <w:numFmt w:val="decimal"/>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4"/>
  </w:num>
  <w:num w:numId="2">
    <w:abstractNumId w:val="0"/>
  </w:num>
  <w:num w:numId="3">
    <w:abstractNumId w:val="5"/>
  </w:num>
  <w:num w:numId="4">
    <w:abstractNumId w:val="8"/>
  </w:num>
  <w:num w:numId="5">
    <w:abstractNumId w:val="6"/>
  </w:num>
  <w:num w:numId="6">
    <w:abstractNumId w:val="7"/>
  </w:num>
  <w:num w:numId="7">
    <w:abstractNumId w:val="9"/>
  </w:num>
  <w:num w:numId="8">
    <w:abstractNumId w:val="1"/>
  </w:num>
  <w:num w:numId="9">
    <w:abstractNumId w:val="2"/>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iZWEzMDJjOTJiMmE0ODEwZmVjYzIyZDcyMjI0NGUifQ=="/>
  </w:docVars>
  <w:rsids>
    <w:rsidRoot w:val="00172A27"/>
    <w:rsid w:val="000006FD"/>
    <w:rsid w:val="00000BCD"/>
    <w:rsid w:val="00001184"/>
    <w:rsid w:val="000011B5"/>
    <w:rsid w:val="000014D3"/>
    <w:rsid w:val="00001DCB"/>
    <w:rsid w:val="000026B8"/>
    <w:rsid w:val="00003CF4"/>
    <w:rsid w:val="000056AD"/>
    <w:rsid w:val="0000582E"/>
    <w:rsid w:val="00005AF4"/>
    <w:rsid w:val="00005DBC"/>
    <w:rsid w:val="00006391"/>
    <w:rsid w:val="00007986"/>
    <w:rsid w:val="00010983"/>
    <w:rsid w:val="00010BB4"/>
    <w:rsid w:val="00010FB5"/>
    <w:rsid w:val="0001108A"/>
    <w:rsid w:val="000116CE"/>
    <w:rsid w:val="00012018"/>
    <w:rsid w:val="000126A7"/>
    <w:rsid w:val="00012EB0"/>
    <w:rsid w:val="00013B94"/>
    <w:rsid w:val="000140D2"/>
    <w:rsid w:val="000142C2"/>
    <w:rsid w:val="00014869"/>
    <w:rsid w:val="00015108"/>
    <w:rsid w:val="00016CB2"/>
    <w:rsid w:val="0002055A"/>
    <w:rsid w:val="0002092D"/>
    <w:rsid w:val="00022BFC"/>
    <w:rsid w:val="00022CB5"/>
    <w:rsid w:val="00023513"/>
    <w:rsid w:val="000246CB"/>
    <w:rsid w:val="00024DE6"/>
    <w:rsid w:val="000258BF"/>
    <w:rsid w:val="000259CE"/>
    <w:rsid w:val="00025A78"/>
    <w:rsid w:val="00025E3D"/>
    <w:rsid w:val="00025E68"/>
    <w:rsid w:val="00026015"/>
    <w:rsid w:val="000304EA"/>
    <w:rsid w:val="00030803"/>
    <w:rsid w:val="00030F28"/>
    <w:rsid w:val="00031713"/>
    <w:rsid w:val="00031CBE"/>
    <w:rsid w:val="0003267E"/>
    <w:rsid w:val="00032F3A"/>
    <w:rsid w:val="00033243"/>
    <w:rsid w:val="00033C9C"/>
    <w:rsid w:val="0003453C"/>
    <w:rsid w:val="0003492F"/>
    <w:rsid w:val="00035188"/>
    <w:rsid w:val="000355AA"/>
    <w:rsid w:val="00035800"/>
    <w:rsid w:val="0003662F"/>
    <w:rsid w:val="000370BC"/>
    <w:rsid w:val="00037A47"/>
    <w:rsid w:val="0004101D"/>
    <w:rsid w:val="0004174D"/>
    <w:rsid w:val="000426B5"/>
    <w:rsid w:val="00042F1B"/>
    <w:rsid w:val="00043761"/>
    <w:rsid w:val="000437B4"/>
    <w:rsid w:val="00043921"/>
    <w:rsid w:val="00043B31"/>
    <w:rsid w:val="00043E7D"/>
    <w:rsid w:val="00044FB2"/>
    <w:rsid w:val="0004503B"/>
    <w:rsid w:val="000470D0"/>
    <w:rsid w:val="0005002B"/>
    <w:rsid w:val="000516CC"/>
    <w:rsid w:val="00051EEA"/>
    <w:rsid w:val="000521BB"/>
    <w:rsid w:val="00052472"/>
    <w:rsid w:val="0005298D"/>
    <w:rsid w:val="00052B83"/>
    <w:rsid w:val="00052E85"/>
    <w:rsid w:val="000547D0"/>
    <w:rsid w:val="000562E1"/>
    <w:rsid w:val="0005774D"/>
    <w:rsid w:val="000578E6"/>
    <w:rsid w:val="00060239"/>
    <w:rsid w:val="000602EB"/>
    <w:rsid w:val="0006053F"/>
    <w:rsid w:val="000608C3"/>
    <w:rsid w:val="00060FC1"/>
    <w:rsid w:val="000617E9"/>
    <w:rsid w:val="000626B3"/>
    <w:rsid w:val="00062ABA"/>
    <w:rsid w:val="00063915"/>
    <w:rsid w:val="00064951"/>
    <w:rsid w:val="00066685"/>
    <w:rsid w:val="00067867"/>
    <w:rsid w:val="00067A60"/>
    <w:rsid w:val="0007042D"/>
    <w:rsid w:val="00070CEF"/>
    <w:rsid w:val="00071741"/>
    <w:rsid w:val="00071B86"/>
    <w:rsid w:val="00072E7F"/>
    <w:rsid w:val="0007418C"/>
    <w:rsid w:val="00074924"/>
    <w:rsid w:val="00074AC3"/>
    <w:rsid w:val="0007526C"/>
    <w:rsid w:val="00076390"/>
    <w:rsid w:val="00077A93"/>
    <w:rsid w:val="0008080E"/>
    <w:rsid w:val="00081380"/>
    <w:rsid w:val="000816D9"/>
    <w:rsid w:val="00081F41"/>
    <w:rsid w:val="00082151"/>
    <w:rsid w:val="000825CD"/>
    <w:rsid w:val="0008273C"/>
    <w:rsid w:val="0008359F"/>
    <w:rsid w:val="00083710"/>
    <w:rsid w:val="00083C90"/>
    <w:rsid w:val="0008454C"/>
    <w:rsid w:val="00086313"/>
    <w:rsid w:val="0008760B"/>
    <w:rsid w:val="00090124"/>
    <w:rsid w:val="0009182A"/>
    <w:rsid w:val="000928A9"/>
    <w:rsid w:val="0009306C"/>
    <w:rsid w:val="000940E3"/>
    <w:rsid w:val="00094B43"/>
    <w:rsid w:val="00094EC9"/>
    <w:rsid w:val="00095884"/>
    <w:rsid w:val="00095BC9"/>
    <w:rsid w:val="00097043"/>
    <w:rsid w:val="00097417"/>
    <w:rsid w:val="000978EF"/>
    <w:rsid w:val="000A0240"/>
    <w:rsid w:val="000A0EDD"/>
    <w:rsid w:val="000A1680"/>
    <w:rsid w:val="000A16CC"/>
    <w:rsid w:val="000A1BA8"/>
    <w:rsid w:val="000A202D"/>
    <w:rsid w:val="000A2BA0"/>
    <w:rsid w:val="000A467C"/>
    <w:rsid w:val="000A4F76"/>
    <w:rsid w:val="000A5015"/>
    <w:rsid w:val="000A5072"/>
    <w:rsid w:val="000A5CB4"/>
    <w:rsid w:val="000A7269"/>
    <w:rsid w:val="000A7EDB"/>
    <w:rsid w:val="000B13B8"/>
    <w:rsid w:val="000B1727"/>
    <w:rsid w:val="000B2E26"/>
    <w:rsid w:val="000B3956"/>
    <w:rsid w:val="000B4E24"/>
    <w:rsid w:val="000B5234"/>
    <w:rsid w:val="000B527D"/>
    <w:rsid w:val="000B5ED8"/>
    <w:rsid w:val="000B6DD8"/>
    <w:rsid w:val="000B705B"/>
    <w:rsid w:val="000C069C"/>
    <w:rsid w:val="000C0DBA"/>
    <w:rsid w:val="000C1BB6"/>
    <w:rsid w:val="000C273E"/>
    <w:rsid w:val="000C2B7F"/>
    <w:rsid w:val="000C2B9D"/>
    <w:rsid w:val="000C44B9"/>
    <w:rsid w:val="000C65C2"/>
    <w:rsid w:val="000C6878"/>
    <w:rsid w:val="000C70E4"/>
    <w:rsid w:val="000C7613"/>
    <w:rsid w:val="000C7F33"/>
    <w:rsid w:val="000C7FB8"/>
    <w:rsid w:val="000D12FA"/>
    <w:rsid w:val="000D14A9"/>
    <w:rsid w:val="000D3325"/>
    <w:rsid w:val="000D486E"/>
    <w:rsid w:val="000D4D7C"/>
    <w:rsid w:val="000D4EA2"/>
    <w:rsid w:val="000D5ACE"/>
    <w:rsid w:val="000D6C0C"/>
    <w:rsid w:val="000D7885"/>
    <w:rsid w:val="000D7A5B"/>
    <w:rsid w:val="000E141B"/>
    <w:rsid w:val="000E26EA"/>
    <w:rsid w:val="000E2AC5"/>
    <w:rsid w:val="000E2D3A"/>
    <w:rsid w:val="000E329A"/>
    <w:rsid w:val="000E33DF"/>
    <w:rsid w:val="000E356E"/>
    <w:rsid w:val="000E3E01"/>
    <w:rsid w:val="000E3E12"/>
    <w:rsid w:val="000E5BA5"/>
    <w:rsid w:val="000E70CB"/>
    <w:rsid w:val="000E738E"/>
    <w:rsid w:val="000E7572"/>
    <w:rsid w:val="000E7574"/>
    <w:rsid w:val="000F02A3"/>
    <w:rsid w:val="000F1724"/>
    <w:rsid w:val="000F26E3"/>
    <w:rsid w:val="000F2C64"/>
    <w:rsid w:val="000F3291"/>
    <w:rsid w:val="000F33AD"/>
    <w:rsid w:val="000F3869"/>
    <w:rsid w:val="000F38D2"/>
    <w:rsid w:val="000F3A83"/>
    <w:rsid w:val="000F4027"/>
    <w:rsid w:val="000F456F"/>
    <w:rsid w:val="000F4E4C"/>
    <w:rsid w:val="000F5488"/>
    <w:rsid w:val="000F5E01"/>
    <w:rsid w:val="000F67E7"/>
    <w:rsid w:val="00100754"/>
    <w:rsid w:val="00101247"/>
    <w:rsid w:val="00102163"/>
    <w:rsid w:val="00102310"/>
    <w:rsid w:val="00102A52"/>
    <w:rsid w:val="001052C7"/>
    <w:rsid w:val="001057E8"/>
    <w:rsid w:val="00105A6B"/>
    <w:rsid w:val="00105E10"/>
    <w:rsid w:val="00106078"/>
    <w:rsid w:val="00106ABB"/>
    <w:rsid w:val="00110520"/>
    <w:rsid w:val="001117E2"/>
    <w:rsid w:val="00112A18"/>
    <w:rsid w:val="00112D17"/>
    <w:rsid w:val="0011312D"/>
    <w:rsid w:val="0011354F"/>
    <w:rsid w:val="00113EC1"/>
    <w:rsid w:val="00113F38"/>
    <w:rsid w:val="00114375"/>
    <w:rsid w:val="00114A6A"/>
    <w:rsid w:val="001150D8"/>
    <w:rsid w:val="00115BC9"/>
    <w:rsid w:val="001160D8"/>
    <w:rsid w:val="00116690"/>
    <w:rsid w:val="0012053A"/>
    <w:rsid w:val="00120F1C"/>
    <w:rsid w:val="001228C7"/>
    <w:rsid w:val="001228DF"/>
    <w:rsid w:val="00124193"/>
    <w:rsid w:val="00124801"/>
    <w:rsid w:val="00124DC8"/>
    <w:rsid w:val="0012571D"/>
    <w:rsid w:val="001258C2"/>
    <w:rsid w:val="001258FA"/>
    <w:rsid w:val="00125CFA"/>
    <w:rsid w:val="00126EA2"/>
    <w:rsid w:val="00126ED2"/>
    <w:rsid w:val="001302DE"/>
    <w:rsid w:val="001304B1"/>
    <w:rsid w:val="00131694"/>
    <w:rsid w:val="00131E0F"/>
    <w:rsid w:val="0013298C"/>
    <w:rsid w:val="00133335"/>
    <w:rsid w:val="001338E6"/>
    <w:rsid w:val="00134429"/>
    <w:rsid w:val="001348D1"/>
    <w:rsid w:val="00135C6B"/>
    <w:rsid w:val="0013630E"/>
    <w:rsid w:val="00136356"/>
    <w:rsid w:val="001369FF"/>
    <w:rsid w:val="00136BA5"/>
    <w:rsid w:val="00137524"/>
    <w:rsid w:val="00140381"/>
    <w:rsid w:val="0014056C"/>
    <w:rsid w:val="00140736"/>
    <w:rsid w:val="0014094F"/>
    <w:rsid w:val="001447DF"/>
    <w:rsid w:val="001455BE"/>
    <w:rsid w:val="001458B6"/>
    <w:rsid w:val="00147091"/>
    <w:rsid w:val="001471D4"/>
    <w:rsid w:val="0015024C"/>
    <w:rsid w:val="00150379"/>
    <w:rsid w:val="00152193"/>
    <w:rsid w:val="00152259"/>
    <w:rsid w:val="0015259E"/>
    <w:rsid w:val="001531DD"/>
    <w:rsid w:val="001533AA"/>
    <w:rsid w:val="00153684"/>
    <w:rsid w:val="00154259"/>
    <w:rsid w:val="001551CD"/>
    <w:rsid w:val="00155F87"/>
    <w:rsid w:val="00156266"/>
    <w:rsid w:val="00156A1E"/>
    <w:rsid w:val="00156A9C"/>
    <w:rsid w:val="0015750D"/>
    <w:rsid w:val="00157B9E"/>
    <w:rsid w:val="001609DF"/>
    <w:rsid w:val="00160FF6"/>
    <w:rsid w:val="001610F8"/>
    <w:rsid w:val="00161531"/>
    <w:rsid w:val="001617B9"/>
    <w:rsid w:val="00162435"/>
    <w:rsid w:val="00162592"/>
    <w:rsid w:val="00162999"/>
    <w:rsid w:val="0016430B"/>
    <w:rsid w:val="0016501A"/>
    <w:rsid w:val="001652C8"/>
    <w:rsid w:val="001656BB"/>
    <w:rsid w:val="001663D2"/>
    <w:rsid w:val="001673FD"/>
    <w:rsid w:val="0017058F"/>
    <w:rsid w:val="001708B6"/>
    <w:rsid w:val="00171876"/>
    <w:rsid w:val="0017281F"/>
    <w:rsid w:val="00172A27"/>
    <w:rsid w:val="00172ADC"/>
    <w:rsid w:val="001749E7"/>
    <w:rsid w:val="00174A06"/>
    <w:rsid w:val="00174D83"/>
    <w:rsid w:val="001757C1"/>
    <w:rsid w:val="00175B5A"/>
    <w:rsid w:val="00175FEF"/>
    <w:rsid w:val="0017622A"/>
    <w:rsid w:val="00176B3A"/>
    <w:rsid w:val="00180DE7"/>
    <w:rsid w:val="0018208D"/>
    <w:rsid w:val="00183D32"/>
    <w:rsid w:val="001850E7"/>
    <w:rsid w:val="00186A61"/>
    <w:rsid w:val="00186CBC"/>
    <w:rsid w:val="001872DF"/>
    <w:rsid w:val="00187848"/>
    <w:rsid w:val="0019057F"/>
    <w:rsid w:val="00191E43"/>
    <w:rsid w:val="00193B20"/>
    <w:rsid w:val="00193FB9"/>
    <w:rsid w:val="001941E4"/>
    <w:rsid w:val="00194DB4"/>
    <w:rsid w:val="001953BA"/>
    <w:rsid w:val="001953D9"/>
    <w:rsid w:val="00195FEC"/>
    <w:rsid w:val="0019683A"/>
    <w:rsid w:val="00196E2D"/>
    <w:rsid w:val="001A0476"/>
    <w:rsid w:val="001A0538"/>
    <w:rsid w:val="001A1185"/>
    <w:rsid w:val="001A2EC1"/>
    <w:rsid w:val="001A479C"/>
    <w:rsid w:val="001A76E9"/>
    <w:rsid w:val="001A7750"/>
    <w:rsid w:val="001A77CA"/>
    <w:rsid w:val="001B00E7"/>
    <w:rsid w:val="001B13F5"/>
    <w:rsid w:val="001B1B87"/>
    <w:rsid w:val="001B1F29"/>
    <w:rsid w:val="001B29A0"/>
    <w:rsid w:val="001B50B3"/>
    <w:rsid w:val="001B644A"/>
    <w:rsid w:val="001B6A93"/>
    <w:rsid w:val="001B720F"/>
    <w:rsid w:val="001C04E2"/>
    <w:rsid w:val="001C109C"/>
    <w:rsid w:val="001C1708"/>
    <w:rsid w:val="001C1D5C"/>
    <w:rsid w:val="001C235E"/>
    <w:rsid w:val="001C301A"/>
    <w:rsid w:val="001C3215"/>
    <w:rsid w:val="001C3682"/>
    <w:rsid w:val="001C3E67"/>
    <w:rsid w:val="001C4810"/>
    <w:rsid w:val="001C4EB5"/>
    <w:rsid w:val="001C5442"/>
    <w:rsid w:val="001C5908"/>
    <w:rsid w:val="001C5E58"/>
    <w:rsid w:val="001C63A8"/>
    <w:rsid w:val="001C64CF"/>
    <w:rsid w:val="001C70F9"/>
    <w:rsid w:val="001C7117"/>
    <w:rsid w:val="001D12D4"/>
    <w:rsid w:val="001D1DF0"/>
    <w:rsid w:val="001D33B4"/>
    <w:rsid w:val="001D46DC"/>
    <w:rsid w:val="001D4A53"/>
    <w:rsid w:val="001D5837"/>
    <w:rsid w:val="001D6A5D"/>
    <w:rsid w:val="001D730C"/>
    <w:rsid w:val="001E02DD"/>
    <w:rsid w:val="001E0B6D"/>
    <w:rsid w:val="001E1AA5"/>
    <w:rsid w:val="001E1FE5"/>
    <w:rsid w:val="001E25A5"/>
    <w:rsid w:val="001E2AFF"/>
    <w:rsid w:val="001E31B7"/>
    <w:rsid w:val="001E3493"/>
    <w:rsid w:val="001E366E"/>
    <w:rsid w:val="001E397B"/>
    <w:rsid w:val="001E39F6"/>
    <w:rsid w:val="001E3ABF"/>
    <w:rsid w:val="001E4691"/>
    <w:rsid w:val="001E50B9"/>
    <w:rsid w:val="001E552C"/>
    <w:rsid w:val="001E63F0"/>
    <w:rsid w:val="001F134B"/>
    <w:rsid w:val="001F25F8"/>
    <w:rsid w:val="001F337F"/>
    <w:rsid w:val="001F3706"/>
    <w:rsid w:val="001F3871"/>
    <w:rsid w:val="001F46E7"/>
    <w:rsid w:val="001F4E68"/>
    <w:rsid w:val="001F73CB"/>
    <w:rsid w:val="00200A8B"/>
    <w:rsid w:val="00201144"/>
    <w:rsid w:val="00201412"/>
    <w:rsid w:val="00201687"/>
    <w:rsid w:val="00201D34"/>
    <w:rsid w:val="0020244E"/>
    <w:rsid w:val="002033F6"/>
    <w:rsid w:val="00203CED"/>
    <w:rsid w:val="00203CF7"/>
    <w:rsid w:val="002045C9"/>
    <w:rsid w:val="002047D2"/>
    <w:rsid w:val="00204DAB"/>
    <w:rsid w:val="00205586"/>
    <w:rsid w:val="00205A1C"/>
    <w:rsid w:val="00205C7C"/>
    <w:rsid w:val="00206B5F"/>
    <w:rsid w:val="00206D6F"/>
    <w:rsid w:val="002075B3"/>
    <w:rsid w:val="0020760C"/>
    <w:rsid w:val="00207AC4"/>
    <w:rsid w:val="00211C25"/>
    <w:rsid w:val="00215597"/>
    <w:rsid w:val="00215705"/>
    <w:rsid w:val="002157D9"/>
    <w:rsid w:val="0021644E"/>
    <w:rsid w:val="00216AA3"/>
    <w:rsid w:val="00216DE8"/>
    <w:rsid w:val="002178FD"/>
    <w:rsid w:val="00217F81"/>
    <w:rsid w:val="002219BE"/>
    <w:rsid w:val="00222C05"/>
    <w:rsid w:val="002235C7"/>
    <w:rsid w:val="00223BB6"/>
    <w:rsid w:val="00223FED"/>
    <w:rsid w:val="00224896"/>
    <w:rsid w:val="00224BCC"/>
    <w:rsid w:val="00224DF1"/>
    <w:rsid w:val="00224F64"/>
    <w:rsid w:val="002272FC"/>
    <w:rsid w:val="002302BC"/>
    <w:rsid w:val="00231DDB"/>
    <w:rsid w:val="0023452A"/>
    <w:rsid w:val="00234B42"/>
    <w:rsid w:val="0023585A"/>
    <w:rsid w:val="0023641F"/>
    <w:rsid w:val="0023657F"/>
    <w:rsid w:val="00236C7C"/>
    <w:rsid w:val="00236F49"/>
    <w:rsid w:val="002401A4"/>
    <w:rsid w:val="00240742"/>
    <w:rsid w:val="00240890"/>
    <w:rsid w:val="00240EB7"/>
    <w:rsid w:val="00241360"/>
    <w:rsid w:val="00242A38"/>
    <w:rsid w:val="00243948"/>
    <w:rsid w:val="002444B8"/>
    <w:rsid w:val="0024483F"/>
    <w:rsid w:val="00245CCD"/>
    <w:rsid w:val="00247393"/>
    <w:rsid w:val="0024781C"/>
    <w:rsid w:val="002510B3"/>
    <w:rsid w:val="002516D9"/>
    <w:rsid w:val="0025278D"/>
    <w:rsid w:val="00253770"/>
    <w:rsid w:val="00253D29"/>
    <w:rsid w:val="00253E44"/>
    <w:rsid w:val="00254444"/>
    <w:rsid w:val="00254642"/>
    <w:rsid w:val="0025474D"/>
    <w:rsid w:val="00254FFA"/>
    <w:rsid w:val="0025505B"/>
    <w:rsid w:val="00255AC4"/>
    <w:rsid w:val="00256680"/>
    <w:rsid w:val="002573C1"/>
    <w:rsid w:val="002575B7"/>
    <w:rsid w:val="00261779"/>
    <w:rsid w:val="00262641"/>
    <w:rsid w:val="00264203"/>
    <w:rsid w:val="0026427C"/>
    <w:rsid w:val="0026442A"/>
    <w:rsid w:val="002650E7"/>
    <w:rsid w:val="002663BE"/>
    <w:rsid w:val="002714D2"/>
    <w:rsid w:val="00271A2C"/>
    <w:rsid w:val="00272591"/>
    <w:rsid w:val="00272D15"/>
    <w:rsid w:val="0027316E"/>
    <w:rsid w:val="00273BEB"/>
    <w:rsid w:val="00274153"/>
    <w:rsid w:val="00274683"/>
    <w:rsid w:val="0027576C"/>
    <w:rsid w:val="0027584C"/>
    <w:rsid w:val="00276725"/>
    <w:rsid w:val="002774A0"/>
    <w:rsid w:val="0028000E"/>
    <w:rsid w:val="002806B7"/>
    <w:rsid w:val="0028087F"/>
    <w:rsid w:val="0028112D"/>
    <w:rsid w:val="00282216"/>
    <w:rsid w:val="00282F38"/>
    <w:rsid w:val="0028362B"/>
    <w:rsid w:val="00283AF8"/>
    <w:rsid w:val="00283DC3"/>
    <w:rsid w:val="00285D9D"/>
    <w:rsid w:val="002908CC"/>
    <w:rsid w:val="002918DB"/>
    <w:rsid w:val="00292D01"/>
    <w:rsid w:val="00296C6F"/>
    <w:rsid w:val="00297374"/>
    <w:rsid w:val="00297A66"/>
    <w:rsid w:val="00297A77"/>
    <w:rsid w:val="00297CE2"/>
    <w:rsid w:val="00297F19"/>
    <w:rsid w:val="002A00F9"/>
    <w:rsid w:val="002A2806"/>
    <w:rsid w:val="002A2AAF"/>
    <w:rsid w:val="002A39C8"/>
    <w:rsid w:val="002A4389"/>
    <w:rsid w:val="002A4A3D"/>
    <w:rsid w:val="002A7673"/>
    <w:rsid w:val="002A79A0"/>
    <w:rsid w:val="002B0196"/>
    <w:rsid w:val="002B032B"/>
    <w:rsid w:val="002B03B3"/>
    <w:rsid w:val="002B12F1"/>
    <w:rsid w:val="002B1789"/>
    <w:rsid w:val="002B2899"/>
    <w:rsid w:val="002B2F7C"/>
    <w:rsid w:val="002B48D5"/>
    <w:rsid w:val="002B5016"/>
    <w:rsid w:val="002B510D"/>
    <w:rsid w:val="002B5135"/>
    <w:rsid w:val="002B5881"/>
    <w:rsid w:val="002B5BE4"/>
    <w:rsid w:val="002B6E49"/>
    <w:rsid w:val="002B7866"/>
    <w:rsid w:val="002C129C"/>
    <w:rsid w:val="002C1AE1"/>
    <w:rsid w:val="002C44D2"/>
    <w:rsid w:val="002C4A24"/>
    <w:rsid w:val="002C4E1C"/>
    <w:rsid w:val="002C5AE8"/>
    <w:rsid w:val="002C662D"/>
    <w:rsid w:val="002C6BB4"/>
    <w:rsid w:val="002C6DB6"/>
    <w:rsid w:val="002C7BFE"/>
    <w:rsid w:val="002D037B"/>
    <w:rsid w:val="002D046C"/>
    <w:rsid w:val="002D055F"/>
    <w:rsid w:val="002D1F57"/>
    <w:rsid w:val="002D29E4"/>
    <w:rsid w:val="002D3176"/>
    <w:rsid w:val="002D3628"/>
    <w:rsid w:val="002D38FC"/>
    <w:rsid w:val="002D478F"/>
    <w:rsid w:val="002D50D1"/>
    <w:rsid w:val="002D67B7"/>
    <w:rsid w:val="002D700F"/>
    <w:rsid w:val="002D742C"/>
    <w:rsid w:val="002D79E9"/>
    <w:rsid w:val="002E0BDC"/>
    <w:rsid w:val="002E3D2B"/>
    <w:rsid w:val="002E3F2A"/>
    <w:rsid w:val="002E3F33"/>
    <w:rsid w:val="002E4B18"/>
    <w:rsid w:val="002E556A"/>
    <w:rsid w:val="002F0425"/>
    <w:rsid w:val="002F0674"/>
    <w:rsid w:val="002F08AD"/>
    <w:rsid w:val="002F2D1C"/>
    <w:rsid w:val="002F4F8D"/>
    <w:rsid w:val="002F4F93"/>
    <w:rsid w:val="002F599B"/>
    <w:rsid w:val="002F6555"/>
    <w:rsid w:val="002F7235"/>
    <w:rsid w:val="002F73C1"/>
    <w:rsid w:val="002F75E8"/>
    <w:rsid w:val="002F7F8D"/>
    <w:rsid w:val="003002EC"/>
    <w:rsid w:val="00300384"/>
    <w:rsid w:val="0030183C"/>
    <w:rsid w:val="00302A83"/>
    <w:rsid w:val="00303AD0"/>
    <w:rsid w:val="003046ED"/>
    <w:rsid w:val="00304774"/>
    <w:rsid w:val="00304D44"/>
    <w:rsid w:val="00304E5C"/>
    <w:rsid w:val="003058C6"/>
    <w:rsid w:val="003058F1"/>
    <w:rsid w:val="00305DC4"/>
    <w:rsid w:val="00305E66"/>
    <w:rsid w:val="00310642"/>
    <w:rsid w:val="0031082A"/>
    <w:rsid w:val="0031175C"/>
    <w:rsid w:val="00311899"/>
    <w:rsid w:val="00311F61"/>
    <w:rsid w:val="00312AD3"/>
    <w:rsid w:val="00313B23"/>
    <w:rsid w:val="00315493"/>
    <w:rsid w:val="0031577A"/>
    <w:rsid w:val="00315813"/>
    <w:rsid w:val="003159C7"/>
    <w:rsid w:val="00316501"/>
    <w:rsid w:val="0031690F"/>
    <w:rsid w:val="00316A54"/>
    <w:rsid w:val="003203AA"/>
    <w:rsid w:val="0032122D"/>
    <w:rsid w:val="003222CF"/>
    <w:rsid w:val="00322350"/>
    <w:rsid w:val="00322835"/>
    <w:rsid w:val="0032300C"/>
    <w:rsid w:val="003230F1"/>
    <w:rsid w:val="00323B1A"/>
    <w:rsid w:val="00323D93"/>
    <w:rsid w:val="003246B7"/>
    <w:rsid w:val="003251CB"/>
    <w:rsid w:val="00325660"/>
    <w:rsid w:val="0032569A"/>
    <w:rsid w:val="00326B4B"/>
    <w:rsid w:val="00326F60"/>
    <w:rsid w:val="0032739E"/>
    <w:rsid w:val="00330238"/>
    <w:rsid w:val="00330BD9"/>
    <w:rsid w:val="00331765"/>
    <w:rsid w:val="00331BD6"/>
    <w:rsid w:val="00331CD6"/>
    <w:rsid w:val="00332CE3"/>
    <w:rsid w:val="0033308D"/>
    <w:rsid w:val="003343E5"/>
    <w:rsid w:val="003346F5"/>
    <w:rsid w:val="00334FCD"/>
    <w:rsid w:val="00335566"/>
    <w:rsid w:val="00336641"/>
    <w:rsid w:val="003369AA"/>
    <w:rsid w:val="00336F19"/>
    <w:rsid w:val="00337328"/>
    <w:rsid w:val="00337372"/>
    <w:rsid w:val="00337877"/>
    <w:rsid w:val="00337A1D"/>
    <w:rsid w:val="00340199"/>
    <w:rsid w:val="00340A81"/>
    <w:rsid w:val="00340F4B"/>
    <w:rsid w:val="00342FD9"/>
    <w:rsid w:val="003447BF"/>
    <w:rsid w:val="00344B0C"/>
    <w:rsid w:val="003450FE"/>
    <w:rsid w:val="003453B7"/>
    <w:rsid w:val="00345A9C"/>
    <w:rsid w:val="00345ECF"/>
    <w:rsid w:val="003466C1"/>
    <w:rsid w:val="00346D9B"/>
    <w:rsid w:val="00347301"/>
    <w:rsid w:val="0034785B"/>
    <w:rsid w:val="00347B4A"/>
    <w:rsid w:val="0035039C"/>
    <w:rsid w:val="00350F22"/>
    <w:rsid w:val="0035236F"/>
    <w:rsid w:val="0035253E"/>
    <w:rsid w:val="003558A2"/>
    <w:rsid w:val="00355F34"/>
    <w:rsid w:val="00356CD3"/>
    <w:rsid w:val="00360B4A"/>
    <w:rsid w:val="003615B0"/>
    <w:rsid w:val="003635F7"/>
    <w:rsid w:val="0036526F"/>
    <w:rsid w:val="00365410"/>
    <w:rsid w:val="00365A5B"/>
    <w:rsid w:val="00365F27"/>
    <w:rsid w:val="00365F2F"/>
    <w:rsid w:val="00367B96"/>
    <w:rsid w:val="00372F98"/>
    <w:rsid w:val="00373B56"/>
    <w:rsid w:val="00373F41"/>
    <w:rsid w:val="00375A30"/>
    <w:rsid w:val="00376454"/>
    <w:rsid w:val="003767B9"/>
    <w:rsid w:val="0037682D"/>
    <w:rsid w:val="00377220"/>
    <w:rsid w:val="00377C71"/>
    <w:rsid w:val="0038061A"/>
    <w:rsid w:val="00381FB3"/>
    <w:rsid w:val="0038372C"/>
    <w:rsid w:val="003841E8"/>
    <w:rsid w:val="0038469B"/>
    <w:rsid w:val="00384AAD"/>
    <w:rsid w:val="003854C5"/>
    <w:rsid w:val="003869F5"/>
    <w:rsid w:val="00386E3B"/>
    <w:rsid w:val="00390585"/>
    <w:rsid w:val="00390C88"/>
    <w:rsid w:val="00391408"/>
    <w:rsid w:val="0039243F"/>
    <w:rsid w:val="003925AC"/>
    <w:rsid w:val="003925EE"/>
    <w:rsid w:val="00394132"/>
    <w:rsid w:val="00394ED9"/>
    <w:rsid w:val="00396005"/>
    <w:rsid w:val="003962B6"/>
    <w:rsid w:val="0039702F"/>
    <w:rsid w:val="003970DC"/>
    <w:rsid w:val="003A00C7"/>
    <w:rsid w:val="003A142B"/>
    <w:rsid w:val="003A1BFD"/>
    <w:rsid w:val="003A22A0"/>
    <w:rsid w:val="003A3633"/>
    <w:rsid w:val="003A3AEE"/>
    <w:rsid w:val="003A510E"/>
    <w:rsid w:val="003A5367"/>
    <w:rsid w:val="003A563E"/>
    <w:rsid w:val="003A5AB3"/>
    <w:rsid w:val="003A6514"/>
    <w:rsid w:val="003A707B"/>
    <w:rsid w:val="003A723C"/>
    <w:rsid w:val="003B04BD"/>
    <w:rsid w:val="003B0BB6"/>
    <w:rsid w:val="003B15C7"/>
    <w:rsid w:val="003B1F2B"/>
    <w:rsid w:val="003B2025"/>
    <w:rsid w:val="003B224A"/>
    <w:rsid w:val="003B3488"/>
    <w:rsid w:val="003B4A6D"/>
    <w:rsid w:val="003B58E7"/>
    <w:rsid w:val="003B6F25"/>
    <w:rsid w:val="003B77E9"/>
    <w:rsid w:val="003B7879"/>
    <w:rsid w:val="003B7A95"/>
    <w:rsid w:val="003C093E"/>
    <w:rsid w:val="003C0BD4"/>
    <w:rsid w:val="003C0D3E"/>
    <w:rsid w:val="003C1D15"/>
    <w:rsid w:val="003C4200"/>
    <w:rsid w:val="003C4BB9"/>
    <w:rsid w:val="003C51CE"/>
    <w:rsid w:val="003C544A"/>
    <w:rsid w:val="003C7963"/>
    <w:rsid w:val="003C7AC5"/>
    <w:rsid w:val="003C7ED4"/>
    <w:rsid w:val="003D192F"/>
    <w:rsid w:val="003D2165"/>
    <w:rsid w:val="003D24E4"/>
    <w:rsid w:val="003D280A"/>
    <w:rsid w:val="003D446B"/>
    <w:rsid w:val="003D6390"/>
    <w:rsid w:val="003D6627"/>
    <w:rsid w:val="003D6C38"/>
    <w:rsid w:val="003D77DF"/>
    <w:rsid w:val="003D7BF1"/>
    <w:rsid w:val="003E09EB"/>
    <w:rsid w:val="003E0E0A"/>
    <w:rsid w:val="003E1132"/>
    <w:rsid w:val="003E1B7D"/>
    <w:rsid w:val="003E1B92"/>
    <w:rsid w:val="003E211B"/>
    <w:rsid w:val="003E25BE"/>
    <w:rsid w:val="003E2B07"/>
    <w:rsid w:val="003E2F40"/>
    <w:rsid w:val="003E4756"/>
    <w:rsid w:val="003E523A"/>
    <w:rsid w:val="003E55DC"/>
    <w:rsid w:val="003E6C0F"/>
    <w:rsid w:val="003E7138"/>
    <w:rsid w:val="003E7162"/>
    <w:rsid w:val="003E7A55"/>
    <w:rsid w:val="003E7BEF"/>
    <w:rsid w:val="003F045A"/>
    <w:rsid w:val="003F0925"/>
    <w:rsid w:val="003F1410"/>
    <w:rsid w:val="003F18EF"/>
    <w:rsid w:val="003F2049"/>
    <w:rsid w:val="003F2A8C"/>
    <w:rsid w:val="003F3337"/>
    <w:rsid w:val="003F3692"/>
    <w:rsid w:val="003F4958"/>
    <w:rsid w:val="003F5552"/>
    <w:rsid w:val="003F5A66"/>
    <w:rsid w:val="003F60DF"/>
    <w:rsid w:val="003F669B"/>
    <w:rsid w:val="003F6721"/>
    <w:rsid w:val="0040022A"/>
    <w:rsid w:val="004007F3"/>
    <w:rsid w:val="00400FFA"/>
    <w:rsid w:val="0040285C"/>
    <w:rsid w:val="00403331"/>
    <w:rsid w:val="00403BA4"/>
    <w:rsid w:val="00403C12"/>
    <w:rsid w:val="0040423F"/>
    <w:rsid w:val="00404B70"/>
    <w:rsid w:val="00404CEC"/>
    <w:rsid w:val="00405189"/>
    <w:rsid w:val="0040613F"/>
    <w:rsid w:val="004068B2"/>
    <w:rsid w:val="00406C8E"/>
    <w:rsid w:val="00407A19"/>
    <w:rsid w:val="00410AF7"/>
    <w:rsid w:val="00410EB9"/>
    <w:rsid w:val="00412A67"/>
    <w:rsid w:val="004135B9"/>
    <w:rsid w:val="00413830"/>
    <w:rsid w:val="00413D5E"/>
    <w:rsid w:val="00414E05"/>
    <w:rsid w:val="00415E31"/>
    <w:rsid w:val="004164A6"/>
    <w:rsid w:val="00416CFB"/>
    <w:rsid w:val="004171AC"/>
    <w:rsid w:val="004173B9"/>
    <w:rsid w:val="00417894"/>
    <w:rsid w:val="00417AE1"/>
    <w:rsid w:val="00420A69"/>
    <w:rsid w:val="00420CDB"/>
    <w:rsid w:val="00420F28"/>
    <w:rsid w:val="00422BA7"/>
    <w:rsid w:val="00422C51"/>
    <w:rsid w:val="004242C0"/>
    <w:rsid w:val="00424959"/>
    <w:rsid w:val="004249D6"/>
    <w:rsid w:val="00424CEC"/>
    <w:rsid w:val="00424FF3"/>
    <w:rsid w:val="00425600"/>
    <w:rsid w:val="00425890"/>
    <w:rsid w:val="00425DD8"/>
    <w:rsid w:val="00426825"/>
    <w:rsid w:val="00426BBE"/>
    <w:rsid w:val="00427430"/>
    <w:rsid w:val="00430459"/>
    <w:rsid w:val="00431929"/>
    <w:rsid w:val="00432CA1"/>
    <w:rsid w:val="00432D9A"/>
    <w:rsid w:val="00432F85"/>
    <w:rsid w:val="004331B4"/>
    <w:rsid w:val="004338F3"/>
    <w:rsid w:val="00433B7C"/>
    <w:rsid w:val="00434755"/>
    <w:rsid w:val="0043573D"/>
    <w:rsid w:val="00435C8F"/>
    <w:rsid w:val="004361BE"/>
    <w:rsid w:val="00436389"/>
    <w:rsid w:val="00440567"/>
    <w:rsid w:val="004408FF"/>
    <w:rsid w:val="00440B29"/>
    <w:rsid w:val="004419A1"/>
    <w:rsid w:val="00441EA6"/>
    <w:rsid w:val="004439A5"/>
    <w:rsid w:val="00444400"/>
    <w:rsid w:val="00445613"/>
    <w:rsid w:val="004468C0"/>
    <w:rsid w:val="00446B20"/>
    <w:rsid w:val="004470A7"/>
    <w:rsid w:val="0044754D"/>
    <w:rsid w:val="0044784B"/>
    <w:rsid w:val="004522DD"/>
    <w:rsid w:val="004525CF"/>
    <w:rsid w:val="00453CB9"/>
    <w:rsid w:val="0045459B"/>
    <w:rsid w:val="00454749"/>
    <w:rsid w:val="00454AB3"/>
    <w:rsid w:val="00455615"/>
    <w:rsid w:val="004558A9"/>
    <w:rsid w:val="00455952"/>
    <w:rsid w:val="00456A3C"/>
    <w:rsid w:val="00461AD5"/>
    <w:rsid w:val="00461BF5"/>
    <w:rsid w:val="00461D9C"/>
    <w:rsid w:val="00461E1E"/>
    <w:rsid w:val="00461F19"/>
    <w:rsid w:val="00462383"/>
    <w:rsid w:val="00463340"/>
    <w:rsid w:val="004639DA"/>
    <w:rsid w:val="004640C9"/>
    <w:rsid w:val="004640F2"/>
    <w:rsid w:val="004662E8"/>
    <w:rsid w:val="00467B7C"/>
    <w:rsid w:val="00467E6B"/>
    <w:rsid w:val="00467F56"/>
    <w:rsid w:val="00471CE8"/>
    <w:rsid w:val="004730A9"/>
    <w:rsid w:val="004747F7"/>
    <w:rsid w:val="00474B70"/>
    <w:rsid w:val="00475812"/>
    <w:rsid w:val="00475F4C"/>
    <w:rsid w:val="00476042"/>
    <w:rsid w:val="00476896"/>
    <w:rsid w:val="00480A00"/>
    <w:rsid w:val="0048259C"/>
    <w:rsid w:val="004831E7"/>
    <w:rsid w:val="00483541"/>
    <w:rsid w:val="00483ACC"/>
    <w:rsid w:val="004843CF"/>
    <w:rsid w:val="00484890"/>
    <w:rsid w:val="00484DAB"/>
    <w:rsid w:val="00484DBA"/>
    <w:rsid w:val="00485DF4"/>
    <w:rsid w:val="004860A2"/>
    <w:rsid w:val="00487D24"/>
    <w:rsid w:val="00487F7C"/>
    <w:rsid w:val="004903D5"/>
    <w:rsid w:val="00490786"/>
    <w:rsid w:val="00490A80"/>
    <w:rsid w:val="00490A89"/>
    <w:rsid w:val="0049120E"/>
    <w:rsid w:val="0049183B"/>
    <w:rsid w:val="004920E2"/>
    <w:rsid w:val="004921E3"/>
    <w:rsid w:val="00492A36"/>
    <w:rsid w:val="00492E73"/>
    <w:rsid w:val="0049408B"/>
    <w:rsid w:val="00495468"/>
    <w:rsid w:val="0049581C"/>
    <w:rsid w:val="00496A72"/>
    <w:rsid w:val="00496B4E"/>
    <w:rsid w:val="00496C03"/>
    <w:rsid w:val="00497D7C"/>
    <w:rsid w:val="004A0138"/>
    <w:rsid w:val="004A181E"/>
    <w:rsid w:val="004A2295"/>
    <w:rsid w:val="004A28D1"/>
    <w:rsid w:val="004A47EB"/>
    <w:rsid w:val="004A6294"/>
    <w:rsid w:val="004A650B"/>
    <w:rsid w:val="004A73B5"/>
    <w:rsid w:val="004A78E9"/>
    <w:rsid w:val="004A7929"/>
    <w:rsid w:val="004B0197"/>
    <w:rsid w:val="004B08A6"/>
    <w:rsid w:val="004B15CE"/>
    <w:rsid w:val="004B2F5D"/>
    <w:rsid w:val="004B31D1"/>
    <w:rsid w:val="004B486A"/>
    <w:rsid w:val="004B5078"/>
    <w:rsid w:val="004B58F5"/>
    <w:rsid w:val="004B5EE8"/>
    <w:rsid w:val="004B7614"/>
    <w:rsid w:val="004C15BD"/>
    <w:rsid w:val="004C2141"/>
    <w:rsid w:val="004C3010"/>
    <w:rsid w:val="004C36BD"/>
    <w:rsid w:val="004C485E"/>
    <w:rsid w:val="004C559B"/>
    <w:rsid w:val="004C5E79"/>
    <w:rsid w:val="004C60F2"/>
    <w:rsid w:val="004D177C"/>
    <w:rsid w:val="004D1DEE"/>
    <w:rsid w:val="004D26A6"/>
    <w:rsid w:val="004D304D"/>
    <w:rsid w:val="004D3345"/>
    <w:rsid w:val="004D70FC"/>
    <w:rsid w:val="004D767D"/>
    <w:rsid w:val="004D797C"/>
    <w:rsid w:val="004E056B"/>
    <w:rsid w:val="004E14AA"/>
    <w:rsid w:val="004E1617"/>
    <w:rsid w:val="004E320F"/>
    <w:rsid w:val="004E4EB7"/>
    <w:rsid w:val="004E6557"/>
    <w:rsid w:val="004E6960"/>
    <w:rsid w:val="004F197C"/>
    <w:rsid w:val="004F1A1C"/>
    <w:rsid w:val="004F1CB1"/>
    <w:rsid w:val="004F21B6"/>
    <w:rsid w:val="004F21DB"/>
    <w:rsid w:val="004F2DD3"/>
    <w:rsid w:val="004F312F"/>
    <w:rsid w:val="004F3C3C"/>
    <w:rsid w:val="004F4058"/>
    <w:rsid w:val="004F42FE"/>
    <w:rsid w:val="004F4428"/>
    <w:rsid w:val="004F47A8"/>
    <w:rsid w:val="004F4DDF"/>
    <w:rsid w:val="004F5038"/>
    <w:rsid w:val="004F50BC"/>
    <w:rsid w:val="004F5278"/>
    <w:rsid w:val="004F5827"/>
    <w:rsid w:val="004F5E7F"/>
    <w:rsid w:val="004F6792"/>
    <w:rsid w:val="004F726A"/>
    <w:rsid w:val="004F78CE"/>
    <w:rsid w:val="00500CD9"/>
    <w:rsid w:val="005014A3"/>
    <w:rsid w:val="00501A26"/>
    <w:rsid w:val="0050271D"/>
    <w:rsid w:val="0050284B"/>
    <w:rsid w:val="0050287F"/>
    <w:rsid w:val="00503302"/>
    <w:rsid w:val="005039F6"/>
    <w:rsid w:val="00505662"/>
    <w:rsid w:val="00506222"/>
    <w:rsid w:val="00506771"/>
    <w:rsid w:val="00506933"/>
    <w:rsid w:val="00506A9F"/>
    <w:rsid w:val="00506F0F"/>
    <w:rsid w:val="00507DB0"/>
    <w:rsid w:val="00507DC5"/>
    <w:rsid w:val="0051082D"/>
    <w:rsid w:val="005108CD"/>
    <w:rsid w:val="00511D0C"/>
    <w:rsid w:val="00512CB3"/>
    <w:rsid w:val="00513345"/>
    <w:rsid w:val="00513892"/>
    <w:rsid w:val="00514635"/>
    <w:rsid w:val="00515BAC"/>
    <w:rsid w:val="00517BC9"/>
    <w:rsid w:val="005207CB"/>
    <w:rsid w:val="005225BE"/>
    <w:rsid w:val="005225F2"/>
    <w:rsid w:val="00522895"/>
    <w:rsid w:val="00523A50"/>
    <w:rsid w:val="005258B1"/>
    <w:rsid w:val="005259EE"/>
    <w:rsid w:val="0052690E"/>
    <w:rsid w:val="0052786D"/>
    <w:rsid w:val="00527CA1"/>
    <w:rsid w:val="00530470"/>
    <w:rsid w:val="0053060F"/>
    <w:rsid w:val="005327D0"/>
    <w:rsid w:val="00532852"/>
    <w:rsid w:val="005342EB"/>
    <w:rsid w:val="00534424"/>
    <w:rsid w:val="005348B3"/>
    <w:rsid w:val="00534EF3"/>
    <w:rsid w:val="00535477"/>
    <w:rsid w:val="00535CE9"/>
    <w:rsid w:val="00537577"/>
    <w:rsid w:val="00537F86"/>
    <w:rsid w:val="00540077"/>
    <w:rsid w:val="005404C5"/>
    <w:rsid w:val="00541DDC"/>
    <w:rsid w:val="0054307C"/>
    <w:rsid w:val="005435FD"/>
    <w:rsid w:val="0054379B"/>
    <w:rsid w:val="00543AA0"/>
    <w:rsid w:val="005450F5"/>
    <w:rsid w:val="005454B7"/>
    <w:rsid w:val="00545A04"/>
    <w:rsid w:val="00546B09"/>
    <w:rsid w:val="005503D9"/>
    <w:rsid w:val="0055043D"/>
    <w:rsid w:val="00551123"/>
    <w:rsid w:val="00551258"/>
    <w:rsid w:val="00551492"/>
    <w:rsid w:val="005515D7"/>
    <w:rsid w:val="00551D17"/>
    <w:rsid w:val="00552920"/>
    <w:rsid w:val="005536D5"/>
    <w:rsid w:val="005547DE"/>
    <w:rsid w:val="005548C5"/>
    <w:rsid w:val="00554CCC"/>
    <w:rsid w:val="00555245"/>
    <w:rsid w:val="005558DF"/>
    <w:rsid w:val="00555F26"/>
    <w:rsid w:val="0056159B"/>
    <w:rsid w:val="00562026"/>
    <w:rsid w:val="00562D9E"/>
    <w:rsid w:val="00562F3F"/>
    <w:rsid w:val="00563AA4"/>
    <w:rsid w:val="00565140"/>
    <w:rsid w:val="005666BC"/>
    <w:rsid w:val="00566E9A"/>
    <w:rsid w:val="00567D2D"/>
    <w:rsid w:val="00567EE7"/>
    <w:rsid w:val="00570230"/>
    <w:rsid w:val="00570BBF"/>
    <w:rsid w:val="00572829"/>
    <w:rsid w:val="00572F32"/>
    <w:rsid w:val="0057387F"/>
    <w:rsid w:val="00573BA8"/>
    <w:rsid w:val="00573FE5"/>
    <w:rsid w:val="00574357"/>
    <w:rsid w:val="005746D2"/>
    <w:rsid w:val="0057534A"/>
    <w:rsid w:val="005754CE"/>
    <w:rsid w:val="00575602"/>
    <w:rsid w:val="00576694"/>
    <w:rsid w:val="0057697D"/>
    <w:rsid w:val="005774F0"/>
    <w:rsid w:val="00580ACA"/>
    <w:rsid w:val="00580BF4"/>
    <w:rsid w:val="00580E11"/>
    <w:rsid w:val="00581E43"/>
    <w:rsid w:val="00582FC4"/>
    <w:rsid w:val="0058351A"/>
    <w:rsid w:val="00583D8F"/>
    <w:rsid w:val="005845C6"/>
    <w:rsid w:val="00584F10"/>
    <w:rsid w:val="0058555A"/>
    <w:rsid w:val="0058593C"/>
    <w:rsid w:val="005866E6"/>
    <w:rsid w:val="00586CA9"/>
    <w:rsid w:val="0058737F"/>
    <w:rsid w:val="005877F8"/>
    <w:rsid w:val="00587E9F"/>
    <w:rsid w:val="00590646"/>
    <w:rsid w:val="00590E34"/>
    <w:rsid w:val="00590F36"/>
    <w:rsid w:val="00590FD9"/>
    <w:rsid w:val="00591228"/>
    <w:rsid w:val="00591691"/>
    <w:rsid w:val="0059186A"/>
    <w:rsid w:val="00591956"/>
    <w:rsid w:val="00591B98"/>
    <w:rsid w:val="00591E5E"/>
    <w:rsid w:val="00591FD1"/>
    <w:rsid w:val="00593602"/>
    <w:rsid w:val="00594396"/>
    <w:rsid w:val="00594440"/>
    <w:rsid w:val="005965A3"/>
    <w:rsid w:val="005971B9"/>
    <w:rsid w:val="00597E29"/>
    <w:rsid w:val="005A0210"/>
    <w:rsid w:val="005A04B7"/>
    <w:rsid w:val="005A0F45"/>
    <w:rsid w:val="005A26D0"/>
    <w:rsid w:val="005A2D50"/>
    <w:rsid w:val="005A3811"/>
    <w:rsid w:val="005A4420"/>
    <w:rsid w:val="005A58E1"/>
    <w:rsid w:val="005A6AF1"/>
    <w:rsid w:val="005A7C28"/>
    <w:rsid w:val="005B080D"/>
    <w:rsid w:val="005B0D55"/>
    <w:rsid w:val="005B1BF3"/>
    <w:rsid w:val="005B2595"/>
    <w:rsid w:val="005B2791"/>
    <w:rsid w:val="005B3F77"/>
    <w:rsid w:val="005B4AE8"/>
    <w:rsid w:val="005B6CE8"/>
    <w:rsid w:val="005B79AC"/>
    <w:rsid w:val="005B7D81"/>
    <w:rsid w:val="005C001E"/>
    <w:rsid w:val="005C101F"/>
    <w:rsid w:val="005C1667"/>
    <w:rsid w:val="005C1F5E"/>
    <w:rsid w:val="005C223C"/>
    <w:rsid w:val="005C2443"/>
    <w:rsid w:val="005C32E3"/>
    <w:rsid w:val="005C35EA"/>
    <w:rsid w:val="005C36E5"/>
    <w:rsid w:val="005C3EBF"/>
    <w:rsid w:val="005C43D6"/>
    <w:rsid w:val="005C447E"/>
    <w:rsid w:val="005C520D"/>
    <w:rsid w:val="005C57D4"/>
    <w:rsid w:val="005C593D"/>
    <w:rsid w:val="005C61FD"/>
    <w:rsid w:val="005C662C"/>
    <w:rsid w:val="005C6A43"/>
    <w:rsid w:val="005C6E5D"/>
    <w:rsid w:val="005C75F3"/>
    <w:rsid w:val="005C7618"/>
    <w:rsid w:val="005C782D"/>
    <w:rsid w:val="005D01BD"/>
    <w:rsid w:val="005D139F"/>
    <w:rsid w:val="005D16EF"/>
    <w:rsid w:val="005D1AFA"/>
    <w:rsid w:val="005D2F1F"/>
    <w:rsid w:val="005D31AB"/>
    <w:rsid w:val="005D4A7B"/>
    <w:rsid w:val="005D4DB5"/>
    <w:rsid w:val="005D569B"/>
    <w:rsid w:val="005D59EF"/>
    <w:rsid w:val="005D5EE7"/>
    <w:rsid w:val="005D63A5"/>
    <w:rsid w:val="005D6C31"/>
    <w:rsid w:val="005D704D"/>
    <w:rsid w:val="005D7CEF"/>
    <w:rsid w:val="005D7DFA"/>
    <w:rsid w:val="005D7E2E"/>
    <w:rsid w:val="005E1353"/>
    <w:rsid w:val="005E276D"/>
    <w:rsid w:val="005E446B"/>
    <w:rsid w:val="005E4709"/>
    <w:rsid w:val="005E4AC1"/>
    <w:rsid w:val="005E4F68"/>
    <w:rsid w:val="005E5082"/>
    <w:rsid w:val="005E50FA"/>
    <w:rsid w:val="005E56C8"/>
    <w:rsid w:val="005E628A"/>
    <w:rsid w:val="005E62B7"/>
    <w:rsid w:val="005E637D"/>
    <w:rsid w:val="005E686A"/>
    <w:rsid w:val="005F380F"/>
    <w:rsid w:val="005F561E"/>
    <w:rsid w:val="005F682E"/>
    <w:rsid w:val="005F6885"/>
    <w:rsid w:val="005F6EEB"/>
    <w:rsid w:val="005F76A1"/>
    <w:rsid w:val="005F79B1"/>
    <w:rsid w:val="00600027"/>
    <w:rsid w:val="00601DB5"/>
    <w:rsid w:val="0060404B"/>
    <w:rsid w:val="00604369"/>
    <w:rsid w:val="006047D1"/>
    <w:rsid w:val="00604DDC"/>
    <w:rsid w:val="006053FA"/>
    <w:rsid w:val="00606690"/>
    <w:rsid w:val="00607354"/>
    <w:rsid w:val="006073AC"/>
    <w:rsid w:val="00610EC5"/>
    <w:rsid w:val="0061421E"/>
    <w:rsid w:val="0061445A"/>
    <w:rsid w:val="00614944"/>
    <w:rsid w:val="00614E7B"/>
    <w:rsid w:val="006155BE"/>
    <w:rsid w:val="00615759"/>
    <w:rsid w:val="006160AC"/>
    <w:rsid w:val="006160F6"/>
    <w:rsid w:val="00617CBD"/>
    <w:rsid w:val="006204FB"/>
    <w:rsid w:val="00622754"/>
    <w:rsid w:val="00622B3B"/>
    <w:rsid w:val="00622EBF"/>
    <w:rsid w:val="00622F7B"/>
    <w:rsid w:val="00624CCB"/>
    <w:rsid w:val="00625B49"/>
    <w:rsid w:val="00627715"/>
    <w:rsid w:val="00627C2F"/>
    <w:rsid w:val="0063085F"/>
    <w:rsid w:val="006309DA"/>
    <w:rsid w:val="00630E44"/>
    <w:rsid w:val="00630EF0"/>
    <w:rsid w:val="00632470"/>
    <w:rsid w:val="0063278D"/>
    <w:rsid w:val="006329B9"/>
    <w:rsid w:val="00632AFC"/>
    <w:rsid w:val="00632CE5"/>
    <w:rsid w:val="00633B02"/>
    <w:rsid w:val="0063460A"/>
    <w:rsid w:val="0063473A"/>
    <w:rsid w:val="006348DA"/>
    <w:rsid w:val="0063591F"/>
    <w:rsid w:val="00635B90"/>
    <w:rsid w:val="00637402"/>
    <w:rsid w:val="00637ADF"/>
    <w:rsid w:val="00637C80"/>
    <w:rsid w:val="00640E88"/>
    <w:rsid w:val="00641113"/>
    <w:rsid w:val="006411A5"/>
    <w:rsid w:val="006412E8"/>
    <w:rsid w:val="00641866"/>
    <w:rsid w:val="006422D1"/>
    <w:rsid w:val="006423CA"/>
    <w:rsid w:val="006424EF"/>
    <w:rsid w:val="0064270E"/>
    <w:rsid w:val="0064303F"/>
    <w:rsid w:val="006431AC"/>
    <w:rsid w:val="006431F9"/>
    <w:rsid w:val="00645521"/>
    <w:rsid w:val="00645F80"/>
    <w:rsid w:val="00645FB2"/>
    <w:rsid w:val="00646647"/>
    <w:rsid w:val="0064774D"/>
    <w:rsid w:val="00647775"/>
    <w:rsid w:val="00647B2A"/>
    <w:rsid w:val="00650065"/>
    <w:rsid w:val="00650B91"/>
    <w:rsid w:val="006520A8"/>
    <w:rsid w:val="00652DBA"/>
    <w:rsid w:val="006548F6"/>
    <w:rsid w:val="00654C53"/>
    <w:rsid w:val="00654FCF"/>
    <w:rsid w:val="0065500E"/>
    <w:rsid w:val="006557D2"/>
    <w:rsid w:val="00655E63"/>
    <w:rsid w:val="0065606C"/>
    <w:rsid w:val="006568B1"/>
    <w:rsid w:val="006570AD"/>
    <w:rsid w:val="00657394"/>
    <w:rsid w:val="006606B7"/>
    <w:rsid w:val="006612A0"/>
    <w:rsid w:val="0066151D"/>
    <w:rsid w:val="00662901"/>
    <w:rsid w:val="00662BC7"/>
    <w:rsid w:val="006639D2"/>
    <w:rsid w:val="0066484F"/>
    <w:rsid w:val="0066495C"/>
    <w:rsid w:val="0066618C"/>
    <w:rsid w:val="006663C7"/>
    <w:rsid w:val="00667EBF"/>
    <w:rsid w:val="00670C9A"/>
    <w:rsid w:val="0067145D"/>
    <w:rsid w:val="00671B14"/>
    <w:rsid w:val="00671B95"/>
    <w:rsid w:val="00672E17"/>
    <w:rsid w:val="00672FCF"/>
    <w:rsid w:val="006746D7"/>
    <w:rsid w:val="0067471C"/>
    <w:rsid w:val="00675611"/>
    <w:rsid w:val="006777B0"/>
    <w:rsid w:val="006778F7"/>
    <w:rsid w:val="00677917"/>
    <w:rsid w:val="00677BAA"/>
    <w:rsid w:val="00677BFA"/>
    <w:rsid w:val="006802D8"/>
    <w:rsid w:val="00681436"/>
    <w:rsid w:val="0068232F"/>
    <w:rsid w:val="00682721"/>
    <w:rsid w:val="00682BCD"/>
    <w:rsid w:val="006835E4"/>
    <w:rsid w:val="00684592"/>
    <w:rsid w:val="00684F84"/>
    <w:rsid w:val="00685CB3"/>
    <w:rsid w:val="00686D8E"/>
    <w:rsid w:val="00687831"/>
    <w:rsid w:val="00687ED7"/>
    <w:rsid w:val="0069033F"/>
    <w:rsid w:val="006909EE"/>
    <w:rsid w:val="006913DE"/>
    <w:rsid w:val="00691417"/>
    <w:rsid w:val="0069148D"/>
    <w:rsid w:val="006924F6"/>
    <w:rsid w:val="00692A6B"/>
    <w:rsid w:val="00692FF4"/>
    <w:rsid w:val="00694336"/>
    <w:rsid w:val="00695499"/>
    <w:rsid w:val="00696044"/>
    <w:rsid w:val="00696C6E"/>
    <w:rsid w:val="00697133"/>
    <w:rsid w:val="006974AC"/>
    <w:rsid w:val="00697B53"/>
    <w:rsid w:val="006A030A"/>
    <w:rsid w:val="006A0858"/>
    <w:rsid w:val="006A2099"/>
    <w:rsid w:val="006A449C"/>
    <w:rsid w:val="006A4EC8"/>
    <w:rsid w:val="006A5391"/>
    <w:rsid w:val="006A60DB"/>
    <w:rsid w:val="006A6A54"/>
    <w:rsid w:val="006A7352"/>
    <w:rsid w:val="006A756D"/>
    <w:rsid w:val="006A75D9"/>
    <w:rsid w:val="006B1E24"/>
    <w:rsid w:val="006B44BF"/>
    <w:rsid w:val="006B471C"/>
    <w:rsid w:val="006B4DA0"/>
    <w:rsid w:val="006B53ED"/>
    <w:rsid w:val="006B568A"/>
    <w:rsid w:val="006B59F5"/>
    <w:rsid w:val="006B5F1F"/>
    <w:rsid w:val="006B631E"/>
    <w:rsid w:val="006B6B9E"/>
    <w:rsid w:val="006B6FA0"/>
    <w:rsid w:val="006B7456"/>
    <w:rsid w:val="006C0AEC"/>
    <w:rsid w:val="006C11AF"/>
    <w:rsid w:val="006C31FA"/>
    <w:rsid w:val="006C3235"/>
    <w:rsid w:val="006C38D4"/>
    <w:rsid w:val="006C3B82"/>
    <w:rsid w:val="006C460A"/>
    <w:rsid w:val="006C48F2"/>
    <w:rsid w:val="006C4E39"/>
    <w:rsid w:val="006C5A2B"/>
    <w:rsid w:val="006C5C0F"/>
    <w:rsid w:val="006C6937"/>
    <w:rsid w:val="006C772B"/>
    <w:rsid w:val="006C78F6"/>
    <w:rsid w:val="006C798A"/>
    <w:rsid w:val="006D082D"/>
    <w:rsid w:val="006D1534"/>
    <w:rsid w:val="006D2015"/>
    <w:rsid w:val="006D567E"/>
    <w:rsid w:val="006D57CF"/>
    <w:rsid w:val="006D6545"/>
    <w:rsid w:val="006D6805"/>
    <w:rsid w:val="006D6F56"/>
    <w:rsid w:val="006D75D5"/>
    <w:rsid w:val="006D7E84"/>
    <w:rsid w:val="006E04ED"/>
    <w:rsid w:val="006E0D55"/>
    <w:rsid w:val="006E1A49"/>
    <w:rsid w:val="006E1D41"/>
    <w:rsid w:val="006E1D7E"/>
    <w:rsid w:val="006E2235"/>
    <w:rsid w:val="006E3429"/>
    <w:rsid w:val="006E4084"/>
    <w:rsid w:val="006E5AF1"/>
    <w:rsid w:val="006E5BA1"/>
    <w:rsid w:val="006E64DF"/>
    <w:rsid w:val="006E672C"/>
    <w:rsid w:val="006E7C70"/>
    <w:rsid w:val="006E7F33"/>
    <w:rsid w:val="006F0811"/>
    <w:rsid w:val="006F1952"/>
    <w:rsid w:val="006F1AD4"/>
    <w:rsid w:val="006F1B22"/>
    <w:rsid w:val="006F1DCB"/>
    <w:rsid w:val="006F2AC1"/>
    <w:rsid w:val="006F2EA5"/>
    <w:rsid w:val="006F31B0"/>
    <w:rsid w:val="006F3577"/>
    <w:rsid w:val="006F35C0"/>
    <w:rsid w:val="006F3F76"/>
    <w:rsid w:val="006F440D"/>
    <w:rsid w:val="006F476A"/>
    <w:rsid w:val="006F54E0"/>
    <w:rsid w:val="006F6435"/>
    <w:rsid w:val="006F64F7"/>
    <w:rsid w:val="006F6647"/>
    <w:rsid w:val="006F6C3F"/>
    <w:rsid w:val="006F75A2"/>
    <w:rsid w:val="007004A7"/>
    <w:rsid w:val="00700FBD"/>
    <w:rsid w:val="007015F7"/>
    <w:rsid w:val="007021B6"/>
    <w:rsid w:val="00702257"/>
    <w:rsid w:val="007033C6"/>
    <w:rsid w:val="0070398B"/>
    <w:rsid w:val="007049FC"/>
    <w:rsid w:val="00705463"/>
    <w:rsid w:val="00705D81"/>
    <w:rsid w:val="00705E0B"/>
    <w:rsid w:val="0070696C"/>
    <w:rsid w:val="00706DD8"/>
    <w:rsid w:val="00707F0C"/>
    <w:rsid w:val="00707FF5"/>
    <w:rsid w:val="00710622"/>
    <w:rsid w:val="00710D1D"/>
    <w:rsid w:val="00710EF6"/>
    <w:rsid w:val="00711B2C"/>
    <w:rsid w:val="00712EB1"/>
    <w:rsid w:val="007139F3"/>
    <w:rsid w:val="007143A8"/>
    <w:rsid w:val="00714E6D"/>
    <w:rsid w:val="00715110"/>
    <w:rsid w:val="007159A1"/>
    <w:rsid w:val="007172B7"/>
    <w:rsid w:val="00717311"/>
    <w:rsid w:val="00720472"/>
    <w:rsid w:val="00720C0B"/>
    <w:rsid w:val="00721369"/>
    <w:rsid w:val="0072186C"/>
    <w:rsid w:val="0072191C"/>
    <w:rsid w:val="00721A85"/>
    <w:rsid w:val="00722164"/>
    <w:rsid w:val="00722245"/>
    <w:rsid w:val="00722583"/>
    <w:rsid w:val="00722724"/>
    <w:rsid w:val="007232E7"/>
    <w:rsid w:val="00723CE5"/>
    <w:rsid w:val="00724726"/>
    <w:rsid w:val="0072559E"/>
    <w:rsid w:val="00725C8B"/>
    <w:rsid w:val="00725FFD"/>
    <w:rsid w:val="007262F8"/>
    <w:rsid w:val="007271EC"/>
    <w:rsid w:val="00727C94"/>
    <w:rsid w:val="00730B7D"/>
    <w:rsid w:val="00730D4A"/>
    <w:rsid w:val="00730E75"/>
    <w:rsid w:val="00731F07"/>
    <w:rsid w:val="0073305A"/>
    <w:rsid w:val="00733192"/>
    <w:rsid w:val="007331B3"/>
    <w:rsid w:val="007342E0"/>
    <w:rsid w:val="00734438"/>
    <w:rsid w:val="007344E4"/>
    <w:rsid w:val="0073498E"/>
    <w:rsid w:val="007360FB"/>
    <w:rsid w:val="007377E7"/>
    <w:rsid w:val="00741585"/>
    <w:rsid w:val="007419A1"/>
    <w:rsid w:val="00742B83"/>
    <w:rsid w:val="00743A46"/>
    <w:rsid w:val="007442CC"/>
    <w:rsid w:val="007443FE"/>
    <w:rsid w:val="0074486C"/>
    <w:rsid w:val="00744A27"/>
    <w:rsid w:val="00744AB0"/>
    <w:rsid w:val="0074532E"/>
    <w:rsid w:val="007453E8"/>
    <w:rsid w:val="00746D34"/>
    <w:rsid w:val="00747731"/>
    <w:rsid w:val="00751D3B"/>
    <w:rsid w:val="007521DE"/>
    <w:rsid w:val="00752466"/>
    <w:rsid w:val="00752794"/>
    <w:rsid w:val="007531C0"/>
    <w:rsid w:val="00753623"/>
    <w:rsid w:val="00753930"/>
    <w:rsid w:val="00754FA7"/>
    <w:rsid w:val="0075573E"/>
    <w:rsid w:val="00755766"/>
    <w:rsid w:val="00755D84"/>
    <w:rsid w:val="007579D6"/>
    <w:rsid w:val="00761D97"/>
    <w:rsid w:val="007645E6"/>
    <w:rsid w:val="00764F59"/>
    <w:rsid w:val="00765AEA"/>
    <w:rsid w:val="00765FE8"/>
    <w:rsid w:val="00767466"/>
    <w:rsid w:val="00770C5D"/>
    <w:rsid w:val="00770E77"/>
    <w:rsid w:val="00771275"/>
    <w:rsid w:val="00771D1F"/>
    <w:rsid w:val="00772A6D"/>
    <w:rsid w:val="007731F9"/>
    <w:rsid w:val="0077359E"/>
    <w:rsid w:val="0077395B"/>
    <w:rsid w:val="00776D5D"/>
    <w:rsid w:val="007832E9"/>
    <w:rsid w:val="007833C4"/>
    <w:rsid w:val="007834B6"/>
    <w:rsid w:val="00785913"/>
    <w:rsid w:val="00786387"/>
    <w:rsid w:val="007864EC"/>
    <w:rsid w:val="0078746D"/>
    <w:rsid w:val="00790180"/>
    <w:rsid w:val="007911FA"/>
    <w:rsid w:val="00791646"/>
    <w:rsid w:val="00791FF3"/>
    <w:rsid w:val="00792CAB"/>
    <w:rsid w:val="00792E85"/>
    <w:rsid w:val="00793075"/>
    <w:rsid w:val="007936C2"/>
    <w:rsid w:val="007940F8"/>
    <w:rsid w:val="007945B4"/>
    <w:rsid w:val="00794908"/>
    <w:rsid w:val="00797706"/>
    <w:rsid w:val="00797BFF"/>
    <w:rsid w:val="00797D99"/>
    <w:rsid w:val="007A0A05"/>
    <w:rsid w:val="007A1B54"/>
    <w:rsid w:val="007A1B56"/>
    <w:rsid w:val="007A214C"/>
    <w:rsid w:val="007A2423"/>
    <w:rsid w:val="007A353D"/>
    <w:rsid w:val="007A3655"/>
    <w:rsid w:val="007A4D32"/>
    <w:rsid w:val="007A59E0"/>
    <w:rsid w:val="007A5DEE"/>
    <w:rsid w:val="007A69DE"/>
    <w:rsid w:val="007A7635"/>
    <w:rsid w:val="007B0389"/>
    <w:rsid w:val="007B0B5D"/>
    <w:rsid w:val="007B0DE5"/>
    <w:rsid w:val="007B17CE"/>
    <w:rsid w:val="007B2AE8"/>
    <w:rsid w:val="007B2F98"/>
    <w:rsid w:val="007B36A0"/>
    <w:rsid w:val="007B3CFD"/>
    <w:rsid w:val="007B4862"/>
    <w:rsid w:val="007B49C2"/>
    <w:rsid w:val="007B520C"/>
    <w:rsid w:val="007B5E39"/>
    <w:rsid w:val="007B65CE"/>
    <w:rsid w:val="007B66C9"/>
    <w:rsid w:val="007B719E"/>
    <w:rsid w:val="007C11A6"/>
    <w:rsid w:val="007C3C1F"/>
    <w:rsid w:val="007C3C81"/>
    <w:rsid w:val="007C4B05"/>
    <w:rsid w:val="007C5CD9"/>
    <w:rsid w:val="007C66F8"/>
    <w:rsid w:val="007D1FB0"/>
    <w:rsid w:val="007D30D7"/>
    <w:rsid w:val="007D3BD0"/>
    <w:rsid w:val="007D3E5A"/>
    <w:rsid w:val="007D46BA"/>
    <w:rsid w:val="007D603F"/>
    <w:rsid w:val="007D6102"/>
    <w:rsid w:val="007D6796"/>
    <w:rsid w:val="007D6E70"/>
    <w:rsid w:val="007D7AD5"/>
    <w:rsid w:val="007E0ABF"/>
    <w:rsid w:val="007E0F28"/>
    <w:rsid w:val="007E1272"/>
    <w:rsid w:val="007E1BDC"/>
    <w:rsid w:val="007E1D43"/>
    <w:rsid w:val="007E2889"/>
    <w:rsid w:val="007E2B5E"/>
    <w:rsid w:val="007E2B7E"/>
    <w:rsid w:val="007E2D36"/>
    <w:rsid w:val="007E3074"/>
    <w:rsid w:val="007E35EA"/>
    <w:rsid w:val="007E409B"/>
    <w:rsid w:val="007E4D8D"/>
    <w:rsid w:val="007E768E"/>
    <w:rsid w:val="007F005F"/>
    <w:rsid w:val="007F039D"/>
    <w:rsid w:val="007F1700"/>
    <w:rsid w:val="007F1875"/>
    <w:rsid w:val="007F21FC"/>
    <w:rsid w:val="007F24A7"/>
    <w:rsid w:val="007F2DE9"/>
    <w:rsid w:val="007F372D"/>
    <w:rsid w:val="007F45AE"/>
    <w:rsid w:val="007F5956"/>
    <w:rsid w:val="007F626F"/>
    <w:rsid w:val="00800195"/>
    <w:rsid w:val="00803483"/>
    <w:rsid w:val="0080384F"/>
    <w:rsid w:val="00803971"/>
    <w:rsid w:val="00803C82"/>
    <w:rsid w:val="00804448"/>
    <w:rsid w:val="008058C3"/>
    <w:rsid w:val="00805D62"/>
    <w:rsid w:val="00805EFC"/>
    <w:rsid w:val="00806BE7"/>
    <w:rsid w:val="00807210"/>
    <w:rsid w:val="00807849"/>
    <w:rsid w:val="00810E5C"/>
    <w:rsid w:val="0081129D"/>
    <w:rsid w:val="00811EBD"/>
    <w:rsid w:val="008138CB"/>
    <w:rsid w:val="00814026"/>
    <w:rsid w:val="00814C40"/>
    <w:rsid w:val="008150E3"/>
    <w:rsid w:val="00815908"/>
    <w:rsid w:val="00820578"/>
    <w:rsid w:val="00820930"/>
    <w:rsid w:val="00823398"/>
    <w:rsid w:val="00823C1A"/>
    <w:rsid w:val="008246B1"/>
    <w:rsid w:val="00824AA7"/>
    <w:rsid w:val="00825AE2"/>
    <w:rsid w:val="00826CA4"/>
    <w:rsid w:val="00827EAD"/>
    <w:rsid w:val="00830163"/>
    <w:rsid w:val="008309FB"/>
    <w:rsid w:val="00830F7A"/>
    <w:rsid w:val="00831F12"/>
    <w:rsid w:val="00831F9C"/>
    <w:rsid w:val="00832C2D"/>
    <w:rsid w:val="00833657"/>
    <w:rsid w:val="008351F2"/>
    <w:rsid w:val="00836DC4"/>
    <w:rsid w:val="00837587"/>
    <w:rsid w:val="00840B0A"/>
    <w:rsid w:val="00840FDB"/>
    <w:rsid w:val="0084130F"/>
    <w:rsid w:val="00841A0A"/>
    <w:rsid w:val="008427C7"/>
    <w:rsid w:val="0084399B"/>
    <w:rsid w:val="008439EE"/>
    <w:rsid w:val="00845472"/>
    <w:rsid w:val="00845BFA"/>
    <w:rsid w:val="00846651"/>
    <w:rsid w:val="008466E3"/>
    <w:rsid w:val="008478D5"/>
    <w:rsid w:val="00847A44"/>
    <w:rsid w:val="00850CEF"/>
    <w:rsid w:val="00850EC0"/>
    <w:rsid w:val="00851355"/>
    <w:rsid w:val="00851F0E"/>
    <w:rsid w:val="00851F89"/>
    <w:rsid w:val="00852538"/>
    <w:rsid w:val="008526DD"/>
    <w:rsid w:val="00853E33"/>
    <w:rsid w:val="00853FE6"/>
    <w:rsid w:val="008546A7"/>
    <w:rsid w:val="008553EB"/>
    <w:rsid w:val="00856DC7"/>
    <w:rsid w:val="00856DCF"/>
    <w:rsid w:val="00857383"/>
    <w:rsid w:val="0085757E"/>
    <w:rsid w:val="0085794F"/>
    <w:rsid w:val="00861E76"/>
    <w:rsid w:val="00862B4C"/>
    <w:rsid w:val="008630FD"/>
    <w:rsid w:val="0086411E"/>
    <w:rsid w:val="008649D1"/>
    <w:rsid w:val="008654AE"/>
    <w:rsid w:val="00866D00"/>
    <w:rsid w:val="00866DA7"/>
    <w:rsid w:val="008674CD"/>
    <w:rsid w:val="00867C7D"/>
    <w:rsid w:val="00872D1C"/>
    <w:rsid w:val="00873CFC"/>
    <w:rsid w:val="008742D1"/>
    <w:rsid w:val="00874DD7"/>
    <w:rsid w:val="0087508D"/>
    <w:rsid w:val="00875239"/>
    <w:rsid w:val="00875A18"/>
    <w:rsid w:val="00876D70"/>
    <w:rsid w:val="008773CB"/>
    <w:rsid w:val="008776E6"/>
    <w:rsid w:val="00880798"/>
    <w:rsid w:val="00880D58"/>
    <w:rsid w:val="008819D4"/>
    <w:rsid w:val="00881A80"/>
    <w:rsid w:val="00881E95"/>
    <w:rsid w:val="00883BBA"/>
    <w:rsid w:val="00883BE6"/>
    <w:rsid w:val="00884635"/>
    <w:rsid w:val="008846ED"/>
    <w:rsid w:val="00884F7D"/>
    <w:rsid w:val="00885613"/>
    <w:rsid w:val="00885B68"/>
    <w:rsid w:val="008869C4"/>
    <w:rsid w:val="0088717D"/>
    <w:rsid w:val="008878FC"/>
    <w:rsid w:val="00890301"/>
    <w:rsid w:val="00891A49"/>
    <w:rsid w:val="008945FF"/>
    <w:rsid w:val="00896120"/>
    <w:rsid w:val="00896867"/>
    <w:rsid w:val="00896BAB"/>
    <w:rsid w:val="0089724A"/>
    <w:rsid w:val="0089732B"/>
    <w:rsid w:val="00897D64"/>
    <w:rsid w:val="008A0472"/>
    <w:rsid w:val="008A140A"/>
    <w:rsid w:val="008A2477"/>
    <w:rsid w:val="008A28A2"/>
    <w:rsid w:val="008A4F7D"/>
    <w:rsid w:val="008A6EB4"/>
    <w:rsid w:val="008A7463"/>
    <w:rsid w:val="008A7D92"/>
    <w:rsid w:val="008B00C5"/>
    <w:rsid w:val="008B0B59"/>
    <w:rsid w:val="008B310B"/>
    <w:rsid w:val="008B31F1"/>
    <w:rsid w:val="008B43E3"/>
    <w:rsid w:val="008B4B05"/>
    <w:rsid w:val="008B599C"/>
    <w:rsid w:val="008B64FE"/>
    <w:rsid w:val="008B6BFF"/>
    <w:rsid w:val="008B7EDD"/>
    <w:rsid w:val="008C0184"/>
    <w:rsid w:val="008C0A62"/>
    <w:rsid w:val="008C10A9"/>
    <w:rsid w:val="008C223A"/>
    <w:rsid w:val="008C2A36"/>
    <w:rsid w:val="008C2A77"/>
    <w:rsid w:val="008C4542"/>
    <w:rsid w:val="008C5279"/>
    <w:rsid w:val="008C5747"/>
    <w:rsid w:val="008C5DDB"/>
    <w:rsid w:val="008C6894"/>
    <w:rsid w:val="008C6B7B"/>
    <w:rsid w:val="008C6C86"/>
    <w:rsid w:val="008D0336"/>
    <w:rsid w:val="008D2B91"/>
    <w:rsid w:val="008D36FA"/>
    <w:rsid w:val="008D3E56"/>
    <w:rsid w:val="008D4549"/>
    <w:rsid w:val="008D46BE"/>
    <w:rsid w:val="008D487B"/>
    <w:rsid w:val="008D4BD5"/>
    <w:rsid w:val="008D5BE8"/>
    <w:rsid w:val="008D640A"/>
    <w:rsid w:val="008D6AA2"/>
    <w:rsid w:val="008D6FCD"/>
    <w:rsid w:val="008E05A6"/>
    <w:rsid w:val="008E0867"/>
    <w:rsid w:val="008E1610"/>
    <w:rsid w:val="008E271A"/>
    <w:rsid w:val="008E28DD"/>
    <w:rsid w:val="008E309E"/>
    <w:rsid w:val="008E362C"/>
    <w:rsid w:val="008E3E26"/>
    <w:rsid w:val="008E49BF"/>
    <w:rsid w:val="008E5440"/>
    <w:rsid w:val="008E6739"/>
    <w:rsid w:val="008E7B9F"/>
    <w:rsid w:val="008F0464"/>
    <w:rsid w:val="008F0684"/>
    <w:rsid w:val="008F2568"/>
    <w:rsid w:val="008F2EBB"/>
    <w:rsid w:val="008F3489"/>
    <w:rsid w:val="008F366E"/>
    <w:rsid w:val="008F48F7"/>
    <w:rsid w:val="008F56AE"/>
    <w:rsid w:val="008F5A62"/>
    <w:rsid w:val="008F6546"/>
    <w:rsid w:val="008F7BFD"/>
    <w:rsid w:val="009003E4"/>
    <w:rsid w:val="00901E23"/>
    <w:rsid w:val="009040B2"/>
    <w:rsid w:val="00904DC5"/>
    <w:rsid w:val="009066A7"/>
    <w:rsid w:val="009070DE"/>
    <w:rsid w:val="009079E4"/>
    <w:rsid w:val="00907FDF"/>
    <w:rsid w:val="009104F3"/>
    <w:rsid w:val="009108C5"/>
    <w:rsid w:val="00911C5E"/>
    <w:rsid w:val="00912971"/>
    <w:rsid w:val="00913CDD"/>
    <w:rsid w:val="00914EFB"/>
    <w:rsid w:val="00915343"/>
    <w:rsid w:val="0091553F"/>
    <w:rsid w:val="0091568E"/>
    <w:rsid w:val="00915CD9"/>
    <w:rsid w:val="00916C78"/>
    <w:rsid w:val="009174CA"/>
    <w:rsid w:val="00917A81"/>
    <w:rsid w:val="00920A48"/>
    <w:rsid w:val="00920B82"/>
    <w:rsid w:val="00920D02"/>
    <w:rsid w:val="009215E9"/>
    <w:rsid w:val="0092217B"/>
    <w:rsid w:val="009237D0"/>
    <w:rsid w:val="00923DDC"/>
    <w:rsid w:val="00924932"/>
    <w:rsid w:val="00924A52"/>
    <w:rsid w:val="0092512D"/>
    <w:rsid w:val="00926466"/>
    <w:rsid w:val="009264B8"/>
    <w:rsid w:val="00930841"/>
    <w:rsid w:val="00930E5C"/>
    <w:rsid w:val="009317FA"/>
    <w:rsid w:val="00932176"/>
    <w:rsid w:val="00932D8E"/>
    <w:rsid w:val="0093415D"/>
    <w:rsid w:val="0093430C"/>
    <w:rsid w:val="00934E30"/>
    <w:rsid w:val="0093542A"/>
    <w:rsid w:val="00935976"/>
    <w:rsid w:val="00935C03"/>
    <w:rsid w:val="009364E3"/>
    <w:rsid w:val="00936782"/>
    <w:rsid w:val="00936AF1"/>
    <w:rsid w:val="009370FD"/>
    <w:rsid w:val="009378BA"/>
    <w:rsid w:val="00937F8F"/>
    <w:rsid w:val="0094039C"/>
    <w:rsid w:val="0094095B"/>
    <w:rsid w:val="00941FF1"/>
    <w:rsid w:val="00943285"/>
    <w:rsid w:val="00944244"/>
    <w:rsid w:val="0094424A"/>
    <w:rsid w:val="00944A26"/>
    <w:rsid w:val="00944E5D"/>
    <w:rsid w:val="0094610C"/>
    <w:rsid w:val="009467C3"/>
    <w:rsid w:val="00946E4C"/>
    <w:rsid w:val="009506F3"/>
    <w:rsid w:val="009508DE"/>
    <w:rsid w:val="00950A33"/>
    <w:rsid w:val="009515BA"/>
    <w:rsid w:val="00951E61"/>
    <w:rsid w:val="00951F01"/>
    <w:rsid w:val="009526DC"/>
    <w:rsid w:val="00952D8B"/>
    <w:rsid w:val="00952F99"/>
    <w:rsid w:val="00953D44"/>
    <w:rsid w:val="0095652A"/>
    <w:rsid w:val="00956F4B"/>
    <w:rsid w:val="009572CD"/>
    <w:rsid w:val="009572D5"/>
    <w:rsid w:val="00957C42"/>
    <w:rsid w:val="00960CCF"/>
    <w:rsid w:val="0096136B"/>
    <w:rsid w:val="0096192A"/>
    <w:rsid w:val="009624C7"/>
    <w:rsid w:val="00962652"/>
    <w:rsid w:val="0096282A"/>
    <w:rsid w:val="009633F8"/>
    <w:rsid w:val="009653DD"/>
    <w:rsid w:val="00966CDC"/>
    <w:rsid w:val="0097115D"/>
    <w:rsid w:val="0097245F"/>
    <w:rsid w:val="00973331"/>
    <w:rsid w:val="00973485"/>
    <w:rsid w:val="009738D7"/>
    <w:rsid w:val="00973901"/>
    <w:rsid w:val="00973C75"/>
    <w:rsid w:val="009741F2"/>
    <w:rsid w:val="0097420A"/>
    <w:rsid w:val="00974325"/>
    <w:rsid w:val="0097450A"/>
    <w:rsid w:val="00974A1D"/>
    <w:rsid w:val="00974CC1"/>
    <w:rsid w:val="00975114"/>
    <w:rsid w:val="00975941"/>
    <w:rsid w:val="009762F0"/>
    <w:rsid w:val="009763F6"/>
    <w:rsid w:val="00977C2E"/>
    <w:rsid w:val="00977EDA"/>
    <w:rsid w:val="009805DB"/>
    <w:rsid w:val="00981A00"/>
    <w:rsid w:val="00982E67"/>
    <w:rsid w:val="00983286"/>
    <w:rsid w:val="00984372"/>
    <w:rsid w:val="009843C9"/>
    <w:rsid w:val="00984854"/>
    <w:rsid w:val="00984D9F"/>
    <w:rsid w:val="00985B1E"/>
    <w:rsid w:val="009861E0"/>
    <w:rsid w:val="0098654D"/>
    <w:rsid w:val="0098681D"/>
    <w:rsid w:val="009876A5"/>
    <w:rsid w:val="00987BFD"/>
    <w:rsid w:val="00990268"/>
    <w:rsid w:val="0099085C"/>
    <w:rsid w:val="00990FDC"/>
    <w:rsid w:val="00991056"/>
    <w:rsid w:val="00991E3D"/>
    <w:rsid w:val="0099211A"/>
    <w:rsid w:val="00992953"/>
    <w:rsid w:val="00995724"/>
    <w:rsid w:val="00995904"/>
    <w:rsid w:val="00996803"/>
    <w:rsid w:val="009971D3"/>
    <w:rsid w:val="0099735D"/>
    <w:rsid w:val="00997610"/>
    <w:rsid w:val="00997DF1"/>
    <w:rsid w:val="009A3249"/>
    <w:rsid w:val="009A4DF0"/>
    <w:rsid w:val="009A56A6"/>
    <w:rsid w:val="009B254B"/>
    <w:rsid w:val="009B290A"/>
    <w:rsid w:val="009B29B7"/>
    <w:rsid w:val="009B2AB7"/>
    <w:rsid w:val="009B4BB0"/>
    <w:rsid w:val="009B562F"/>
    <w:rsid w:val="009B5AC9"/>
    <w:rsid w:val="009B6190"/>
    <w:rsid w:val="009B6E6B"/>
    <w:rsid w:val="009B7A37"/>
    <w:rsid w:val="009C17BC"/>
    <w:rsid w:val="009C1A89"/>
    <w:rsid w:val="009C1E90"/>
    <w:rsid w:val="009C25C2"/>
    <w:rsid w:val="009C2FAB"/>
    <w:rsid w:val="009C3350"/>
    <w:rsid w:val="009C3C37"/>
    <w:rsid w:val="009C3CC3"/>
    <w:rsid w:val="009C5E2F"/>
    <w:rsid w:val="009C5EE1"/>
    <w:rsid w:val="009C6787"/>
    <w:rsid w:val="009C6D44"/>
    <w:rsid w:val="009C7857"/>
    <w:rsid w:val="009C792B"/>
    <w:rsid w:val="009C79B3"/>
    <w:rsid w:val="009D1663"/>
    <w:rsid w:val="009D1865"/>
    <w:rsid w:val="009D1B9B"/>
    <w:rsid w:val="009D25E1"/>
    <w:rsid w:val="009D36DB"/>
    <w:rsid w:val="009D3C0D"/>
    <w:rsid w:val="009D45DC"/>
    <w:rsid w:val="009D4A3D"/>
    <w:rsid w:val="009D4F7D"/>
    <w:rsid w:val="009D4F88"/>
    <w:rsid w:val="009D5BED"/>
    <w:rsid w:val="009D604B"/>
    <w:rsid w:val="009D617E"/>
    <w:rsid w:val="009D68A9"/>
    <w:rsid w:val="009D6906"/>
    <w:rsid w:val="009D7EB5"/>
    <w:rsid w:val="009D7FB9"/>
    <w:rsid w:val="009D7FCD"/>
    <w:rsid w:val="009E1E5F"/>
    <w:rsid w:val="009E1F66"/>
    <w:rsid w:val="009E2304"/>
    <w:rsid w:val="009E28BE"/>
    <w:rsid w:val="009E28FF"/>
    <w:rsid w:val="009E2F43"/>
    <w:rsid w:val="009E40C9"/>
    <w:rsid w:val="009E4750"/>
    <w:rsid w:val="009E5728"/>
    <w:rsid w:val="009E6062"/>
    <w:rsid w:val="009E67B1"/>
    <w:rsid w:val="009E6F38"/>
    <w:rsid w:val="009E7D7C"/>
    <w:rsid w:val="009E7F6D"/>
    <w:rsid w:val="009F0847"/>
    <w:rsid w:val="009F213B"/>
    <w:rsid w:val="009F25B4"/>
    <w:rsid w:val="009F2C42"/>
    <w:rsid w:val="009F3580"/>
    <w:rsid w:val="009F3BEF"/>
    <w:rsid w:val="009F4365"/>
    <w:rsid w:val="009F5980"/>
    <w:rsid w:val="009F5A22"/>
    <w:rsid w:val="009F5A2A"/>
    <w:rsid w:val="009F731B"/>
    <w:rsid w:val="00A0031F"/>
    <w:rsid w:val="00A00B64"/>
    <w:rsid w:val="00A01035"/>
    <w:rsid w:val="00A0114B"/>
    <w:rsid w:val="00A01E6D"/>
    <w:rsid w:val="00A02153"/>
    <w:rsid w:val="00A0228D"/>
    <w:rsid w:val="00A03107"/>
    <w:rsid w:val="00A03660"/>
    <w:rsid w:val="00A056D2"/>
    <w:rsid w:val="00A064E7"/>
    <w:rsid w:val="00A07BA7"/>
    <w:rsid w:val="00A07BE8"/>
    <w:rsid w:val="00A07BEC"/>
    <w:rsid w:val="00A07ECF"/>
    <w:rsid w:val="00A113A2"/>
    <w:rsid w:val="00A12DFF"/>
    <w:rsid w:val="00A132DB"/>
    <w:rsid w:val="00A14316"/>
    <w:rsid w:val="00A15542"/>
    <w:rsid w:val="00A156D2"/>
    <w:rsid w:val="00A16E3A"/>
    <w:rsid w:val="00A17255"/>
    <w:rsid w:val="00A17D91"/>
    <w:rsid w:val="00A20208"/>
    <w:rsid w:val="00A20586"/>
    <w:rsid w:val="00A20DE3"/>
    <w:rsid w:val="00A223C6"/>
    <w:rsid w:val="00A228EF"/>
    <w:rsid w:val="00A236BB"/>
    <w:rsid w:val="00A23DCC"/>
    <w:rsid w:val="00A2450B"/>
    <w:rsid w:val="00A24AE7"/>
    <w:rsid w:val="00A24E47"/>
    <w:rsid w:val="00A25DA9"/>
    <w:rsid w:val="00A26392"/>
    <w:rsid w:val="00A265CF"/>
    <w:rsid w:val="00A311B6"/>
    <w:rsid w:val="00A31C25"/>
    <w:rsid w:val="00A342B1"/>
    <w:rsid w:val="00A34781"/>
    <w:rsid w:val="00A34E1A"/>
    <w:rsid w:val="00A36052"/>
    <w:rsid w:val="00A37AF2"/>
    <w:rsid w:val="00A40512"/>
    <w:rsid w:val="00A406CE"/>
    <w:rsid w:val="00A4191F"/>
    <w:rsid w:val="00A41DA1"/>
    <w:rsid w:val="00A420F5"/>
    <w:rsid w:val="00A42536"/>
    <w:rsid w:val="00A43041"/>
    <w:rsid w:val="00A436ED"/>
    <w:rsid w:val="00A43D14"/>
    <w:rsid w:val="00A45AD4"/>
    <w:rsid w:val="00A470DF"/>
    <w:rsid w:val="00A5021E"/>
    <w:rsid w:val="00A50229"/>
    <w:rsid w:val="00A50CF3"/>
    <w:rsid w:val="00A52319"/>
    <w:rsid w:val="00A5258C"/>
    <w:rsid w:val="00A528F0"/>
    <w:rsid w:val="00A52A50"/>
    <w:rsid w:val="00A530DE"/>
    <w:rsid w:val="00A53A7E"/>
    <w:rsid w:val="00A546F3"/>
    <w:rsid w:val="00A557A0"/>
    <w:rsid w:val="00A571B1"/>
    <w:rsid w:val="00A571DA"/>
    <w:rsid w:val="00A57639"/>
    <w:rsid w:val="00A607E8"/>
    <w:rsid w:val="00A60B74"/>
    <w:rsid w:val="00A613F6"/>
    <w:rsid w:val="00A615A1"/>
    <w:rsid w:val="00A617C1"/>
    <w:rsid w:val="00A61BE1"/>
    <w:rsid w:val="00A61E4E"/>
    <w:rsid w:val="00A62309"/>
    <w:rsid w:val="00A62A2B"/>
    <w:rsid w:val="00A62EEE"/>
    <w:rsid w:val="00A639D8"/>
    <w:rsid w:val="00A63F2F"/>
    <w:rsid w:val="00A63FF9"/>
    <w:rsid w:val="00A64E96"/>
    <w:rsid w:val="00A65827"/>
    <w:rsid w:val="00A65BE8"/>
    <w:rsid w:val="00A669EE"/>
    <w:rsid w:val="00A66C95"/>
    <w:rsid w:val="00A6795E"/>
    <w:rsid w:val="00A679A6"/>
    <w:rsid w:val="00A67AF5"/>
    <w:rsid w:val="00A67E94"/>
    <w:rsid w:val="00A70351"/>
    <w:rsid w:val="00A703B2"/>
    <w:rsid w:val="00A70569"/>
    <w:rsid w:val="00A71628"/>
    <w:rsid w:val="00A7162F"/>
    <w:rsid w:val="00A737BE"/>
    <w:rsid w:val="00A73DD6"/>
    <w:rsid w:val="00A748B3"/>
    <w:rsid w:val="00A74C02"/>
    <w:rsid w:val="00A753A5"/>
    <w:rsid w:val="00A7678B"/>
    <w:rsid w:val="00A77F1D"/>
    <w:rsid w:val="00A80D28"/>
    <w:rsid w:val="00A80E2F"/>
    <w:rsid w:val="00A81496"/>
    <w:rsid w:val="00A81933"/>
    <w:rsid w:val="00A81971"/>
    <w:rsid w:val="00A82AD7"/>
    <w:rsid w:val="00A83A0A"/>
    <w:rsid w:val="00A83A48"/>
    <w:rsid w:val="00A8480C"/>
    <w:rsid w:val="00A85FC3"/>
    <w:rsid w:val="00A86966"/>
    <w:rsid w:val="00A86C2A"/>
    <w:rsid w:val="00A90571"/>
    <w:rsid w:val="00A9058D"/>
    <w:rsid w:val="00A90925"/>
    <w:rsid w:val="00A9189C"/>
    <w:rsid w:val="00A918DE"/>
    <w:rsid w:val="00A927BD"/>
    <w:rsid w:val="00A92F14"/>
    <w:rsid w:val="00A93278"/>
    <w:rsid w:val="00A93466"/>
    <w:rsid w:val="00A94F6B"/>
    <w:rsid w:val="00A95672"/>
    <w:rsid w:val="00A95938"/>
    <w:rsid w:val="00A95E9A"/>
    <w:rsid w:val="00A9642E"/>
    <w:rsid w:val="00A968B6"/>
    <w:rsid w:val="00A97853"/>
    <w:rsid w:val="00A97C47"/>
    <w:rsid w:val="00AA050E"/>
    <w:rsid w:val="00AA35A8"/>
    <w:rsid w:val="00AA5E61"/>
    <w:rsid w:val="00AA79AF"/>
    <w:rsid w:val="00AB030D"/>
    <w:rsid w:val="00AB03EC"/>
    <w:rsid w:val="00AB095C"/>
    <w:rsid w:val="00AB09C5"/>
    <w:rsid w:val="00AB107A"/>
    <w:rsid w:val="00AB11B2"/>
    <w:rsid w:val="00AB1BC5"/>
    <w:rsid w:val="00AB1D5D"/>
    <w:rsid w:val="00AB240E"/>
    <w:rsid w:val="00AB34AB"/>
    <w:rsid w:val="00AB44C2"/>
    <w:rsid w:val="00AB461F"/>
    <w:rsid w:val="00AB57CC"/>
    <w:rsid w:val="00AB5985"/>
    <w:rsid w:val="00AB6569"/>
    <w:rsid w:val="00AB6F31"/>
    <w:rsid w:val="00AB6FF3"/>
    <w:rsid w:val="00AC0086"/>
    <w:rsid w:val="00AC0FDB"/>
    <w:rsid w:val="00AC1592"/>
    <w:rsid w:val="00AC3208"/>
    <w:rsid w:val="00AC59AA"/>
    <w:rsid w:val="00AC5BC7"/>
    <w:rsid w:val="00AC5C0E"/>
    <w:rsid w:val="00AC5E52"/>
    <w:rsid w:val="00AC654A"/>
    <w:rsid w:val="00AC65AD"/>
    <w:rsid w:val="00AC7055"/>
    <w:rsid w:val="00AC738D"/>
    <w:rsid w:val="00AC7B7D"/>
    <w:rsid w:val="00AC7EE4"/>
    <w:rsid w:val="00AD1447"/>
    <w:rsid w:val="00AD2A7E"/>
    <w:rsid w:val="00AD2FB0"/>
    <w:rsid w:val="00AD394D"/>
    <w:rsid w:val="00AD4212"/>
    <w:rsid w:val="00AD7151"/>
    <w:rsid w:val="00AD78A4"/>
    <w:rsid w:val="00AE0489"/>
    <w:rsid w:val="00AE0495"/>
    <w:rsid w:val="00AE08FF"/>
    <w:rsid w:val="00AE0A1A"/>
    <w:rsid w:val="00AE0CB6"/>
    <w:rsid w:val="00AE0E67"/>
    <w:rsid w:val="00AE0EB1"/>
    <w:rsid w:val="00AE10BD"/>
    <w:rsid w:val="00AE16E7"/>
    <w:rsid w:val="00AE1D88"/>
    <w:rsid w:val="00AE2D33"/>
    <w:rsid w:val="00AE3135"/>
    <w:rsid w:val="00AE390F"/>
    <w:rsid w:val="00AE3D49"/>
    <w:rsid w:val="00AE5F19"/>
    <w:rsid w:val="00AE5F96"/>
    <w:rsid w:val="00AE6333"/>
    <w:rsid w:val="00AE79CB"/>
    <w:rsid w:val="00AE7E4B"/>
    <w:rsid w:val="00AE7EE0"/>
    <w:rsid w:val="00AF00AB"/>
    <w:rsid w:val="00AF01A9"/>
    <w:rsid w:val="00AF07E1"/>
    <w:rsid w:val="00AF0FC4"/>
    <w:rsid w:val="00AF1225"/>
    <w:rsid w:val="00AF2EBE"/>
    <w:rsid w:val="00AF3526"/>
    <w:rsid w:val="00AF3CDB"/>
    <w:rsid w:val="00AF4063"/>
    <w:rsid w:val="00AF4777"/>
    <w:rsid w:val="00AF5358"/>
    <w:rsid w:val="00AF541C"/>
    <w:rsid w:val="00AF5A1D"/>
    <w:rsid w:val="00AF5FB6"/>
    <w:rsid w:val="00AF6057"/>
    <w:rsid w:val="00AF6297"/>
    <w:rsid w:val="00AF6516"/>
    <w:rsid w:val="00B000E1"/>
    <w:rsid w:val="00B005BA"/>
    <w:rsid w:val="00B0261C"/>
    <w:rsid w:val="00B0613A"/>
    <w:rsid w:val="00B06238"/>
    <w:rsid w:val="00B07A4D"/>
    <w:rsid w:val="00B11622"/>
    <w:rsid w:val="00B11D42"/>
    <w:rsid w:val="00B12226"/>
    <w:rsid w:val="00B14338"/>
    <w:rsid w:val="00B14878"/>
    <w:rsid w:val="00B14A20"/>
    <w:rsid w:val="00B14AAA"/>
    <w:rsid w:val="00B171F3"/>
    <w:rsid w:val="00B20517"/>
    <w:rsid w:val="00B208EC"/>
    <w:rsid w:val="00B2128F"/>
    <w:rsid w:val="00B22057"/>
    <w:rsid w:val="00B2274C"/>
    <w:rsid w:val="00B22B71"/>
    <w:rsid w:val="00B232FC"/>
    <w:rsid w:val="00B25883"/>
    <w:rsid w:val="00B263D3"/>
    <w:rsid w:val="00B26A24"/>
    <w:rsid w:val="00B27AC0"/>
    <w:rsid w:val="00B30500"/>
    <w:rsid w:val="00B306C3"/>
    <w:rsid w:val="00B315C9"/>
    <w:rsid w:val="00B31E1B"/>
    <w:rsid w:val="00B32262"/>
    <w:rsid w:val="00B3250C"/>
    <w:rsid w:val="00B327AB"/>
    <w:rsid w:val="00B33710"/>
    <w:rsid w:val="00B33AE7"/>
    <w:rsid w:val="00B34713"/>
    <w:rsid w:val="00B34D43"/>
    <w:rsid w:val="00B34D9F"/>
    <w:rsid w:val="00B356D4"/>
    <w:rsid w:val="00B35B9E"/>
    <w:rsid w:val="00B35CF5"/>
    <w:rsid w:val="00B361F0"/>
    <w:rsid w:val="00B36819"/>
    <w:rsid w:val="00B36EBB"/>
    <w:rsid w:val="00B37290"/>
    <w:rsid w:val="00B40076"/>
    <w:rsid w:val="00B403AB"/>
    <w:rsid w:val="00B41EF8"/>
    <w:rsid w:val="00B43158"/>
    <w:rsid w:val="00B43712"/>
    <w:rsid w:val="00B43CAD"/>
    <w:rsid w:val="00B44939"/>
    <w:rsid w:val="00B449EA"/>
    <w:rsid w:val="00B44D1D"/>
    <w:rsid w:val="00B44DEA"/>
    <w:rsid w:val="00B44F3C"/>
    <w:rsid w:val="00B451DC"/>
    <w:rsid w:val="00B4652E"/>
    <w:rsid w:val="00B46848"/>
    <w:rsid w:val="00B5117D"/>
    <w:rsid w:val="00B513BF"/>
    <w:rsid w:val="00B51EA6"/>
    <w:rsid w:val="00B528DB"/>
    <w:rsid w:val="00B554C7"/>
    <w:rsid w:val="00B554DD"/>
    <w:rsid w:val="00B56009"/>
    <w:rsid w:val="00B561E7"/>
    <w:rsid w:val="00B56FDC"/>
    <w:rsid w:val="00B57C85"/>
    <w:rsid w:val="00B6004B"/>
    <w:rsid w:val="00B612CB"/>
    <w:rsid w:val="00B625E7"/>
    <w:rsid w:val="00B6292C"/>
    <w:rsid w:val="00B63666"/>
    <w:rsid w:val="00B6429A"/>
    <w:rsid w:val="00B6448C"/>
    <w:rsid w:val="00B6487F"/>
    <w:rsid w:val="00B65085"/>
    <w:rsid w:val="00B6513E"/>
    <w:rsid w:val="00B65677"/>
    <w:rsid w:val="00B6571B"/>
    <w:rsid w:val="00B65809"/>
    <w:rsid w:val="00B65A96"/>
    <w:rsid w:val="00B65FA2"/>
    <w:rsid w:val="00B6620B"/>
    <w:rsid w:val="00B66584"/>
    <w:rsid w:val="00B67504"/>
    <w:rsid w:val="00B71270"/>
    <w:rsid w:val="00B723FD"/>
    <w:rsid w:val="00B725A4"/>
    <w:rsid w:val="00B72F78"/>
    <w:rsid w:val="00B73A63"/>
    <w:rsid w:val="00B73D50"/>
    <w:rsid w:val="00B75C13"/>
    <w:rsid w:val="00B760AB"/>
    <w:rsid w:val="00B76217"/>
    <w:rsid w:val="00B76E4A"/>
    <w:rsid w:val="00B7726D"/>
    <w:rsid w:val="00B777DA"/>
    <w:rsid w:val="00B77941"/>
    <w:rsid w:val="00B80828"/>
    <w:rsid w:val="00B80CAB"/>
    <w:rsid w:val="00B81935"/>
    <w:rsid w:val="00B81FE9"/>
    <w:rsid w:val="00B82528"/>
    <w:rsid w:val="00B825B4"/>
    <w:rsid w:val="00B82D99"/>
    <w:rsid w:val="00B83081"/>
    <w:rsid w:val="00B83808"/>
    <w:rsid w:val="00B8495C"/>
    <w:rsid w:val="00B84BDE"/>
    <w:rsid w:val="00B85233"/>
    <w:rsid w:val="00B85589"/>
    <w:rsid w:val="00B8562C"/>
    <w:rsid w:val="00B86612"/>
    <w:rsid w:val="00B86E61"/>
    <w:rsid w:val="00B87E3E"/>
    <w:rsid w:val="00B90DAB"/>
    <w:rsid w:val="00B91A98"/>
    <w:rsid w:val="00B91FB3"/>
    <w:rsid w:val="00B93FC0"/>
    <w:rsid w:val="00B95100"/>
    <w:rsid w:val="00B96838"/>
    <w:rsid w:val="00B96937"/>
    <w:rsid w:val="00B9779A"/>
    <w:rsid w:val="00BA0AFD"/>
    <w:rsid w:val="00BA0BA0"/>
    <w:rsid w:val="00BA0C64"/>
    <w:rsid w:val="00BA2665"/>
    <w:rsid w:val="00BA2D75"/>
    <w:rsid w:val="00BA34B9"/>
    <w:rsid w:val="00BA41D0"/>
    <w:rsid w:val="00BA66AD"/>
    <w:rsid w:val="00BB024E"/>
    <w:rsid w:val="00BB2F82"/>
    <w:rsid w:val="00BB3BC7"/>
    <w:rsid w:val="00BB42E0"/>
    <w:rsid w:val="00BB4462"/>
    <w:rsid w:val="00BB46F2"/>
    <w:rsid w:val="00BB498E"/>
    <w:rsid w:val="00BB570C"/>
    <w:rsid w:val="00BB62CB"/>
    <w:rsid w:val="00BB65EF"/>
    <w:rsid w:val="00BB7309"/>
    <w:rsid w:val="00BB74B1"/>
    <w:rsid w:val="00BC055E"/>
    <w:rsid w:val="00BC06A0"/>
    <w:rsid w:val="00BC0CFA"/>
    <w:rsid w:val="00BC0F84"/>
    <w:rsid w:val="00BC1A8D"/>
    <w:rsid w:val="00BC1F6F"/>
    <w:rsid w:val="00BC3AD3"/>
    <w:rsid w:val="00BC576A"/>
    <w:rsid w:val="00BC672D"/>
    <w:rsid w:val="00BC6744"/>
    <w:rsid w:val="00BC6874"/>
    <w:rsid w:val="00BD08E3"/>
    <w:rsid w:val="00BD19B2"/>
    <w:rsid w:val="00BD1D30"/>
    <w:rsid w:val="00BD2041"/>
    <w:rsid w:val="00BD20A4"/>
    <w:rsid w:val="00BD21DE"/>
    <w:rsid w:val="00BD2DF0"/>
    <w:rsid w:val="00BD2F5B"/>
    <w:rsid w:val="00BD3452"/>
    <w:rsid w:val="00BD3CBA"/>
    <w:rsid w:val="00BD3D09"/>
    <w:rsid w:val="00BD5111"/>
    <w:rsid w:val="00BD5144"/>
    <w:rsid w:val="00BD5269"/>
    <w:rsid w:val="00BD5929"/>
    <w:rsid w:val="00BD601B"/>
    <w:rsid w:val="00BD6FA6"/>
    <w:rsid w:val="00BD76F3"/>
    <w:rsid w:val="00BD7BCB"/>
    <w:rsid w:val="00BE046B"/>
    <w:rsid w:val="00BE0EAB"/>
    <w:rsid w:val="00BE1167"/>
    <w:rsid w:val="00BE1E7E"/>
    <w:rsid w:val="00BE2611"/>
    <w:rsid w:val="00BE37AD"/>
    <w:rsid w:val="00BE3BB3"/>
    <w:rsid w:val="00BE464F"/>
    <w:rsid w:val="00BE53CA"/>
    <w:rsid w:val="00BE5925"/>
    <w:rsid w:val="00BE5EF7"/>
    <w:rsid w:val="00BE5F01"/>
    <w:rsid w:val="00BE6001"/>
    <w:rsid w:val="00BE624B"/>
    <w:rsid w:val="00BF081E"/>
    <w:rsid w:val="00BF0C27"/>
    <w:rsid w:val="00BF0F63"/>
    <w:rsid w:val="00BF1486"/>
    <w:rsid w:val="00BF2398"/>
    <w:rsid w:val="00BF34E1"/>
    <w:rsid w:val="00BF396C"/>
    <w:rsid w:val="00BF3DE4"/>
    <w:rsid w:val="00BF3ECB"/>
    <w:rsid w:val="00BF6DB1"/>
    <w:rsid w:val="00BF78C2"/>
    <w:rsid w:val="00BF7907"/>
    <w:rsid w:val="00C00CA2"/>
    <w:rsid w:val="00C00FD7"/>
    <w:rsid w:val="00C01C67"/>
    <w:rsid w:val="00C01C93"/>
    <w:rsid w:val="00C01D58"/>
    <w:rsid w:val="00C01DCC"/>
    <w:rsid w:val="00C01E20"/>
    <w:rsid w:val="00C01E46"/>
    <w:rsid w:val="00C0304E"/>
    <w:rsid w:val="00C03F10"/>
    <w:rsid w:val="00C04526"/>
    <w:rsid w:val="00C04D6F"/>
    <w:rsid w:val="00C0640D"/>
    <w:rsid w:val="00C06576"/>
    <w:rsid w:val="00C06C3E"/>
    <w:rsid w:val="00C07842"/>
    <w:rsid w:val="00C10572"/>
    <w:rsid w:val="00C10872"/>
    <w:rsid w:val="00C123EB"/>
    <w:rsid w:val="00C12C58"/>
    <w:rsid w:val="00C1463E"/>
    <w:rsid w:val="00C14EC9"/>
    <w:rsid w:val="00C1585C"/>
    <w:rsid w:val="00C1684A"/>
    <w:rsid w:val="00C17DEB"/>
    <w:rsid w:val="00C20E53"/>
    <w:rsid w:val="00C21245"/>
    <w:rsid w:val="00C21EB8"/>
    <w:rsid w:val="00C23721"/>
    <w:rsid w:val="00C23EB9"/>
    <w:rsid w:val="00C24A5E"/>
    <w:rsid w:val="00C24F8F"/>
    <w:rsid w:val="00C27050"/>
    <w:rsid w:val="00C2781E"/>
    <w:rsid w:val="00C279BC"/>
    <w:rsid w:val="00C27A85"/>
    <w:rsid w:val="00C3085C"/>
    <w:rsid w:val="00C30C14"/>
    <w:rsid w:val="00C3140B"/>
    <w:rsid w:val="00C3230B"/>
    <w:rsid w:val="00C33BE2"/>
    <w:rsid w:val="00C33C1C"/>
    <w:rsid w:val="00C3400A"/>
    <w:rsid w:val="00C34052"/>
    <w:rsid w:val="00C3418F"/>
    <w:rsid w:val="00C35598"/>
    <w:rsid w:val="00C356E9"/>
    <w:rsid w:val="00C36A62"/>
    <w:rsid w:val="00C37D1F"/>
    <w:rsid w:val="00C419D2"/>
    <w:rsid w:val="00C42017"/>
    <w:rsid w:val="00C4293D"/>
    <w:rsid w:val="00C42BA7"/>
    <w:rsid w:val="00C42E53"/>
    <w:rsid w:val="00C43BF7"/>
    <w:rsid w:val="00C451F7"/>
    <w:rsid w:val="00C46AB2"/>
    <w:rsid w:val="00C475B5"/>
    <w:rsid w:val="00C47C9D"/>
    <w:rsid w:val="00C503AC"/>
    <w:rsid w:val="00C504AE"/>
    <w:rsid w:val="00C50906"/>
    <w:rsid w:val="00C51545"/>
    <w:rsid w:val="00C5221C"/>
    <w:rsid w:val="00C537CB"/>
    <w:rsid w:val="00C53F08"/>
    <w:rsid w:val="00C544A0"/>
    <w:rsid w:val="00C544DA"/>
    <w:rsid w:val="00C5564C"/>
    <w:rsid w:val="00C55F24"/>
    <w:rsid w:val="00C56040"/>
    <w:rsid w:val="00C565D7"/>
    <w:rsid w:val="00C5690B"/>
    <w:rsid w:val="00C56D94"/>
    <w:rsid w:val="00C57D38"/>
    <w:rsid w:val="00C6087F"/>
    <w:rsid w:val="00C61F10"/>
    <w:rsid w:val="00C62150"/>
    <w:rsid w:val="00C62188"/>
    <w:rsid w:val="00C62667"/>
    <w:rsid w:val="00C63311"/>
    <w:rsid w:val="00C6605A"/>
    <w:rsid w:val="00C7012D"/>
    <w:rsid w:val="00C7070C"/>
    <w:rsid w:val="00C73A9D"/>
    <w:rsid w:val="00C73ABB"/>
    <w:rsid w:val="00C73AE2"/>
    <w:rsid w:val="00C7427E"/>
    <w:rsid w:val="00C7485C"/>
    <w:rsid w:val="00C75317"/>
    <w:rsid w:val="00C75450"/>
    <w:rsid w:val="00C757B5"/>
    <w:rsid w:val="00C75C00"/>
    <w:rsid w:val="00C76B13"/>
    <w:rsid w:val="00C776C2"/>
    <w:rsid w:val="00C809F7"/>
    <w:rsid w:val="00C811E6"/>
    <w:rsid w:val="00C815D6"/>
    <w:rsid w:val="00C84C46"/>
    <w:rsid w:val="00C851BB"/>
    <w:rsid w:val="00C85A37"/>
    <w:rsid w:val="00C85F5B"/>
    <w:rsid w:val="00C8737F"/>
    <w:rsid w:val="00C875E1"/>
    <w:rsid w:val="00C87EC8"/>
    <w:rsid w:val="00C9019C"/>
    <w:rsid w:val="00C90702"/>
    <w:rsid w:val="00C90E2F"/>
    <w:rsid w:val="00C91428"/>
    <w:rsid w:val="00C9196E"/>
    <w:rsid w:val="00C91AC4"/>
    <w:rsid w:val="00C929E6"/>
    <w:rsid w:val="00C97AA5"/>
    <w:rsid w:val="00C97AE3"/>
    <w:rsid w:val="00C97C52"/>
    <w:rsid w:val="00CA01E3"/>
    <w:rsid w:val="00CA02B0"/>
    <w:rsid w:val="00CA062F"/>
    <w:rsid w:val="00CA0F98"/>
    <w:rsid w:val="00CA1531"/>
    <w:rsid w:val="00CA32F6"/>
    <w:rsid w:val="00CA357E"/>
    <w:rsid w:val="00CA4FA0"/>
    <w:rsid w:val="00CA5479"/>
    <w:rsid w:val="00CA5FDE"/>
    <w:rsid w:val="00CA7468"/>
    <w:rsid w:val="00CA7736"/>
    <w:rsid w:val="00CA78FF"/>
    <w:rsid w:val="00CA798A"/>
    <w:rsid w:val="00CA7B9F"/>
    <w:rsid w:val="00CA7DF3"/>
    <w:rsid w:val="00CA7F37"/>
    <w:rsid w:val="00CB0310"/>
    <w:rsid w:val="00CB0A82"/>
    <w:rsid w:val="00CB129B"/>
    <w:rsid w:val="00CB1F3C"/>
    <w:rsid w:val="00CB237E"/>
    <w:rsid w:val="00CB4C4E"/>
    <w:rsid w:val="00CB4D9C"/>
    <w:rsid w:val="00CB56A7"/>
    <w:rsid w:val="00CB5E14"/>
    <w:rsid w:val="00CB6D9D"/>
    <w:rsid w:val="00CC1ADB"/>
    <w:rsid w:val="00CC3C93"/>
    <w:rsid w:val="00CC6FA7"/>
    <w:rsid w:val="00CC758C"/>
    <w:rsid w:val="00CC7B85"/>
    <w:rsid w:val="00CD081A"/>
    <w:rsid w:val="00CD0A7C"/>
    <w:rsid w:val="00CD115A"/>
    <w:rsid w:val="00CD193E"/>
    <w:rsid w:val="00CD20B3"/>
    <w:rsid w:val="00CD28AE"/>
    <w:rsid w:val="00CD2BF5"/>
    <w:rsid w:val="00CD3509"/>
    <w:rsid w:val="00CD3E7B"/>
    <w:rsid w:val="00CD4255"/>
    <w:rsid w:val="00CD6DA4"/>
    <w:rsid w:val="00CE0F0D"/>
    <w:rsid w:val="00CE1560"/>
    <w:rsid w:val="00CE1A19"/>
    <w:rsid w:val="00CE2660"/>
    <w:rsid w:val="00CE2BDF"/>
    <w:rsid w:val="00CE45D3"/>
    <w:rsid w:val="00CE4700"/>
    <w:rsid w:val="00CE5DC9"/>
    <w:rsid w:val="00CE60EB"/>
    <w:rsid w:val="00CE685A"/>
    <w:rsid w:val="00CE6B7B"/>
    <w:rsid w:val="00CE7237"/>
    <w:rsid w:val="00CE7520"/>
    <w:rsid w:val="00CF053E"/>
    <w:rsid w:val="00CF0876"/>
    <w:rsid w:val="00CF0E4C"/>
    <w:rsid w:val="00CF143A"/>
    <w:rsid w:val="00CF1D3D"/>
    <w:rsid w:val="00CF256A"/>
    <w:rsid w:val="00CF34E6"/>
    <w:rsid w:val="00CF3BE8"/>
    <w:rsid w:val="00CF3F9F"/>
    <w:rsid w:val="00CF41B3"/>
    <w:rsid w:val="00CF4D5E"/>
    <w:rsid w:val="00CF531B"/>
    <w:rsid w:val="00CF6063"/>
    <w:rsid w:val="00CF6355"/>
    <w:rsid w:val="00CF6794"/>
    <w:rsid w:val="00D00905"/>
    <w:rsid w:val="00D00A1B"/>
    <w:rsid w:val="00D01414"/>
    <w:rsid w:val="00D014A9"/>
    <w:rsid w:val="00D02384"/>
    <w:rsid w:val="00D02F77"/>
    <w:rsid w:val="00D037C4"/>
    <w:rsid w:val="00D050DE"/>
    <w:rsid w:val="00D065F8"/>
    <w:rsid w:val="00D069BE"/>
    <w:rsid w:val="00D06F14"/>
    <w:rsid w:val="00D071A9"/>
    <w:rsid w:val="00D1035E"/>
    <w:rsid w:val="00D103E6"/>
    <w:rsid w:val="00D10712"/>
    <w:rsid w:val="00D10C57"/>
    <w:rsid w:val="00D125AE"/>
    <w:rsid w:val="00D1291A"/>
    <w:rsid w:val="00D12C13"/>
    <w:rsid w:val="00D13315"/>
    <w:rsid w:val="00D13D99"/>
    <w:rsid w:val="00D13E02"/>
    <w:rsid w:val="00D13E39"/>
    <w:rsid w:val="00D144EF"/>
    <w:rsid w:val="00D145F5"/>
    <w:rsid w:val="00D146BC"/>
    <w:rsid w:val="00D15E6D"/>
    <w:rsid w:val="00D16DAA"/>
    <w:rsid w:val="00D16DDF"/>
    <w:rsid w:val="00D1739C"/>
    <w:rsid w:val="00D220E4"/>
    <w:rsid w:val="00D23EEB"/>
    <w:rsid w:val="00D23FF5"/>
    <w:rsid w:val="00D252C3"/>
    <w:rsid w:val="00D256B5"/>
    <w:rsid w:val="00D26630"/>
    <w:rsid w:val="00D26741"/>
    <w:rsid w:val="00D27641"/>
    <w:rsid w:val="00D3084E"/>
    <w:rsid w:val="00D311AB"/>
    <w:rsid w:val="00D35D6B"/>
    <w:rsid w:val="00D3656A"/>
    <w:rsid w:val="00D37D01"/>
    <w:rsid w:val="00D4058F"/>
    <w:rsid w:val="00D40691"/>
    <w:rsid w:val="00D409E6"/>
    <w:rsid w:val="00D413EF"/>
    <w:rsid w:val="00D42FFE"/>
    <w:rsid w:val="00D452B9"/>
    <w:rsid w:val="00D455D8"/>
    <w:rsid w:val="00D46100"/>
    <w:rsid w:val="00D513D0"/>
    <w:rsid w:val="00D529A1"/>
    <w:rsid w:val="00D55613"/>
    <w:rsid w:val="00D558ED"/>
    <w:rsid w:val="00D56956"/>
    <w:rsid w:val="00D56F45"/>
    <w:rsid w:val="00D578FB"/>
    <w:rsid w:val="00D60F51"/>
    <w:rsid w:val="00D616F7"/>
    <w:rsid w:val="00D61758"/>
    <w:rsid w:val="00D618FB"/>
    <w:rsid w:val="00D63C39"/>
    <w:rsid w:val="00D6404C"/>
    <w:rsid w:val="00D6474B"/>
    <w:rsid w:val="00D64A9D"/>
    <w:rsid w:val="00D65E5A"/>
    <w:rsid w:val="00D663CB"/>
    <w:rsid w:val="00D664C2"/>
    <w:rsid w:val="00D66518"/>
    <w:rsid w:val="00D66CB6"/>
    <w:rsid w:val="00D70368"/>
    <w:rsid w:val="00D712E0"/>
    <w:rsid w:val="00D713FF"/>
    <w:rsid w:val="00D71C46"/>
    <w:rsid w:val="00D72636"/>
    <w:rsid w:val="00D743CC"/>
    <w:rsid w:val="00D74BA9"/>
    <w:rsid w:val="00D754F1"/>
    <w:rsid w:val="00D7579A"/>
    <w:rsid w:val="00D75E26"/>
    <w:rsid w:val="00D76038"/>
    <w:rsid w:val="00D762F4"/>
    <w:rsid w:val="00D775AB"/>
    <w:rsid w:val="00D77EE5"/>
    <w:rsid w:val="00D814DE"/>
    <w:rsid w:val="00D82955"/>
    <w:rsid w:val="00D8307C"/>
    <w:rsid w:val="00D833DC"/>
    <w:rsid w:val="00D83641"/>
    <w:rsid w:val="00D838E5"/>
    <w:rsid w:val="00D83A6A"/>
    <w:rsid w:val="00D83E85"/>
    <w:rsid w:val="00D844A1"/>
    <w:rsid w:val="00D851DE"/>
    <w:rsid w:val="00D86B70"/>
    <w:rsid w:val="00D87A14"/>
    <w:rsid w:val="00D9020F"/>
    <w:rsid w:val="00D90B54"/>
    <w:rsid w:val="00D90BA9"/>
    <w:rsid w:val="00D90DA0"/>
    <w:rsid w:val="00D911E7"/>
    <w:rsid w:val="00D9356E"/>
    <w:rsid w:val="00D935DC"/>
    <w:rsid w:val="00D937D4"/>
    <w:rsid w:val="00D9680F"/>
    <w:rsid w:val="00D96965"/>
    <w:rsid w:val="00D96E0E"/>
    <w:rsid w:val="00D977C6"/>
    <w:rsid w:val="00D97E7D"/>
    <w:rsid w:val="00D97E89"/>
    <w:rsid w:val="00DA02E5"/>
    <w:rsid w:val="00DA060C"/>
    <w:rsid w:val="00DA0CE2"/>
    <w:rsid w:val="00DA1160"/>
    <w:rsid w:val="00DA1296"/>
    <w:rsid w:val="00DA1E6F"/>
    <w:rsid w:val="00DA2E9A"/>
    <w:rsid w:val="00DA3B14"/>
    <w:rsid w:val="00DA47BC"/>
    <w:rsid w:val="00DA56A0"/>
    <w:rsid w:val="00DA7865"/>
    <w:rsid w:val="00DB092E"/>
    <w:rsid w:val="00DB0F6A"/>
    <w:rsid w:val="00DB324F"/>
    <w:rsid w:val="00DB43AC"/>
    <w:rsid w:val="00DB4B8D"/>
    <w:rsid w:val="00DB5FAB"/>
    <w:rsid w:val="00DB6098"/>
    <w:rsid w:val="00DB6545"/>
    <w:rsid w:val="00DB7149"/>
    <w:rsid w:val="00DB74AB"/>
    <w:rsid w:val="00DB7F6F"/>
    <w:rsid w:val="00DC0078"/>
    <w:rsid w:val="00DC0701"/>
    <w:rsid w:val="00DC09F2"/>
    <w:rsid w:val="00DC14D4"/>
    <w:rsid w:val="00DC29CF"/>
    <w:rsid w:val="00DC3496"/>
    <w:rsid w:val="00DC5A38"/>
    <w:rsid w:val="00DC5B50"/>
    <w:rsid w:val="00DC5E5E"/>
    <w:rsid w:val="00DC63F4"/>
    <w:rsid w:val="00DC7F82"/>
    <w:rsid w:val="00DD0036"/>
    <w:rsid w:val="00DD0063"/>
    <w:rsid w:val="00DD07D3"/>
    <w:rsid w:val="00DD1402"/>
    <w:rsid w:val="00DD2117"/>
    <w:rsid w:val="00DD28BC"/>
    <w:rsid w:val="00DD3223"/>
    <w:rsid w:val="00DD33A6"/>
    <w:rsid w:val="00DD371D"/>
    <w:rsid w:val="00DD4246"/>
    <w:rsid w:val="00DD4AAF"/>
    <w:rsid w:val="00DD547F"/>
    <w:rsid w:val="00DD5AD7"/>
    <w:rsid w:val="00DD6C3A"/>
    <w:rsid w:val="00DE006A"/>
    <w:rsid w:val="00DE11A4"/>
    <w:rsid w:val="00DE482E"/>
    <w:rsid w:val="00DE4BA0"/>
    <w:rsid w:val="00DE5899"/>
    <w:rsid w:val="00DE58B6"/>
    <w:rsid w:val="00DE5900"/>
    <w:rsid w:val="00DE5CF2"/>
    <w:rsid w:val="00DE64F5"/>
    <w:rsid w:val="00DF014E"/>
    <w:rsid w:val="00DF02D7"/>
    <w:rsid w:val="00DF0C00"/>
    <w:rsid w:val="00DF0D8A"/>
    <w:rsid w:val="00DF1349"/>
    <w:rsid w:val="00DF154D"/>
    <w:rsid w:val="00DF2384"/>
    <w:rsid w:val="00DF29C4"/>
    <w:rsid w:val="00DF2D40"/>
    <w:rsid w:val="00DF327A"/>
    <w:rsid w:val="00DF3DE6"/>
    <w:rsid w:val="00DF3EF4"/>
    <w:rsid w:val="00DF456A"/>
    <w:rsid w:val="00DF5776"/>
    <w:rsid w:val="00DF6006"/>
    <w:rsid w:val="00DF6524"/>
    <w:rsid w:val="00DF70B2"/>
    <w:rsid w:val="00E029F3"/>
    <w:rsid w:val="00E02DC4"/>
    <w:rsid w:val="00E03C27"/>
    <w:rsid w:val="00E03E1B"/>
    <w:rsid w:val="00E04D88"/>
    <w:rsid w:val="00E05D22"/>
    <w:rsid w:val="00E0603B"/>
    <w:rsid w:val="00E07364"/>
    <w:rsid w:val="00E077B2"/>
    <w:rsid w:val="00E1026E"/>
    <w:rsid w:val="00E120E8"/>
    <w:rsid w:val="00E12C99"/>
    <w:rsid w:val="00E14CA4"/>
    <w:rsid w:val="00E14FEC"/>
    <w:rsid w:val="00E158E3"/>
    <w:rsid w:val="00E15C73"/>
    <w:rsid w:val="00E15E89"/>
    <w:rsid w:val="00E15F03"/>
    <w:rsid w:val="00E16AA1"/>
    <w:rsid w:val="00E173BD"/>
    <w:rsid w:val="00E17478"/>
    <w:rsid w:val="00E17B67"/>
    <w:rsid w:val="00E2212D"/>
    <w:rsid w:val="00E223F2"/>
    <w:rsid w:val="00E235A9"/>
    <w:rsid w:val="00E23E26"/>
    <w:rsid w:val="00E2477D"/>
    <w:rsid w:val="00E2739B"/>
    <w:rsid w:val="00E277DB"/>
    <w:rsid w:val="00E27EB1"/>
    <w:rsid w:val="00E30A18"/>
    <w:rsid w:val="00E30CF5"/>
    <w:rsid w:val="00E310BE"/>
    <w:rsid w:val="00E3322A"/>
    <w:rsid w:val="00E33521"/>
    <w:rsid w:val="00E338F0"/>
    <w:rsid w:val="00E342B2"/>
    <w:rsid w:val="00E3464C"/>
    <w:rsid w:val="00E359EC"/>
    <w:rsid w:val="00E35E52"/>
    <w:rsid w:val="00E360DE"/>
    <w:rsid w:val="00E372E0"/>
    <w:rsid w:val="00E373BF"/>
    <w:rsid w:val="00E37AC9"/>
    <w:rsid w:val="00E40818"/>
    <w:rsid w:val="00E41265"/>
    <w:rsid w:val="00E41BB6"/>
    <w:rsid w:val="00E41CAB"/>
    <w:rsid w:val="00E42B39"/>
    <w:rsid w:val="00E42CA1"/>
    <w:rsid w:val="00E433D2"/>
    <w:rsid w:val="00E43EE7"/>
    <w:rsid w:val="00E44151"/>
    <w:rsid w:val="00E44AEE"/>
    <w:rsid w:val="00E45CEC"/>
    <w:rsid w:val="00E4790A"/>
    <w:rsid w:val="00E50475"/>
    <w:rsid w:val="00E51726"/>
    <w:rsid w:val="00E5187E"/>
    <w:rsid w:val="00E52493"/>
    <w:rsid w:val="00E531A8"/>
    <w:rsid w:val="00E53C4F"/>
    <w:rsid w:val="00E53D36"/>
    <w:rsid w:val="00E55E00"/>
    <w:rsid w:val="00E5600D"/>
    <w:rsid w:val="00E56053"/>
    <w:rsid w:val="00E57E7F"/>
    <w:rsid w:val="00E605F5"/>
    <w:rsid w:val="00E62E12"/>
    <w:rsid w:val="00E647C1"/>
    <w:rsid w:val="00E65063"/>
    <w:rsid w:val="00E65760"/>
    <w:rsid w:val="00E65CD5"/>
    <w:rsid w:val="00E66C53"/>
    <w:rsid w:val="00E71F64"/>
    <w:rsid w:val="00E721D2"/>
    <w:rsid w:val="00E7325C"/>
    <w:rsid w:val="00E73D3A"/>
    <w:rsid w:val="00E7400C"/>
    <w:rsid w:val="00E74833"/>
    <w:rsid w:val="00E76262"/>
    <w:rsid w:val="00E767FD"/>
    <w:rsid w:val="00E77B47"/>
    <w:rsid w:val="00E800F3"/>
    <w:rsid w:val="00E80505"/>
    <w:rsid w:val="00E8231F"/>
    <w:rsid w:val="00E83633"/>
    <w:rsid w:val="00E83B09"/>
    <w:rsid w:val="00E8415A"/>
    <w:rsid w:val="00E84425"/>
    <w:rsid w:val="00E853DE"/>
    <w:rsid w:val="00E8623F"/>
    <w:rsid w:val="00E862C8"/>
    <w:rsid w:val="00E86B35"/>
    <w:rsid w:val="00E870A5"/>
    <w:rsid w:val="00E87BFE"/>
    <w:rsid w:val="00E87CA5"/>
    <w:rsid w:val="00E87F78"/>
    <w:rsid w:val="00E90B3F"/>
    <w:rsid w:val="00E912F6"/>
    <w:rsid w:val="00E91B68"/>
    <w:rsid w:val="00E925FF"/>
    <w:rsid w:val="00E92D6A"/>
    <w:rsid w:val="00E93016"/>
    <w:rsid w:val="00E9460A"/>
    <w:rsid w:val="00E952FA"/>
    <w:rsid w:val="00E954A2"/>
    <w:rsid w:val="00E9587D"/>
    <w:rsid w:val="00E96CEF"/>
    <w:rsid w:val="00E975C1"/>
    <w:rsid w:val="00E97F51"/>
    <w:rsid w:val="00EA00B8"/>
    <w:rsid w:val="00EA0E19"/>
    <w:rsid w:val="00EA1299"/>
    <w:rsid w:val="00EA1D6C"/>
    <w:rsid w:val="00EA3D64"/>
    <w:rsid w:val="00EA4E35"/>
    <w:rsid w:val="00EA508B"/>
    <w:rsid w:val="00EA6095"/>
    <w:rsid w:val="00EA6C19"/>
    <w:rsid w:val="00EA6DC6"/>
    <w:rsid w:val="00EA7751"/>
    <w:rsid w:val="00EB15BB"/>
    <w:rsid w:val="00EB2992"/>
    <w:rsid w:val="00EB306B"/>
    <w:rsid w:val="00EB40D3"/>
    <w:rsid w:val="00EB422B"/>
    <w:rsid w:val="00EB48F1"/>
    <w:rsid w:val="00EB4BB1"/>
    <w:rsid w:val="00EB5A7A"/>
    <w:rsid w:val="00EB6182"/>
    <w:rsid w:val="00EB78FE"/>
    <w:rsid w:val="00EC0296"/>
    <w:rsid w:val="00EC0B31"/>
    <w:rsid w:val="00EC230A"/>
    <w:rsid w:val="00EC2317"/>
    <w:rsid w:val="00EC27E9"/>
    <w:rsid w:val="00EC2B22"/>
    <w:rsid w:val="00EC334D"/>
    <w:rsid w:val="00EC3409"/>
    <w:rsid w:val="00EC3DC2"/>
    <w:rsid w:val="00EC4048"/>
    <w:rsid w:val="00EC47F6"/>
    <w:rsid w:val="00EC5887"/>
    <w:rsid w:val="00EC5941"/>
    <w:rsid w:val="00EC5C26"/>
    <w:rsid w:val="00EC6130"/>
    <w:rsid w:val="00EC62AF"/>
    <w:rsid w:val="00EC6489"/>
    <w:rsid w:val="00EC65E4"/>
    <w:rsid w:val="00EC7FD9"/>
    <w:rsid w:val="00ED051F"/>
    <w:rsid w:val="00ED0CB6"/>
    <w:rsid w:val="00ED2553"/>
    <w:rsid w:val="00ED2992"/>
    <w:rsid w:val="00ED43E9"/>
    <w:rsid w:val="00ED479D"/>
    <w:rsid w:val="00ED6700"/>
    <w:rsid w:val="00ED6706"/>
    <w:rsid w:val="00ED6A73"/>
    <w:rsid w:val="00ED6D84"/>
    <w:rsid w:val="00ED6F26"/>
    <w:rsid w:val="00ED73F5"/>
    <w:rsid w:val="00ED797B"/>
    <w:rsid w:val="00EE0416"/>
    <w:rsid w:val="00EE054F"/>
    <w:rsid w:val="00EE0780"/>
    <w:rsid w:val="00EE0E8E"/>
    <w:rsid w:val="00EE1110"/>
    <w:rsid w:val="00EE1D00"/>
    <w:rsid w:val="00EE2218"/>
    <w:rsid w:val="00EE2495"/>
    <w:rsid w:val="00EE43A7"/>
    <w:rsid w:val="00EE4436"/>
    <w:rsid w:val="00EE445F"/>
    <w:rsid w:val="00EE5877"/>
    <w:rsid w:val="00EE6A95"/>
    <w:rsid w:val="00EE72BF"/>
    <w:rsid w:val="00EF03D4"/>
    <w:rsid w:val="00EF07A5"/>
    <w:rsid w:val="00EF3152"/>
    <w:rsid w:val="00EF36A3"/>
    <w:rsid w:val="00EF557D"/>
    <w:rsid w:val="00EF58E0"/>
    <w:rsid w:val="00EF77C5"/>
    <w:rsid w:val="00F03520"/>
    <w:rsid w:val="00F066F7"/>
    <w:rsid w:val="00F06701"/>
    <w:rsid w:val="00F06F60"/>
    <w:rsid w:val="00F077B2"/>
    <w:rsid w:val="00F07DAC"/>
    <w:rsid w:val="00F07EDE"/>
    <w:rsid w:val="00F10482"/>
    <w:rsid w:val="00F10B72"/>
    <w:rsid w:val="00F118FE"/>
    <w:rsid w:val="00F11CC4"/>
    <w:rsid w:val="00F12D11"/>
    <w:rsid w:val="00F133CA"/>
    <w:rsid w:val="00F138A7"/>
    <w:rsid w:val="00F138C7"/>
    <w:rsid w:val="00F153CE"/>
    <w:rsid w:val="00F159F6"/>
    <w:rsid w:val="00F15D9E"/>
    <w:rsid w:val="00F16389"/>
    <w:rsid w:val="00F1707E"/>
    <w:rsid w:val="00F17FB3"/>
    <w:rsid w:val="00F22E7F"/>
    <w:rsid w:val="00F23F54"/>
    <w:rsid w:val="00F24AD6"/>
    <w:rsid w:val="00F2550C"/>
    <w:rsid w:val="00F27039"/>
    <w:rsid w:val="00F270BF"/>
    <w:rsid w:val="00F27838"/>
    <w:rsid w:val="00F27EA3"/>
    <w:rsid w:val="00F30183"/>
    <w:rsid w:val="00F30476"/>
    <w:rsid w:val="00F305F6"/>
    <w:rsid w:val="00F308BF"/>
    <w:rsid w:val="00F30F41"/>
    <w:rsid w:val="00F312EC"/>
    <w:rsid w:val="00F321F3"/>
    <w:rsid w:val="00F3290E"/>
    <w:rsid w:val="00F32E3C"/>
    <w:rsid w:val="00F331A8"/>
    <w:rsid w:val="00F339AD"/>
    <w:rsid w:val="00F33AFB"/>
    <w:rsid w:val="00F33B87"/>
    <w:rsid w:val="00F34287"/>
    <w:rsid w:val="00F34E55"/>
    <w:rsid w:val="00F35279"/>
    <w:rsid w:val="00F359B5"/>
    <w:rsid w:val="00F36FC9"/>
    <w:rsid w:val="00F37A6E"/>
    <w:rsid w:val="00F401A8"/>
    <w:rsid w:val="00F40572"/>
    <w:rsid w:val="00F40B20"/>
    <w:rsid w:val="00F41D44"/>
    <w:rsid w:val="00F42AB2"/>
    <w:rsid w:val="00F43935"/>
    <w:rsid w:val="00F45B9C"/>
    <w:rsid w:val="00F45E3C"/>
    <w:rsid w:val="00F50DEF"/>
    <w:rsid w:val="00F51618"/>
    <w:rsid w:val="00F5525A"/>
    <w:rsid w:val="00F553C7"/>
    <w:rsid w:val="00F56394"/>
    <w:rsid w:val="00F5642A"/>
    <w:rsid w:val="00F5647A"/>
    <w:rsid w:val="00F56ECA"/>
    <w:rsid w:val="00F5745A"/>
    <w:rsid w:val="00F5786A"/>
    <w:rsid w:val="00F57E8C"/>
    <w:rsid w:val="00F60845"/>
    <w:rsid w:val="00F61384"/>
    <w:rsid w:val="00F63899"/>
    <w:rsid w:val="00F65E14"/>
    <w:rsid w:val="00F671A8"/>
    <w:rsid w:val="00F67508"/>
    <w:rsid w:val="00F675F1"/>
    <w:rsid w:val="00F67BE5"/>
    <w:rsid w:val="00F71906"/>
    <w:rsid w:val="00F722BE"/>
    <w:rsid w:val="00F7274D"/>
    <w:rsid w:val="00F75344"/>
    <w:rsid w:val="00F756D0"/>
    <w:rsid w:val="00F757DF"/>
    <w:rsid w:val="00F75DB2"/>
    <w:rsid w:val="00F75DD7"/>
    <w:rsid w:val="00F7748C"/>
    <w:rsid w:val="00F80393"/>
    <w:rsid w:val="00F80CE2"/>
    <w:rsid w:val="00F81C99"/>
    <w:rsid w:val="00F82801"/>
    <w:rsid w:val="00F83133"/>
    <w:rsid w:val="00F8413E"/>
    <w:rsid w:val="00F846EE"/>
    <w:rsid w:val="00F8471E"/>
    <w:rsid w:val="00F85D6A"/>
    <w:rsid w:val="00F85E74"/>
    <w:rsid w:val="00F87FCC"/>
    <w:rsid w:val="00F903D1"/>
    <w:rsid w:val="00F90A03"/>
    <w:rsid w:val="00F90D66"/>
    <w:rsid w:val="00F913C2"/>
    <w:rsid w:val="00F9207A"/>
    <w:rsid w:val="00F92367"/>
    <w:rsid w:val="00F9293F"/>
    <w:rsid w:val="00F92D3C"/>
    <w:rsid w:val="00F935B4"/>
    <w:rsid w:val="00F93D44"/>
    <w:rsid w:val="00F94C0E"/>
    <w:rsid w:val="00F968CA"/>
    <w:rsid w:val="00F96A93"/>
    <w:rsid w:val="00F96E6A"/>
    <w:rsid w:val="00FA0BC7"/>
    <w:rsid w:val="00FA0E64"/>
    <w:rsid w:val="00FA20BF"/>
    <w:rsid w:val="00FA2441"/>
    <w:rsid w:val="00FA3034"/>
    <w:rsid w:val="00FA3501"/>
    <w:rsid w:val="00FA4B41"/>
    <w:rsid w:val="00FA5358"/>
    <w:rsid w:val="00FA6E0E"/>
    <w:rsid w:val="00FA79BA"/>
    <w:rsid w:val="00FB166C"/>
    <w:rsid w:val="00FB50B2"/>
    <w:rsid w:val="00FB51AD"/>
    <w:rsid w:val="00FB523B"/>
    <w:rsid w:val="00FB6FA7"/>
    <w:rsid w:val="00FB7196"/>
    <w:rsid w:val="00FC1A9D"/>
    <w:rsid w:val="00FC1CA5"/>
    <w:rsid w:val="00FC2EC6"/>
    <w:rsid w:val="00FC3954"/>
    <w:rsid w:val="00FC4DF5"/>
    <w:rsid w:val="00FC4E57"/>
    <w:rsid w:val="00FC53DC"/>
    <w:rsid w:val="00FC55B7"/>
    <w:rsid w:val="00FC5FD6"/>
    <w:rsid w:val="00FC723A"/>
    <w:rsid w:val="00FC7C27"/>
    <w:rsid w:val="00FD110D"/>
    <w:rsid w:val="00FD14EB"/>
    <w:rsid w:val="00FD178B"/>
    <w:rsid w:val="00FD1E93"/>
    <w:rsid w:val="00FD218C"/>
    <w:rsid w:val="00FD2FEB"/>
    <w:rsid w:val="00FD3745"/>
    <w:rsid w:val="00FD48C6"/>
    <w:rsid w:val="00FD6AA4"/>
    <w:rsid w:val="00FD787C"/>
    <w:rsid w:val="00FD7A48"/>
    <w:rsid w:val="00FE2E63"/>
    <w:rsid w:val="00FE4904"/>
    <w:rsid w:val="00FE5BE7"/>
    <w:rsid w:val="00FE6B45"/>
    <w:rsid w:val="00FE6F63"/>
    <w:rsid w:val="00FF0439"/>
    <w:rsid w:val="00FF09C5"/>
    <w:rsid w:val="00FF0FF7"/>
    <w:rsid w:val="00FF171D"/>
    <w:rsid w:val="00FF4A63"/>
    <w:rsid w:val="00FF64DB"/>
    <w:rsid w:val="00FF6C55"/>
    <w:rsid w:val="00FF766B"/>
    <w:rsid w:val="00FF7D8A"/>
    <w:rsid w:val="01041C7B"/>
    <w:rsid w:val="01483505"/>
    <w:rsid w:val="015575ED"/>
    <w:rsid w:val="016E4F4A"/>
    <w:rsid w:val="01756B40"/>
    <w:rsid w:val="017E2A9C"/>
    <w:rsid w:val="017E42C5"/>
    <w:rsid w:val="018267A4"/>
    <w:rsid w:val="01901794"/>
    <w:rsid w:val="019D7DAA"/>
    <w:rsid w:val="01A02D94"/>
    <w:rsid w:val="01AF7F61"/>
    <w:rsid w:val="01B03EAC"/>
    <w:rsid w:val="01BB1813"/>
    <w:rsid w:val="01CB5E9F"/>
    <w:rsid w:val="01E97279"/>
    <w:rsid w:val="01F44F10"/>
    <w:rsid w:val="020D39AB"/>
    <w:rsid w:val="0213155D"/>
    <w:rsid w:val="021550C5"/>
    <w:rsid w:val="022B291B"/>
    <w:rsid w:val="025760C0"/>
    <w:rsid w:val="025E3625"/>
    <w:rsid w:val="028955F4"/>
    <w:rsid w:val="028C4E4E"/>
    <w:rsid w:val="02B12FF8"/>
    <w:rsid w:val="02B47651"/>
    <w:rsid w:val="02B97263"/>
    <w:rsid w:val="02D21FF5"/>
    <w:rsid w:val="02DA75B7"/>
    <w:rsid w:val="02EA232C"/>
    <w:rsid w:val="032936F6"/>
    <w:rsid w:val="03332B0C"/>
    <w:rsid w:val="035E3E1B"/>
    <w:rsid w:val="03653EFA"/>
    <w:rsid w:val="03667D63"/>
    <w:rsid w:val="03694D07"/>
    <w:rsid w:val="03AF7726"/>
    <w:rsid w:val="03C57335"/>
    <w:rsid w:val="03D10CFC"/>
    <w:rsid w:val="03D27998"/>
    <w:rsid w:val="040D7EBD"/>
    <w:rsid w:val="042637B8"/>
    <w:rsid w:val="044B2EF7"/>
    <w:rsid w:val="0469048C"/>
    <w:rsid w:val="04862465"/>
    <w:rsid w:val="049145FD"/>
    <w:rsid w:val="04A32B26"/>
    <w:rsid w:val="04D30835"/>
    <w:rsid w:val="04DF0173"/>
    <w:rsid w:val="04E75F42"/>
    <w:rsid w:val="05080D49"/>
    <w:rsid w:val="05121A1B"/>
    <w:rsid w:val="05191BC6"/>
    <w:rsid w:val="0522697C"/>
    <w:rsid w:val="05356EE8"/>
    <w:rsid w:val="05421023"/>
    <w:rsid w:val="054C666E"/>
    <w:rsid w:val="05517B4B"/>
    <w:rsid w:val="05670AA5"/>
    <w:rsid w:val="05800A23"/>
    <w:rsid w:val="058716BD"/>
    <w:rsid w:val="05933F8C"/>
    <w:rsid w:val="05A23DE9"/>
    <w:rsid w:val="05AE2540"/>
    <w:rsid w:val="06196026"/>
    <w:rsid w:val="0623447D"/>
    <w:rsid w:val="063B29E4"/>
    <w:rsid w:val="06401CCE"/>
    <w:rsid w:val="06597233"/>
    <w:rsid w:val="067A7C00"/>
    <w:rsid w:val="069D1AAA"/>
    <w:rsid w:val="06E150BF"/>
    <w:rsid w:val="06E73B40"/>
    <w:rsid w:val="06F349AF"/>
    <w:rsid w:val="07363289"/>
    <w:rsid w:val="074A1D85"/>
    <w:rsid w:val="074B3C8B"/>
    <w:rsid w:val="075C041C"/>
    <w:rsid w:val="077B2F44"/>
    <w:rsid w:val="07C247D3"/>
    <w:rsid w:val="07C517BC"/>
    <w:rsid w:val="07E44589"/>
    <w:rsid w:val="07F84549"/>
    <w:rsid w:val="0814145B"/>
    <w:rsid w:val="081523A8"/>
    <w:rsid w:val="082259A5"/>
    <w:rsid w:val="08292AB0"/>
    <w:rsid w:val="083D71F3"/>
    <w:rsid w:val="084B0A47"/>
    <w:rsid w:val="086E462A"/>
    <w:rsid w:val="087364FD"/>
    <w:rsid w:val="08A60205"/>
    <w:rsid w:val="08AD458E"/>
    <w:rsid w:val="08B031BC"/>
    <w:rsid w:val="092A3B1B"/>
    <w:rsid w:val="09515D33"/>
    <w:rsid w:val="095F5271"/>
    <w:rsid w:val="097A4477"/>
    <w:rsid w:val="097A52DF"/>
    <w:rsid w:val="0982512D"/>
    <w:rsid w:val="099E600D"/>
    <w:rsid w:val="09AA0C86"/>
    <w:rsid w:val="09AA3766"/>
    <w:rsid w:val="09AF5F1F"/>
    <w:rsid w:val="09CE03B9"/>
    <w:rsid w:val="09D44E82"/>
    <w:rsid w:val="09D53957"/>
    <w:rsid w:val="09EB2AEE"/>
    <w:rsid w:val="09F87B1C"/>
    <w:rsid w:val="0A0A03AA"/>
    <w:rsid w:val="0A1E5E26"/>
    <w:rsid w:val="0A2A3CEF"/>
    <w:rsid w:val="0A2F120F"/>
    <w:rsid w:val="0AB64589"/>
    <w:rsid w:val="0AC02028"/>
    <w:rsid w:val="0ACB7331"/>
    <w:rsid w:val="0ACC5A27"/>
    <w:rsid w:val="0ADB2CF4"/>
    <w:rsid w:val="0B01121B"/>
    <w:rsid w:val="0B066F39"/>
    <w:rsid w:val="0B080929"/>
    <w:rsid w:val="0B271B46"/>
    <w:rsid w:val="0B2935CF"/>
    <w:rsid w:val="0B406073"/>
    <w:rsid w:val="0B484853"/>
    <w:rsid w:val="0B605E46"/>
    <w:rsid w:val="0B63498A"/>
    <w:rsid w:val="0B67288B"/>
    <w:rsid w:val="0B727425"/>
    <w:rsid w:val="0B745A23"/>
    <w:rsid w:val="0B7D4ED7"/>
    <w:rsid w:val="0B7E3227"/>
    <w:rsid w:val="0B7F38E5"/>
    <w:rsid w:val="0BE55986"/>
    <w:rsid w:val="0BE84181"/>
    <w:rsid w:val="0BF80424"/>
    <w:rsid w:val="0C28030F"/>
    <w:rsid w:val="0C611260"/>
    <w:rsid w:val="0C96100F"/>
    <w:rsid w:val="0CAF527B"/>
    <w:rsid w:val="0CE73720"/>
    <w:rsid w:val="0CE82535"/>
    <w:rsid w:val="0CFB2A27"/>
    <w:rsid w:val="0D0512BF"/>
    <w:rsid w:val="0D2B39E1"/>
    <w:rsid w:val="0D536E63"/>
    <w:rsid w:val="0D5D4B17"/>
    <w:rsid w:val="0DFA67CF"/>
    <w:rsid w:val="0E0233D0"/>
    <w:rsid w:val="0E176739"/>
    <w:rsid w:val="0E2F5DDD"/>
    <w:rsid w:val="0E407EBD"/>
    <w:rsid w:val="0E626A65"/>
    <w:rsid w:val="0E677413"/>
    <w:rsid w:val="0E880BF6"/>
    <w:rsid w:val="0E8D3AA7"/>
    <w:rsid w:val="0E8F6BE7"/>
    <w:rsid w:val="0E946C02"/>
    <w:rsid w:val="0E950E4F"/>
    <w:rsid w:val="0EA108F8"/>
    <w:rsid w:val="0EBB4789"/>
    <w:rsid w:val="0F0A592A"/>
    <w:rsid w:val="0F114478"/>
    <w:rsid w:val="0F1867CE"/>
    <w:rsid w:val="0F1D1239"/>
    <w:rsid w:val="0F216161"/>
    <w:rsid w:val="0F2B2F22"/>
    <w:rsid w:val="0F415085"/>
    <w:rsid w:val="0F4A3F79"/>
    <w:rsid w:val="0F580B3D"/>
    <w:rsid w:val="0F68383A"/>
    <w:rsid w:val="0F981358"/>
    <w:rsid w:val="0F9F4390"/>
    <w:rsid w:val="0FA10AB4"/>
    <w:rsid w:val="0FA61B22"/>
    <w:rsid w:val="0FA61B63"/>
    <w:rsid w:val="0FC2249E"/>
    <w:rsid w:val="0FC957B5"/>
    <w:rsid w:val="0FE42C4C"/>
    <w:rsid w:val="100D4787"/>
    <w:rsid w:val="10114E37"/>
    <w:rsid w:val="10272CC9"/>
    <w:rsid w:val="102C480D"/>
    <w:rsid w:val="1048117F"/>
    <w:rsid w:val="104929F4"/>
    <w:rsid w:val="10562796"/>
    <w:rsid w:val="10845536"/>
    <w:rsid w:val="108B5490"/>
    <w:rsid w:val="109414C5"/>
    <w:rsid w:val="109D76ED"/>
    <w:rsid w:val="10A83A4A"/>
    <w:rsid w:val="10F220EB"/>
    <w:rsid w:val="111856B8"/>
    <w:rsid w:val="111F7555"/>
    <w:rsid w:val="114948B2"/>
    <w:rsid w:val="114B4CA8"/>
    <w:rsid w:val="116C11C2"/>
    <w:rsid w:val="11971BEE"/>
    <w:rsid w:val="11AC16B8"/>
    <w:rsid w:val="11C72AC7"/>
    <w:rsid w:val="11C7343C"/>
    <w:rsid w:val="11DB60F2"/>
    <w:rsid w:val="11DD6FA3"/>
    <w:rsid w:val="11F02470"/>
    <w:rsid w:val="11F6662E"/>
    <w:rsid w:val="12276AD4"/>
    <w:rsid w:val="125167C3"/>
    <w:rsid w:val="126A5C55"/>
    <w:rsid w:val="126A6407"/>
    <w:rsid w:val="12753C49"/>
    <w:rsid w:val="12893C8F"/>
    <w:rsid w:val="12997611"/>
    <w:rsid w:val="129B20D8"/>
    <w:rsid w:val="129B6193"/>
    <w:rsid w:val="12A460C1"/>
    <w:rsid w:val="12A92A20"/>
    <w:rsid w:val="12B654AE"/>
    <w:rsid w:val="12C45162"/>
    <w:rsid w:val="12DA2515"/>
    <w:rsid w:val="12E00FD8"/>
    <w:rsid w:val="131119BA"/>
    <w:rsid w:val="131B703F"/>
    <w:rsid w:val="132A5B37"/>
    <w:rsid w:val="13344363"/>
    <w:rsid w:val="13593A36"/>
    <w:rsid w:val="13653AA2"/>
    <w:rsid w:val="1385578F"/>
    <w:rsid w:val="139303AF"/>
    <w:rsid w:val="13E11181"/>
    <w:rsid w:val="13E21C83"/>
    <w:rsid w:val="13FB3D81"/>
    <w:rsid w:val="1400718D"/>
    <w:rsid w:val="1401280E"/>
    <w:rsid w:val="141A54BE"/>
    <w:rsid w:val="14367485"/>
    <w:rsid w:val="14376C6E"/>
    <w:rsid w:val="143C2388"/>
    <w:rsid w:val="143C6BFA"/>
    <w:rsid w:val="145B4325"/>
    <w:rsid w:val="148E25D1"/>
    <w:rsid w:val="14A26217"/>
    <w:rsid w:val="14AA3833"/>
    <w:rsid w:val="14D00F14"/>
    <w:rsid w:val="14DD4161"/>
    <w:rsid w:val="14F3384C"/>
    <w:rsid w:val="14F85D46"/>
    <w:rsid w:val="150D385F"/>
    <w:rsid w:val="15145707"/>
    <w:rsid w:val="156D4900"/>
    <w:rsid w:val="15715E21"/>
    <w:rsid w:val="157A1C15"/>
    <w:rsid w:val="157D1001"/>
    <w:rsid w:val="15BD48A6"/>
    <w:rsid w:val="15F53A4E"/>
    <w:rsid w:val="15FD3023"/>
    <w:rsid w:val="15FE66AB"/>
    <w:rsid w:val="15FF5FC8"/>
    <w:rsid w:val="160375EC"/>
    <w:rsid w:val="16063DDC"/>
    <w:rsid w:val="16104BB3"/>
    <w:rsid w:val="1616679E"/>
    <w:rsid w:val="16280799"/>
    <w:rsid w:val="165609EB"/>
    <w:rsid w:val="16601F02"/>
    <w:rsid w:val="1693423A"/>
    <w:rsid w:val="16A94C57"/>
    <w:rsid w:val="16B55E69"/>
    <w:rsid w:val="16DE39D4"/>
    <w:rsid w:val="16DE7DF3"/>
    <w:rsid w:val="17166233"/>
    <w:rsid w:val="1734164E"/>
    <w:rsid w:val="1740601B"/>
    <w:rsid w:val="174165D4"/>
    <w:rsid w:val="175A740C"/>
    <w:rsid w:val="179110D4"/>
    <w:rsid w:val="17AC431C"/>
    <w:rsid w:val="17B3070A"/>
    <w:rsid w:val="17C96524"/>
    <w:rsid w:val="17E6456E"/>
    <w:rsid w:val="1810377B"/>
    <w:rsid w:val="188744BB"/>
    <w:rsid w:val="189310B2"/>
    <w:rsid w:val="18C94AFF"/>
    <w:rsid w:val="18DC08F1"/>
    <w:rsid w:val="18FA1615"/>
    <w:rsid w:val="19031272"/>
    <w:rsid w:val="191E1E87"/>
    <w:rsid w:val="19253CC7"/>
    <w:rsid w:val="19427A14"/>
    <w:rsid w:val="195317A9"/>
    <w:rsid w:val="19563F10"/>
    <w:rsid w:val="19B3544D"/>
    <w:rsid w:val="19C621D0"/>
    <w:rsid w:val="19C84E1C"/>
    <w:rsid w:val="19CD7BE7"/>
    <w:rsid w:val="1A0701E5"/>
    <w:rsid w:val="1A071577"/>
    <w:rsid w:val="1A1B3D76"/>
    <w:rsid w:val="1A376AD1"/>
    <w:rsid w:val="1A3F778E"/>
    <w:rsid w:val="1A4F3F51"/>
    <w:rsid w:val="1A541915"/>
    <w:rsid w:val="1A607E2D"/>
    <w:rsid w:val="1A613321"/>
    <w:rsid w:val="1A8C0667"/>
    <w:rsid w:val="1ABB7341"/>
    <w:rsid w:val="1ABE0E9B"/>
    <w:rsid w:val="1AFE7587"/>
    <w:rsid w:val="1B057A25"/>
    <w:rsid w:val="1B200487"/>
    <w:rsid w:val="1B307C93"/>
    <w:rsid w:val="1B5420DA"/>
    <w:rsid w:val="1B792C83"/>
    <w:rsid w:val="1B7F7413"/>
    <w:rsid w:val="1B953035"/>
    <w:rsid w:val="1B9655F8"/>
    <w:rsid w:val="1BAE4686"/>
    <w:rsid w:val="1BE15BE8"/>
    <w:rsid w:val="1C067AB3"/>
    <w:rsid w:val="1C0A3948"/>
    <w:rsid w:val="1C0E0C8A"/>
    <w:rsid w:val="1C247B7A"/>
    <w:rsid w:val="1C3B7066"/>
    <w:rsid w:val="1C7D16BF"/>
    <w:rsid w:val="1C956D37"/>
    <w:rsid w:val="1CB96AE0"/>
    <w:rsid w:val="1CBC6EB6"/>
    <w:rsid w:val="1CD16F7E"/>
    <w:rsid w:val="1CE141D7"/>
    <w:rsid w:val="1CE25C7A"/>
    <w:rsid w:val="1CF12DF4"/>
    <w:rsid w:val="1CF163A7"/>
    <w:rsid w:val="1D000FD6"/>
    <w:rsid w:val="1D0A3985"/>
    <w:rsid w:val="1D4E65D2"/>
    <w:rsid w:val="1D4F61E3"/>
    <w:rsid w:val="1D592AE8"/>
    <w:rsid w:val="1D640572"/>
    <w:rsid w:val="1DB779CA"/>
    <w:rsid w:val="1DC05BC7"/>
    <w:rsid w:val="1DF41403"/>
    <w:rsid w:val="1DF549CB"/>
    <w:rsid w:val="1E0B5246"/>
    <w:rsid w:val="1E136533"/>
    <w:rsid w:val="1E20547A"/>
    <w:rsid w:val="1E333A20"/>
    <w:rsid w:val="1E3A3FCD"/>
    <w:rsid w:val="1E562C25"/>
    <w:rsid w:val="1E6753A2"/>
    <w:rsid w:val="1E811119"/>
    <w:rsid w:val="1E825540"/>
    <w:rsid w:val="1E881471"/>
    <w:rsid w:val="1E9C0CBF"/>
    <w:rsid w:val="1ED211EB"/>
    <w:rsid w:val="1ED62F28"/>
    <w:rsid w:val="1EE11B07"/>
    <w:rsid w:val="1EE41485"/>
    <w:rsid w:val="1EE752E3"/>
    <w:rsid w:val="1EFA171E"/>
    <w:rsid w:val="1EFE39DC"/>
    <w:rsid w:val="1F1A0531"/>
    <w:rsid w:val="1F2B0CD7"/>
    <w:rsid w:val="1F2C223E"/>
    <w:rsid w:val="1F2E0255"/>
    <w:rsid w:val="1F6D7836"/>
    <w:rsid w:val="1F6F682C"/>
    <w:rsid w:val="1F927D96"/>
    <w:rsid w:val="1FC856DB"/>
    <w:rsid w:val="1FD335A8"/>
    <w:rsid w:val="1FD67C05"/>
    <w:rsid w:val="1FE00A77"/>
    <w:rsid w:val="2004179D"/>
    <w:rsid w:val="20271CC2"/>
    <w:rsid w:val="20521406"/>
    <w:rsid w:val="206B7CAB"/>
    <w:rsid w:val="2070337C"/>
    <w:rsid w:val="207A0188"/>
    <w:rsid w:val="20826773"/>
    <w:rsid w:val="20E167EF"/>
    <w:rsid w:val="21025DC3"/>
    <w:rsid w:val="211562BF"/>
    <w:rsid w:val="21283FFE"/>
    <w:rsid w:val="213B3369"/>
    <w:rsid w:val="21475BC5"/>
    <w:rsid w:val="216058A9"/>
    <w:rsid w:val="216405E6"/>
    <w:rsid w:val="217E4E6B"/>
    <w:rsid w:val="21B0162B"/>
    <w:rsid w:val="21C64F02"/>
    <w:rsid w:val="21E07B3F"/>
    <w:rsid w:val="21F8771A"/>
    <w:rsid w:val="21FF4095"/>
    <w:rsid w:val="222137DD"/>
    <w:rsid w:val="22A2282D"/>
    <w:rsid w:val="22DC3B9F"/>
    <w:rsid w:val="22F1460A"/>
    <w:rsid w:val="232565EA"/>
    <w:rsid w:val="23341D5F"/>
    <w:rsid w:val="2335374B"/>
    <w:rsid w:val="23407C5D"/>
    <w:rsid w:val="23617F1A"/>
    <w:rsid w:val="236C4026"/>
    <w:rsid w:val="236D6159"/>
    <w:rsid w:val="238B303F"/>
    <w:rsid w:val="23B0082F"/>
    <w:rsid w:val="23B61C51"/>
    <w:rsid w:val="23B91F8D"/>
    <w:rsid w:val="23BD0AC4"/>
    <w:rsid w:val="23D42488"/>
    <w:rsid w:val="23DB4986"/>
    <w:rsid w:val="24137107"/>
    <w:rsid w:val="24221884"/>
    <w:rsid w:val="24255BC4"/>
    <w:rsid w:val="2425753E"/>
    <w:rsid w:val="242E7421"/>
    <w:rsid w:val="24342262"/>
    <w:rsid w:val="24370E04"/>
    <w:rsid w:val="244C07CA"/>
    <w:rsid w:val="2465284B"/>
    <w:rsid w:val="247E2A57"/>
    <w:rsid w:val="249E11C2"/>
    <w:rsid w:val="24A10CD2"/>
    <w:rsid w:val="24CC27EB"/>
    <w:rsid w:val="24E53B28"/>
    <w:rsid w:val="25184C86"/>
    <w:rsid w:val="25325674"/>
    <w:rsid w:val="25372986"/>
    <w:rsid w:val="25394C40"/>
    <w:rsid w:val="25396392"/>
    <w:rsid w:val="253C0ADA"/>
    <w:rsid w:val="255C4820"/>
    <w:rsid w:val="256027EB"/>
    <w:rsid w:val="256205B3"/>
    <w:rsid w:val="25646B49"/>
    <w:rsid w:val="25660EA7"/>
    <w:rsid w:val="25811657"/>
    <w:rsid w:val="25B05673"/>
    <w:rsid w:val="25B76063"/>
    <w:rsid w:val="25BA7C7E"/>
    <w:rsid w:val="25E5250A"/>
    <w:rsid w:val="25F361CB"/>
    <w:rsid w:val="25FA05CE"/>
    <w:rsid w:val="26464EE2"/>
    <w:rsid w:val="264C748B"/>
    <w:rsid w:val="26504907"/>
    <w:rsid w:val="26513373"/>
    <w:rsid w:val="26631063"/>
    <w:rsid w:val="266B5687"/>
    <w:rsid w:val="267A5318"/>
    <w:rsid w:val="268D1455"/>
    <w:rsid w:val="269C795A"/>
    <w:rsid w:val="26B3395B"/>
    <w:rsid w:val="26D1258E"/>
    <w:rsid w:val="26ED0547"/>
    <w:rsid w:val="26FD38EE"/>
    <w:rsid w:val="27081FA6"/>
    <w:rsid w:val="27347E86"/>
    <w:rsid w:val="277B1D5F"/>
    <w:rsid w:val="27985024"/>
    <w:rsid w:val="27A11442"/>
    <w:rsid w:val="27AA0F85"/>
    <w:rsid w:val="27C043B5"/>
    <w:rsid w:val="27D71D9F"/>
    <w:rsid w:val="27EF7BD0"/>
    <w:rsid w:val="280332AF"/>
    <w:rsid w:val="28053499"/>
    <w:rsid w:val="28246BFB"/>
    <w:rsid w:val="28421BDC"/>
    <w:rsid w:val="285E0D94"/>
    <w:rsid w:val="28695528"/>
    <w:rsid w:val="2875717C"/>
    <w:rsid w:val="28833477"/>
    <w:rsid w:val="289171D5"/>
    <w:rsid w:val="28926E9D"/>
    <w:rsid w:val="289C6EE4"/>
    <w:rsid w:val="28D37B9A"/>
    <w:rsid w:val="28F14A25"/>
    <w:rsid w:val="28FF67A5"/>
    <w:rsid w:val="2924217E"/>
    <w:rsid w:val="29305513"/>
    <w:rsid w:val="294825EC"/>
    <w:rsid w:val="294D3E9D"/>
    <w:rsid w:val="295009FD"/>
    <w:rsid w:val="29674A01"/>
    <w:rsid w:val="29780D5E"/>
    <w:rsid w:val="29D33558"/>
    <w:rsid w:val="29D77B62"/>
    <w:rsid w:val="29F61A86"/>
    <w:rsid w:val="29FD6F52"/>
    <w:rsid w:val="2A024A88"/>
    <w:rsid w:val="2A142515"/>
    <w:rsid w:val="2A143825"/>
    <w:rsid w:val="2A210454"/>
    <w:rsid w:val="2A477FCE"/>
    <w:rsid w:val="2A671FD5"/>
    <w:rsid w:val="2A6B5436"/>
    <w:rsid w:val="2A8160B5"/>
    <w:rsid w:val="2A837E86"/>
    <w:rsid w:val="2A846D7C"/>
    <w:rsid w:val="2A8C6D62"/>
    <w:rsid w:val="2AB1082F"/>
    <w:rsid w:val="2AC048F0"/>
    <w:rsid w:val="2ACC40AF"/>
    <w:rsid w:val="2ADA54F0"/>
    <w:rsid w:val="2AF7426A"/>
    <w:rsid w:val="2B1541E7"/>
    <w:rsid w:val="2B502117"/>
    <w:rsid w:val="2B571088"/>
    <w:rsid w:val="2B624505"/>
    <w:rsid w:val="2B740379"/>
    <w:rsid w:val="2C06088A"/>
    <w:rsid w:val="2C143D80"/>
    <w:rsid w:val="2C1D649C"/>
    <w:rsid w:val="2C3E2BDD"/>
    <w:rsid w:val="2C4C0C9C"/>
    <w:rsid w:val="2C547FC6"/>
    <w:rsid w:val="2C99760A"/>
    <w:rsid w:val="2C9D2B34"/>
    <w:rsid w:val="2CA65968"/>
    <w:rsid w:val="2CAE77DC"/>
    <w:rsid w:val="2CC77F0A"/>
    <w:rsid w:val="2CD9070C"/>
    <w:rsid w:val="2CEF6102"/>
    <w:rsid w:val="2D0A6685"/>
    <w:rsid w:val="2D100921"/>
    <w:rsid w:val="2D3318F2"/>
    <w:rsid w:val="2DA90D03"/>
    <w:rsid w:val="2DC26272"/>
    <w:rsid w:val="2DD81391"/>
    <w:rsid w:val="2DD85179"/>
    <w:rsid w:val="2DDA632A"/>
    <w:rsid w:val="2DE875FA"/>
    <w:rsid w:val="2DFF65AA"/>
    <w:rsid w:val="2E0213CE"/>
    <w:rsid w:val="2E1017E3"/>
    <w:rsid w:val="2E2D2C37"/>
    <w:rsid w:val="2E681F2D"/>
    <w:rsid w:val="2E9B2217"/>
    <w:rsid w:val="2EB76D7D"/>
    <w:rsid w:val="2EC46590"/>
    <w:rsid w:val="2EF21620"/>
    <w:rsid w:val="2F2B4E83"/>
    <w:rsid w:val="2F2D2619"/>
    <w:rsid w:val="2F33321B"/>
    <w:rsid w:val="2F5B6B77"/>
    <w:rsid w:val="2F7618BE"/>
    <w:rsid w:val="2F7A588F"/>
    <w:rsid w:val="2FA70A17"/>
    <w:rsid w:val="2FB05C12"/>
    <w:rsid w:val="2FB86780"/>
    <w:rsid w:val="2FF221FC"/>
    <w:rsid w:val="30164E64"/>
    <w:rsid w:val="3039118B"/>
    <w:rsid w:val="305A1814"/>
    <w:rsid w:val="305E1B4C"/>
    <w:rsid w:val="305E5A0F"/>
    <w:rsid w:val="306E4953"/>
    <w:rsid w:val="307D0225"/>
    <w:rsid w:val="30895A2D"/>
    <w:rsid w:val="308E2433"/>
    <w:rsid w:val="30BB2A46"/>
    <w:rsid w:val="30C87008"/>
    <w:rsid w:val="30D567A6"/>
    <w:rsid w:val="30E6608F"/>
    <w:rsid w:val="30F8472B"/>
    <w:rsid w:val="30FA0C5F"/>
    <w:rsid w:val="30FD776C"/>
    <w:rsid w:val="31281A31"/>
    <w:rsid w:val="313249BE"/>
    <w:rsid w:val="31605BAF"/>
    <w:rsid w:val="318430B7"/>
    <w:rsid w:val="31A32869"/>
    <w:rsid w:val="31E55B89"/>
    <w:rsid w:val="31E81A6A"/>
    <w:rsid w:val="31EB2FAF"/>
    <w:rsid w:val="32297404"/>
    <w:rsid w:val="322B5A79"/>
    <w:rsid w:val="323A4FB5"/>
    <w:rsid w:val="32495B92"/>
    <w:rsid w:val="32536B1F"/>
    <w:rsid w:val="327D2224"/>
    <w:rsid w:val="327F6ED0"/>
    <w:rsid w:val="328427A6"/>
    <w:rsid w:val="32B36180"/>
    <w:rsid w:val="32CA2A57"/>
    <w:rsid w:val="32D05C13"/>
    <w:rsid w:val="32D83A0B"/>
    <w:rsid w:val="32E96DDF"/>
    <w:rsid w:val="32F534BD"/>
    <w:rsid w:val="32F70AA0"/>
    <w:rsid w:val="3308553E"/>
    <w:rsid w:val="3315277A"/>
    <w:rsid w:val="333C01D4"/>
    <w:rsid w:val="335A141B"/>
    <w:rsid w:val="3363369E"/>
    <w:rsid w:val="336A30A1"/>
    <w:rsid w:val="337A6AA1"/>
    <w:rsid w:val="33931753"/>
    <w:rsid w:val="33BF17F7"/>
    <w:rsid w:val="33D341B1"/>
    <w:rsid w:val="33DA057D"/>
    <w:rsid w:val="34202321"/>
    <w:rsid w:val="34227E39"/>
    <w:rsid w:val="343D09C7"/>
    <w:rsid w:val="345243A1"/>
    <w:rsid w:val="34534C70"/>
    <w:rsid w:val="34563525"/>
    <w:rsid w:val="345645DD"/>
    <w:rsid w:val="345D0424"/>
    <w:rsid w:val="346C65E7"/>
    <w:rsid w:val="347679D1"/>
    <w:rsid w:val="34860A72"/>
    <w:rsid w:val="348C0E6C"/>
    <w:rsid w:val="34FD6D27"/>
    <w:rsid w:val="351A4295"/>
    <w:rsid w:val="35295BE4"/>
    <w:rsid w:val="352F47F8"/>
    <w:rsid w:val="353F49FA"/>
    <w:rsid w:val="355714EB"/>
    <w:rsid w:val="35705479"/>
    <w:rsid w:val="35A15BE5"/>
    <w:rsid w:val="35A77F5A"/>
    <w:rsid w:val="35AB443A"/>
    <w:rsid w:val="35B50769"/>
    <w:rsid w:val="35CD3830"/>
    <w:rsid w:val="35F1412C"/>
    <w:rsid w:val="360165A7"/>
    <w:rsid w:val="36154BBA"/>
    <w:rsid w:val="36173532"/>
    <w:rsid w:val="36273C5A"/>
    <w:rsid w:val="362903BC"/>
    <w:rsid w:val="362D562F"/>
    <w:rsid w:val="36525D05"/>
    <w:rsid w:val="3657688C"/>
    <w:rsid w:val="366D008F"/>
    <w:rsid w:val="368308B0"/>
    <w:rsid w:val="36965C3A"/>
    <w:rsid w:val="36A77C24"/>
    <w:rsid w:val="36B722CC"/>
    <w:rsid w:val="36EB2A54"/>
    <w:rsid w:val="370A373A"/>
    <w:rsid w:val="372A4E5C"/>
    <w:rsid w:val="37423A69"/>
    <w:rsid w:val="37457E60"/>
    <w:rsid w:val="375576A2"/>
    <w:rsid w:val="375B02FE"/>
    <w:rsid w:val="377877BC"/>
    <w:rsid w:val="377C7827"/>
    <w:rsid w:val="379C0E36"/>
    <w:rsid w:val="37A55516"/>
    <w:rsid w:val="37BF62BF"/>
    <w:rsid w:val="37CF0E5B"/>
    <w:rsid w:val="37D038F2"/>
    <w:rsid w:val="37E4133E"/>
    <w:rsid w:val="380F0BF6"/>
    <w:rsid w:val="38270B80"/>
    <w:rsid w:val="38370E25"/>
    <w:rsid w:val="38476EA0"/>
    <w:rsid w:val="385E0CA3"/>
    <w:rsid w:val="385E6B35"/>
    <w:rsid w:val="38624702"/>
    <w:rsid w:val="387E563B"/>
    <w:rsid w:val="3882408E"/>
    <w:rsid w:val="38927B43"/>
    <w:rsid w:val="38A223B9"/>
    <w:rsid w:val="38AF16C9"/>
    <w:rsid w:val="38EA0422"/>
    <w:rsid w:val="38EC1890"/>
    <w:rsid w:val="38EE6082"/>
    <w:rsid w:val="39352EAC"/>
    <w:rsid w:val="395A6317"/>
    <w:rsid w:val="39897AEA"/>
    <w:rsid w:val="398F6D25"/>
    <w:rsid w:val="39E155F3"/>
    <w:rsid w:val="3A096089"/>
    <w:rsid w:val="3A1A2DF8"/>
    <w:rsid w:val="3A3E250C"/>
    <w:rsid w:val="3A447896"/>
    <w:rsid w:val="3A4A5C3F"/>
    <w:rsid w:val="3A6F012E"/>
    <w:rsid w:val="3A845B5A"/>
    <w:rsid w:val="3AA035EC"/>
    <w:rsid w:val="3AC017BF"/>
    <w:rsid w:val="3AFF6FF5"/>
    <w:rsid w:val="3B0F7211"/>
    <w:rsid w:val="3B11537F"/>
    <w:rsid w:val="3B146A0C"/>
    <w:rsid w:val="3B3D2A86"/>
    <w:rsid w:val="3B42216A"/>
    <w:rsid w:val="3B4B7D1B"/>
    <w:rsid w:val="3B5A2B07"/>
    <w:rsid w:val="3B820EE6"/>
    <w:rsid w:val="3B880360"/>
    <w:rsid w:val="3B8A0368"/>
    <w:rsid w:val="3B926A97"/>
    <w:rsid w:val="3B943D10"/>
    <w:rsid w:val="3BA20A0E"/>
    <w:rsid w:val="3BA34EEB"/>
    <w:rsid w:val="3BDF33CB"/>
    <w:rsid w:val="3BE72D06"/>
    <w:rsid w:val="3BEC6687"/>
    <w:rsid w:val="3C356028"/>
    <w:rsid w:val="3C3E1F7F"/>
    <w:rsid w:val="3C5F6EC3"/>
    <w:rsid w:val="3C7C2B2F"/>
    <w:rsid w:val="3C892DF9"/>
    <w:rsid w:val="3C9608CA"/>
    <w:rsid w:val="3CA56B3A"/>
    <w:rsid w:val="3CAA496F"/>
    <w:rsid w:val="3CAD4CD2"/>
    <w:rsid w:val="3CBB0855"/>
    <w:rsid w:val="3CF463FB"/>
    <w:rsid w:val="3CFF6441"/>
    <w:rsid w:val="3D0916A0"/>
    <w:rsid w:val="3D2F257D"/>
    <w:rsid w:val="3D5D7206"/>
    <w:rsid w:val="3D89478E"/>
    <w:rsid w:val="3D8B4F7A"/>
    <w:rsid w:val="3D962AA4"/>
    <w:rsid w:val="3DC805D3"/>
    <w:rsid w:val="3DE05A01"/>
    <w:rsid w:val="3E1F5043"/>
    <w:rsid w:val="3E257F32"/>
    <w:rsid w:val="3E2C091B"/>
    <w:rsid w:val="3E382ABF"/>
    <w:rsid w:val="3E4F3AEC"/>
    <w:rsid w:val="3E5B2507"/>
    <w:rsid w:val="3E6C5588"/>
    <w:rsid w:val="3E8331DE"/>
    <w:rsid w:val="3EBF3097"/>
    <w:rsid w:val="3ED9075A"/>
    <w:rsid w:val="3EDB1839"/>
    <w:rsid w:val="3F0C69AC"/>
    <w:rsid w:val="3F2F27E0"/>
    <w:rsid w:val="3F5E306D"/>
    <w:rsid w:val="3F650A0E"/>
    <w:rsid w:val="3F8D1AED"/>
    <w:rsid w:val="3FAB4987"/>
    <w:rsid w:val="3FAF55CA"/>
    <w:rsid w:val="3FC13AEE"/>
    <w:rsid w:val="3FC960BB"/>
    <w:rsid w:val="3FE2572D"/>
    <w:rsid w:val="3FEB4A56"/>
    <w:rsid w:val="3FED018D"/>
    <w:rsid w:val="3FF809D5"/>
    <w:rsid w:val="3FF923E3"/>
    <w:rsid w:val="3FF951E8"/>
    <w:rsid w:val="4016208B"/>
    <w:rsid w:val="40213830"/>
    <w:rsid w:val="40367434"/>
    <w:rsid w:val="403F2E01"/>
    <w:rsid w:val="409C6BBB"/>
    <w:rsid w:val="40BC02D1"/>
    <w:rsid w:val="40D319BF"/>
    <w:rsid w:val="40ED2B3A"/>
    <w:rsid w:val="41087376"/>
    <w:rsid w:val="41165849"/>
    <w:rsid w:val="411928E2"/>
    <w:rsid w:val="412A08E5"/>
    <w:rsid w:val="415B664E"/>
    <w:rsid w:val="41645532"/>
    <w:rsid w:val="41653920"/>
    <w:rsid w:val="41653BE1"/>
    <w:rsid w:val="4172385C"/>
    <w:rsid w:val="417A1FCB"/>
    <w:rsid w:val="4196196B"/>
    <w:rsid w:val="41BF5F70"/>
    <w:rsid w:val="41C20AC5"/>
    <w:rsid w:val="41C77291"/>
    <w:rsid w:val="41C872E7"/>
    <w:rsid w:val="42112D74"/>
    <w:rsid w:val="42194BC6"/>
    <w:rsid w:val="42256875"/>
    <w:rsid w:val="422C189D"/>
    <w:rsid w:val="422D4713"/>
    <w:rsid w:val="42311343"/>
    <w:rsid w:val="424A2483"/>
    <w:rsid w:val="42545F7F"/>
    <w:rsid w:val="425835E0"/>
    <w:rsid w:val="425A0243"/>
    <w:rsid w:val="42AF5626"/>
    <w:rsid w:val="42B47F0F"/>
    <w:rsid w:val="42B908BB"/>
    <w:rsid w:val="42CA03A0"/>
    <w:rsid w:val="42DC40CF"/>
    <w:rsid w:val="43382AAC"/>
    <w:rsid w:val="433E30AB"/>
    <w:rsid w:val="434F0A88"/>
    <w:rsid w:val="436C5453"/>
    <w:rsid w:val="437A07CA"/>
    <w:rsid w:val="438C3C06"/>
    <w:rsid w:val="438F764D"/>
    <w:rsid w:val="43D3566F"/>
    <w:rsid w:val="43E805D1"/>
    <w:rsid w:val="43EE6604"/>
    <w:rsid w:val="43FD310F"/>
    <w:rsid w:val="44030677"/>
    <w:rsid w:val="442B1B20"/>
    <w:rsid w:val="443178C9"/>
    <w:rsid w:val="4461393A"/>
    <w:rsid w:val="4483550F"/>
    <w:rsid w:val="44963F69"/>
    <w:rsid w:val="44D60EA9"/>
    <w:rsid w:val="44E91969"/>
    <w:rsid w:val="44EA3D01"/>
    <w:rsid w:val="44EF290F"/>
    <w:rsid w:val="4505133E"/>
    <w:rsid w:val="45160AFD"/>
    <w:rsid w:val="45196C78"/>
    <w:rsid w:val="45223981"/>
    <w:rsid w:val="45260124"/>
    <w:rsid w:val="452C43CD"/>
    <w:rsid w:val="453B15B4"/>
    <w:rsid w:val="45532352"/>
    <w:rsid w:val="45580F2F"/>
    <w:rsid w:val="457A1788"/>
    <w:rsid w:val="457E46E0"/>
    <w:rsid w:val="45C56D6C"/>
    <w:rsid w:val="45DC7A26"/>
    <w:rsid w:val="45E53088"/>
    <w:rsid w:val="4630454E"/>
    <w:rsid w:val="464F1FC3"/>
    <w:rsid w:val="466C42DD"/>
    <w:rsid w:val="46826BF3"/>
    <w:rsid w:val="46B30BF4"/>
    <w:rsid w:val="46C56C95"/>
    <w:rsid w:val="46EF4F72"/>
    <w:rsid w:val="46FF7892"/>
    <w:rsid w:val="47052CF4"/>
    <w:rsid w:val="47147562"/>
    <w:rsid w:val="47463662"/>
    <w:rsid w:val="47704C3E"/>
    <w:rsid w:val="47792F74"/>
    <w:rsid w:val="47CF03DE"/>
    <w:rsid w:val="47D50C63"/>
    <w:rsid w:val="47DF38EE"/>
    <w:rsid w:val="47EA6784"/>
    <w:rsid w:val="47F714E1"/>
    <w:rsid w:val="47FE362E"/>
    <w:rsid w:val="482437BC"/>
    <w:rsid w:val="482832D5"/>
    <w:rsid w:val="484D4936"/>
    <w:rsid w:val="486A33B5"/>
    <w:rsid w:val="48904161"/>
    <w:rsid w:val="48970E59"/>
    <w:rsid w:val="48A256DB"/>
    <w:rsid w:val="48BB14A6"/>
    <w:rsid w:val="48D373D6"/>
    <w:rsid w:val="48E27218"/>
    <w:rsid w:val="48FC13CA"/>
    <w:rsid w:val="49220057"/>
    <w:rsid w:val="49615088"/>
    <w:rsid w:val="49622EFE"/>
    <w:rsid w:val="49662AD0"/>
    <w:rsid w:val="49704A32"/>
    <w:rsid w:val="497E5930"/>
    <w:rsid w:val="498C10DF"/>
    <w:rsid w:val="49A3228A"/>
    <w:rsid w:val="49B42866"/>
    <w:rsid w:val="49DB35FC"/>
    <w:rsid w:val="49E37429"/>
    <w:rsid w:val="49F05DA9"/>
    <w:rsid w:val="49F45073"/>
    <w:rsid w:val="49F730C9"/>
    <w:rsid w:val="4A5F6197"/>
    <w:rsid w:val="4A780F48"/>
    <w:rsid w:val="4A97497B"/>
    <w:rsid w:val="4AB34A46"/>
    <w:rsid w:val="4AC4035E"/>
    <w:rsid w:val="4AEA4AAF"/>
    <w:rsid w:val="4AF92549"/>
    <w:rsid w:val="4B1F332A"/>
    <w:rsid w:val="4B2E0642"/>
    <w:rsid w:val="4B4C3D01"/>
    <w:rsid w:val="4B5878DC"/>
    <w:rsid w:val="4B754B55"/>
    <w:rsid w:val="4B8702BE"/>
    <w:rsid w:val="4B9F768B"/>
    <w:rsid w:val="4BA62C87"/>
    <w:rsid w:val="4BB03837"/>
    <w:rsid w:val="4BB66C14"/>
    <w:rsid w:val="4BC32090"/>
    <w:rsid w:val="4BDA4476"/>
    <w:rsid w:val="4C09416D"/>
    <w:rsid w:val="4C3574F8"/>
    <w:rsid w:val="4C367119"/>
    <w:rsid w:val="4C4F3F22"/>
    <w:rsid w:val="4C5E6928"/>
    <w:rsid w:val="4C7678AE"/>
    <w:rsid w:val="4C80113D"/>
    <w:rsid w:val="4C8F5852"/>
    <w:rsid w:val="4CB24290"/>
    <w:rsid w:val="4CD77477"/>
    <w:rsid w:val="4CF56991"/>
    <w:rsid w:val="4CFA776D"/>
    <w:rsid w:val="4D053BC6"/>
    <w:rsid w:val="4D094633"/>
    <w:rsid w:val="4D2430B4"/>
    <w:rsid w:val="4D4920C2"/>
    <w:rsid w:val="4D4F23BA"/>
    <w:rsid w:val="4D6148E9"/>
    <w:rsid w:val="4D744823"/>
    <w:rsid w:val="4D813FB4"/>
    <w:rsid w:val="4D912654"/>
    <w:rsid w:val="4D930C30"/>
    <w:rsid w:val="4DAB60F8"/>
    <w:rsid w:val="4DAC4B98"/>
    <w:rsid w:val="4DB766AE"/>
    <w:rsid w:val="4DB9269A"/>
    <w:rsid w:val="4DE21EB3"/>
    <w:rsid w:val="4DEA79C7"/>
    <w:rsid w:val="4DEC3470"/>
    <w:rsid w:val="4E067C21"/>
    <w:rsid w:val="4E077B10"/>
    <w:rsid w:val="4E0C7BD9"/>
    <w:rsid w:val="4E4B218D"/>
    <w:rsid w:val="4E633B92"/>
    <w:rsid w:val="4E643091"/>
    <w:rsid w:val="4E802AB6"/>
    <w:rsid w:val="4EC01A58"/>
    <w:rsid w:val="4EC43B4B"/>
    <w:rsid w:val="4EC441B8"/>
    <w:rsid w:val="4EC6619A"/>
    <w:rsid w:val="4ECA1690"/>
    <w:rsid w:val="4ECE4B3E"/>
    <w:rsid w:val="4ED75A45"/>
    <w:rsid w:val="4EEC23A6"/>
    <w:rsid w:val="4EF851C1"/>
    <w:rsid w:val="4F1463C4"/>
    <w:rsid w:val="4F2951D5"/>
    <w:rsid w:val="4F2B6BF6"/>
    <w:rsid w:val="4F352D1D"/>
    <w:rsid w:val="4F360165"/>
    <w:rsid w:val="4F6D490C"/>
    <w:rsid w:val="4F8647F4"/>
    <w:rsid w:val="4F961996"/>
    <w:rsid w:val="4F97418A"/>
    <w:rsid w:val="4F9A0F98"/>
    <w:rsid w:val="4FAD422B"/>
    <w:rsid w:val="4FB208CA"/>
    <w:rsid w:val="4FB677AA"/>
    <w:rsid w:val="4FB83057"/>
    <w:rsid w:val="4FBC5C6C"/>
    <w:rsid w:val="4FBF3828"/>
    <w:rsid w:val="4FBF719F"/>
    <w:rsid w:val="4FC96B75"/>
    <w:rsid w:val="4FDE12D1"/>
    <w:rsid w:val="4FEC69BD"/>
    <w:rsid w:val="500C4C16"/>
    <w:rsid w:val="50183D66"/>
    <w:rsid w:val="501C0297"/>
    <w:rsid w:val="503B1E72"/>
    <w:rsid w:val="503D0486"/>
    <w:rsid w:val="50437377"/>
    <w:rsid w:val="50715CBD"/>
    <w:rsid w:val="507D0452"/>
    <w:rsid w:val="50924F1F"/>
    <w:rsid w:val="50AC6FB5"/>
    <w:rsid w:val="50B23C0F"/>
    <w:rsid w:val="50CB7F3B"/>
    <w:rsid w:val="511211F5"/>
    <w:rsid w:val="512A2175"/>
    <w:rsid w:val="5152200B"/>
    <w:rsid w:val="515D1DC7"/>
    <w:rsid w:val="516032D9"/>
    <w:rsid w:val="51684E1F"/>
    <w:rsid w:val="518C61CB"/>
    <w:rsid w:val="51920122"/>
    <w:rsid w:val="51A250C9"/>
    <w:rsid w:val="51AF6B02"/>
    <w:rsid w:val="51CE1EAF"/>
    <w:rsid w:val="51DB74F9"/>
    <w:rsid w:val="51E16FA8"/>
    <w:rsid w:val="51EE7D85"/>
    <w:rsid w:val="520006C6"/>
    <w:rsid w:val="520401B8"/>
    <w:rsid w:val="52470AAC"/>
    <w:rsid w:val="525F59F3"/>
    <w:rsid w:val="52764CEE"/>
    <w:rsid w:val="527D1D17"/>
    <w:rsid w:val="52887DE1"/>
    <w:rsid w:val="52A63137"/>
    <w:rsid w:val="52D77554"/>
    <w:rsid w:val="52DA0198"/>
    <w:rsid w:val="52DC2128"/>
    <w:rsid w:val="52F66570"/>
    <w:rsid w:val="530E5F4D"/>
    <w:rsid w:val="53413878"/>
    <w:rsid w:val="53565700"/>
    <w:rsid w:val="53693EA0"/>
    <w:rsid w:val="536A7E51"/>
    <w:rsid w:val="53824F16"/>
    <w:rsid w:val="53B157DC"/>
    <w:rsid w:val="53C17F54"/>
    <w:rsid w:val="53C63E0C"/>
    <w:rsid w:val="53DD5347"/>
    <w:rsid w:val="53E715A0"/>
    <w:rsid w:val="53EE2A80"/>
    <w:rsid w:val="53FA5D34"/>
    <w:rsid w:val="540E7811"/>
    <w:rsid w:val="54170DBA"/>
    <w:rsid w:val="543477BA"/>
    <w:rsid w:val="54580C64"/>
    <w:rsid w:val="54812E20"/>
    <w:rsid w:val="548533E2"/>
    <w:rsid w:val="54963A23"/>
    <w:rsid w:val="54A17506"/>
    <w:rsid w:val="54CC581C"/>
    <w:rsid w:val="54D31C63"/>
    <w:rsid w:val="54E35712"/>
    <w:rsid w:val="54EB0599"/>
    <w:rsid w:val="54FD5462"/>
    <w:rsid w:val="5504213E"/>
    <w:rsid w:val="5510091D"/>
    <w:rsid w:val="55202050"/>
    <w:rsid w:val="55205C32"/>
    <w:rsid w:val="55231C4E"/>
    <w:rsid w:val="553E5F68"/>
    <w:rsid w:val="55560A84"/>
    <w:rsid w:val="555841D9"/>
    <w:rsid w:val="555C1E34"/>
    <w:rsid w:val="5571454B"/>
    <w:rsid w:val="557A2A23"/>
    <w:rsid w:val="55A63286"/>
    <w:rsid w:val="55E752FE"/>
    <w:rsid w:val="55EF5B12"/>
    <w:rsid w:val="55FF1155"/>
    <w:rsid w:val="560A5808"/>
    <w:rsid w:val="561A29F8"/>
    <w:rsid w:val="562C0BE3"/>
    <w:rsid w:val="56362ECA"/>
    <w:rsid w:val="563869F3"/>
    <w:rsid w:val="564B5E59"/>
    <w:rsid w:val="564C54A9"/>
    <w:rsid w:val="5657462B"/>
    <w:rsid w:val="56660236"/>
    <w:rsid w:val="56701626"/>
    <w:rsid w:val="56790ADB"/>
    <w:rsid w:val="567C46DF"/>
    <w:rsid w:val="569526AC"/>
    <w:rsid w:val="56A03E8D"/>
    <w:rsid w:val="56A76149"/>
    <w:rsid w:val="56B22E7F"/>
    <w:rsid w:val="56B30FB7"/>
    <w:rsid w:val="56B34D37"/>
    <w:rsid w:val="56C5048A"/>
    <w:rsid w:val="570D6D6E"/>
    <w:rsid w:val="570F4D5B"/>
    <w:rsid w:val="5728387A"/>
    <w:rsid w:val="573D1198"/>
    <w:rsid w:val="573E412B"/>
    <w:rsid w:val="576D498F"/>
    <w:rsid w:val="57721ABD"/>
    <w:rsid w:val="579A09B4"/>
    <w:rsid w:val="579C0615"/>
    <w:rsid w:val="57C70F94"/>
    <w:rsid w:val="57E8163C"/>
    <w:rsid w:val="57F01614"/>
    <w:rsid w:val="57FC04FF"/>
    <w:rsid w:val="58141122"/>
    <w:rsid w:val="582075AC"/>
    <w:rsid w:val="587559B1"/>
    <w:rsid w:val="58881D39"/>
    <w:rsid w:val="58A60269"/>
    <w:rsid w:val="58BD0074"/>
    <w:rsid w:val="58C47350"/>
    <w:rsid w:val="58C5639A"/>
    <w:rsid w:val="58C62711"/>
    <w:rsid w:val="58E3535C"/>
    <w:rsid w:val="58E61380"/>
    <w:rsid w:val="58EF0DA2"/>
    <w:rsid w:val="58F910FB"/>
    <w:rsid w:val="58FD466B"/>
    <w:rsid w:val="59070609"/>
    <w:rsid w:val="5915699E"/>
    <w:rsid w:val="591D3C80"/>
    <w:rsid w:val="593811AF"/>
    <w:rsid w:val="59595B46"/>
    <w:rsid w:val="59746306"/>
    <w:rsid w:val="59762601"/>
    <w:rsid w:val="59811127"/>
    <w:rsid w:val="599D3055"/>
    <w:rsid w:val="59AF2182"/>
    <w:rsid w:val="59B612D3"/>
    <w:rsid w:val="59D142CB"/>
    <w:rsid w:val="59E24417"/>
    <w:rsid w:val="59F652F8"/>
    <w:rsid w:val="59FD21C6"/>
    <w:rsid w:val="5A0C11F0"/>
    <w:rsid w:val="5A1173B5"/>
    <w:rsid w:val="5A2D6DAB"/>
    <w:rsid w:val="5A334AD2"/>
    <w:rsid w:val="5A376A8D"/>
    <w:rsid w:val="5A6871F5"/>
    <w:rsid w:val="5A96263C"/>
    <w:rsid w:val="5AC32B55"/>
    <w:rsid w:val="5AD06296"/>
    <w:rsid w:val="5AD27D4B"/>
    <w:rsid w:val="5AE00D43"/>
    <w:rsid w:val="5AE90980"/>
    <w:rsid w:val="5B09785F"/>
    <w:rsid w:val="5B1F331E"/>
    <w:rsid w:val="5B306813"/>
    <w:rsid w:val="5B3F72FB"/>
    <w:rsid w:val="5B594EC6"/>
    <w:rsid w:val="5B5C1BDF"/>
    <w:rsid w:val="5B6360E6"/>
    <w:rsid w:val="5B6805AB"/>
    <w:rsid w:val="5B6A3007"/>
    <w:rsid w:val="5B6C4E38"/>
    <w:rsid w:val="5B746CA1"/>
    <w:rsid w:val="5B7D77D3"/>
    <w:rsid w:val="5B8F0C89"/>
    <w:rsid w:val="5BE5354B"/>
    <w:rsid w:val="5C640C30"/>
    <w:rsid w:val="5C6C56AA"/>
    <w:rsid w:val="5C870E48"/>
    <w:rsid w:val="5C9035D3"/>
    <w:rsid w:val="5C9A0F02"/>
    <w:rsid w:val="5CC44B6D"/>
    <w:rsid w:val="5CD2196B"/>
    <w:rsid w:val="5CDB38B2"/>
    <w:rsid w:val="5CED0E23"/>
    <w:rsid w:val="5D0B7486"/>
    <w:rsid w:val="5D114235"/>
    <w:rsid w:val="5D114759"/>
    <w:rsid w:val="5D180239"/>
    <w:rsid w:val="5D1A5A3E"/>
    <w:rsid w:val="5D56003F"/>
    <w:rsid w:val="5D6C5BE8"/>
    <w:rsid w:val="5D6F249C"/>
    <w:rsid w:val="5D7025F1"/>
    <w:rsid w:val="5D8B4D26"/>
    <w:rsid w:val="5DB5674A"/>
    <w:rsid w:val="5DCC14DB"/>
    <w:rsid w:val="5E1028C9"/>
    <w:rsid w:val="5E6376F3"/>
    <w:rsid w:val="5E7B6DDF"/>
    <w:rsid w:val="5E8014F0"/>
    <w:rsid w:val="5E8E000C"/>
    <w:rsid w:val="5E946F11"/>
    <w:rsid w:val="5E9C6BB3"/>
    <w:rsid w:val="5EA41F26"/>
    <w:rsid w:val="5ECE61CF"/>
    <w:rsid w:val="5ED35371"/>
    <w:rsid w:val="5EDF5A84"/>
    <w:rsid w:val="5F2B2C6B"/>
    <w:rsid w:val="5F3962E5"/>
    <w:rsid w:val="5F5578E7"/>
    <w:rsid w:val="5F6A4A67"/>
    <w:rsid w:val="5FA25A85"/>
    <w:rsid w:val="5FBF368F"/>
    <w:rsid w:val="5FC31B7B"/>
    <w:rsid w:val="5FC6456B"/>
    <w:rsid w:val="5FD05AC8"/>
    <w:rsid w:val="5FEF7173"/>
    <w:rsid w:val="60477D84"/>
    <w:rsid w:val="606140B8"/>
    <w:rsid w:val="606C1354"/>
    <w:rsid w:val="607E66FD"/>
    <w:rsid w:val="60BC792C"/>
    <w:rsid w:val="60C220B9"/>
    <w:rsid w:val="60C505E4"/>
    <w:rsid w:val="60E55512"/>
    <w:rsid w:val="61011A84"/>
    <w:rsid w:val="611A43B1"/>
    <w:rsid w:val="61260057"/>
    <w:rsid w:val="61375A30"/>
    <w:rsid w:val="6150753B"/>
    <w:rsid w:val="615634AD"/>
    <w:rsid w:val="616369C9"/>
    <w:rsid w:val="61651719"/>
    <w:rsid w:val="617250C3"/>
    <w:rsid w:val="61CB4B9C"/>
    <w:rsid w:val="61D80F67"/>
    <w:rsid w:val="61E752E4"/>
    <w:rsid w:val="61E91570"/>
    <w:rsid w:val="61F126AE"/>
    <w:rsid w:val="61F97870"/>
    <w:rsid w:val="61FF6C1D"/>
    <w:rsid w:val="621444AC"/>
    <w:rsid w:val="621828B7"/>
    <w:rsid w:val="625537C1"/>
    <w:rsid w:val="62875C92"/>
    <w:rsid w:val="62AB6CDD"/>
    <w:rsid w:val="62CF63BC"/>
    <w:rsid w:val="632019DC"/>
    <w:rsid w:val="63234B92"/>
    <w:rsid w:val="63476F17"/>
    <w:rsid w:val="63580986"/>
    <w:rsid w:val="637D08DF"/>
    <w:rsid w:val="638E5CCA"/>
    <w:rsid w:val="63B42C4A"/>
    <w:rsid w:val="63BC7C1D"/>
    <w:rsid w:val="63C43AF3"/>
    <w:rsid w:val="641E7C63"/>
    <w:rsid w:val="64213FFC"/>
    <w:rsid w:val="642338A7"/>
    <w:rsid w:val="642D6D2D"/>
    <w:rsid w:val="643F33D7"/>
    <w:rsid w:val="64762435"/>
    <w:rsid w:val="64876A3A"/>
    <w:rsid w:val="64B85980"/>
    <w:rsid w:val="64C12EC9"/>
    <w:rsid w:val="64C708FC"/>
    <w:rsid w:val="64D64874"/>
    <w:rsid w:val="64D84348"/>
    <w:rsid w:val="64EB66CF"/>
    <w:rsid w:val="650F5885"/>
    <w:rsid w:val="6520156D"/>
    <w:rsid w:val="65430884"/>
    <w:rsid w:val="65C02367"/>
    <w:rsid w:val="65DF358B"/>
    <w:rsid w:val="65E2229D"/>
    <w:rsid w:val="65EA09BB"/>
    <w:rsid w:val="65FF07B9"/>
    <w:rsid w:val="660D28EF"/>
    <w:rsid w:val="66116983"/>
    <w:rsid w:val="661661C3"/>
    <w:rsid w:val="66171014"/>
    <w:rsid w:val="66420A01"/>
    <w:rsid w:val="6655528A"/>
    <w:rsid w:val="66737C98"/>
    <w:rsid w:val="66756CCD"/>
    <w:rsid w:val="66933B1F"/>
    <w:rsid w:val="66CE30EA"/>
    <w:rsid w:val="66DD567F"/>
    <w:rsid w:val="66E7402E"/>
    <w:rsid w:val="66F676CD"/>
    <w:rsid w:val="670320E0"/>
    <w:rsid w:val="67262952"/>
    <w:rsid w:val="672C0174"/>
    <w:rsid w:val="67337600"/>
    <w:rsid w:val="674236BA"/>
    <w:rsid w:val="67460210"/>
    <w:rsid w:val="676577CB"/>
    <w:rsid w:val="67675347"/>
    <w:rsid w:val="679138D8"/>
    <w:rsid w:val="679C316D"/>
    <w:rsid w:val="679C652C"/>
    <w:rsid w:val="679E240E"/>
    <w:rsid w:val="67B7224E"/>
    <w:rsid w:val="67C33FA5"/>
    <w:rsid w:val="67C430DF"/>
    <w:rsid w:val="67CC653C"/>
    <w:rsid w:val="67DE2CC4"/>
    <w:rsid w:val="67E4368A"/>
    <w:rsid w:val="6822414F"/>
    <w:rsid w:val="682314EF"/>
    <w:rsid w:val="682D742D"/>
    <w:rsid w:val="68457736"/>
    <w:rsid w:val="68626453"/>
    <w:rsid w:val="687B4BEF"/>
    <w:rsid w:val="68906516"/>
    <w:rsid w:val="6895420C"/>
    <w:rsid w:val="68AE5A6D"/>
    <w:rsid w:val="68BC5C47"/>
    <w:rsid w:val="68BF5E47"/>
    <w:rsid w:val="68CD0D57"/>
    <w:rsid w:val="68CE7A3D"/>
    <w:rsid w:val="68D539F4"/>
    <w:rsid w:val="68DE57B7"/>
    <w:rsid w:val="69184FC1"/>
    <w:rsid w:val="69225F78"/>
    <w:rsid w:val="69281917"/>
    <w:rsid w:val="692F44A1"/>
    <w:rsid w:val="693029E9"/>
    <w:rsid w:val="693D4634"/>
    <w:rsid w:val="69975E68"/>
    <w:rsid w:val="69A27202"/>
    <w:rsid w:val="69AF4E88"/>
    <w:rsid w:val="69DE1F67"/>
    <w:rsid w:val="69E252A4"/>
    <w:rsid w:val="69E73C70"/>
    <w:rsid w:val="6A2B21E1"/>
    <w:rsid w:val="6A4105C8"/>
    <w:rsid w:val="6A711327"/>
    <w:rsid w:val="6A7807C0"/>
    <w:rsid w:val="6AB42B4A"/>
    <w:rsid w:val="6ACB5AC8"/>
    <w:rsid w:val="6AD83557"/>
    <w:rsid w:val="6AF07EC5"/>
    <w:rsid w:val="6B07031C"/>
    <w:rsid w:val="6B0F7EAC"/>
    <w:rsid w:val="6B185EF3"/>
    <w:rsid w:val="6B342B0F"/>
    <w:rsid w:val="6B3B2D57"/>
    <w:rsid w:val="6B4A2033"/>
    <w:rsid w:val="6B5A3ED6"/>
    <w:rsid w:val="6B5F609C"/>
    <w:rsid w:val="6BBD68C6"/>
    <w:rsid w:val="6BD64800"/>
    <w:rsid w:val="6BE24F6A"/>
    <w:rsid w:val="6BF45FD5"/>
    <w:rsid w:val="6C090B2B"/>
    <w:rsid w:val="6C096E80"/>
    <w:rsid w:val="6C1C5C06"/>
    <w:rsid w:val="6C1D4005"/>
    <w:rsid w:val="6C225DEF"/>
    <w:rsid w:val="6C401887"/>
    <w:rsid w:val="6C405821"/>
    <w:rsid w:val="6C5D2810"/>
    <w:rsid w:val="6C7C0658"/>
    <w:rsid w:val="6CB55C73"/>
    <w:rsid w:val="6CB6349E"/>
    <w:rsid w:val="6CBF7D74"/>
    <w:rsid w:val="6CDD0809"/>
    <w:rsid w:val="6CEE6485"/>
    <w:rsid w:val="6D002F63"/>
    <w:rsid w:val="6D10439F"/>
    <w:rsid w:val="6D15535D"/>
    <w:rsid w:val="6D1E1D55"/>
    <w:rsid w:val="6D594ED4"/>
    <w:rsid w:val="6D6422A8"/>
    <w:rsid w:val="6D715A21"/>
    <w:rsid w:val="6DA87988"/>
    <w:rsid w:val="6DAB0F36"/>
    <w:rsid w:val="6DC934E5"/>
    <w:rsid w:val="6DCA59B4"/>
    <w:rsid w:val="6DD002F2"/>
    <w:rsid w:val="6DD376A2"/>
    <w:rsid w:val="6E080B6C"/>
    <w:rsid w:val="6E107967"/>
    <w:rsid w:val="6E1A6AD8"/>
    <w:rsid w:val="6E2327EA"/>
    <w:rsid w:val="6E543AC9"/>
    <w:rsid w:val="6E6949F3"/>
    <w:rsid w:val="6E776E55"/>
    <w:rsid w:val="6E7855AD"/>
    <w:rsid w:val="6E7D028F"/>
    <w:rsid w:val="6E802367"/>
    <w:rsid w:val="6E8A17DB"/>
    <w:rsid w:val="6E8C0C4B"/>
    <w:rsid w:val="6EAE462E"/>
    <w:rsid w:val="6EE966B6"/>
    <w:rsid w:val="6EFB2331"/>
    <w:rsid w:val="6F1E59D8"/>
    <w:rsid w:val="6F393B8A"/>
    <w:rsid w:val="6F3A2F37"/>
    <w:rsid w:val="6F3E58E6"/>
    <w:rsid w:val="6F5E5390"/>
    <w:rsid w:val="6F7A1F13"/>
    <w:rsid w:val="6F8B6890"/>
    <w:rsid w:val="6F977C7B"/>
    <w:rsid w:val="6FB92695"/>
    <w:rsid w:val="6FBD6CA9"/>
    <w:rsid w:val="7045310A"/>
    <w:rsid w:val="7047537F"/>
    <w:rsid w:val="708045CB"/>
    <w:rsid w:val="70CE62FE"/>
    <w:rsid w:val="70E73392"/>
    <w:rsid w:val="70F457AE"/>
    <w:rsid w:val="70FE7C69"/>
    <w:rsid w:val="710A5001"/>
    <w:rsid w:val="7114401F"/>
    <w:rsid w:val="71170689"/>
    <w:rsid w:val="7131354F"/>
    <w:rsid w:val="713B6754"/>
    <w:rsid w:val="71671C9B"/>
    <w:rsid w:val="71691B7B"/>
    <w:rsid w:val="71A420D7"/>
    <w:rsid w:val="71B02B32"/>
    <w:rsid w:val="71BA6A60"/>
    <w:rsid w:val="71C35911"/>
    <w:rsid w:val="71E16344"/>
    <w:rsid w:val="720F1517"/>
    <w:rsid w:val="722C04FF"/>
    <w:rsid w:val="72422950"/>
    <w:rsid w:val="725C0FCB"/>
    <w:rsid w:val="725D3437"/>
    <w:rsid w:val="72625CD9"/>
    <w:rsid w:val="72867687"/>
    <w:rsid w:val="72A10D63"/>
    <w:rsid w:val="72AA28B4"/>
    <w:rsid w:val="72F841B0"/>
    <w:rsid w:val="72FB48EE"/>
    <w:rsid w:val="7303033C"/>
    <w:rsid w:val="731F1F17"/>
    <w:rsid w:val="734868A5"/>
    <w:rsid w:val="734E3214"/>
    <w:rsid w:val="73686DB9"/>
    <w:rsid w:val="73874285"/>
    <w:rsid w:val="739D3720"/>
    <w:rsid w:val="73A90918"/>
    <w:rsid w:val="73B4610D"/>
    <w:rsid w:val="73C75EE7"/>
    <w:rsid w:val="73D36495"/>
    <w:rsid w:val="73D632A8"/>
    <w:rsid w:val="73EF07D9"/>
    <w:rsid w:val="740C55CD"/>
    <w:rsid w:val="74540D92"/>
    <w:rsid w:val="746F71EA"/>
    <w:rsid w:val="747877B6"/>
    <w:rsid w:val="74BC4E81"/>
    <w:rsid w:val="74BE1C5C"/>
    <w:rsid w:val="74C55A2F"/>
    <w:rsid w:val="74C86E83"/>
    <w:rsid w:val="74E01852"/>
    <w:rsid w:val="750749CF"/>
    <w:rsid w:val="751F7DD4"/>
    <w:rsid w:val="752F0014"/>
    <w:rsid w:val="75345476"/>
    <w:rsid w:val="753D370F"/>
    <w:rsid w:val="755632F3"/>
    <w:rsid w:val="755D5823"/>
    <w:rsid w:val="75617C99"/>
    <w:rsid w:val="758B38BF"/>
    <w:rsid w:val="75A24063"/>
    <w:rsid w:val="75A95892"/>
    <w:rsid w:val="75B55C07"/>
    <w:rsid w:val="75C4289F"/>
    <w:rsid w:val="75C86E53"/>
    <w:rsid w:val="75DA1724"/>
    <w:rsid w:val="75F33242"/>
    <w:rsid w:val="76123671"/>
    <w:rsid w:val="763A1189"/>
    <w:rsid w:val="76480F5F"/>
    <w:rsid w:val="76587A88"/>
    <w:rsid w:val="76715364"/>
    <w:rsid w:val="76720C3A"/>
    <w:rsid w:val="767A45C5"/>
    <w:rsid w:val="76932BB0"/>
    <w:rsid w:val="76936B2C"/>
    <w:rsid w:val="76995E06"/>
    <w:rsid w:val="76BB13D7"/>
    <w:rsid w:val="76C86553"/>
    <w:rsid w:val="76CE4369"/>
    <w:rsid w:val="76CE7C84"/>
    <w:rsid w:val="76D00149"/>
    <w:rsid w:val="76D3636E"/>
    <w:rsid w:val="76F70C1F"/>
    <w:rsid w:val="76FB1F6E"/>
    <w:rsid w:val="770F67D0"/>
    <w:rsid w:val="7728037B"/>
    <w:rsid w:val="773724A9"/>
    <w:rsid w:val="7742049C"/>
    <w:rsid w:val="77765AD7"/>
    <w:rsid w:val="77844FC2"/>
    <w:rsid w:val="778F5328"/>
    <w:rsid w:val="77917588"/>
    <w:rsid w:val="77933619"/>
    <w:rsid w:val="77A62DFE"/>
    <w:rsid w:val="77C77E6A"/>
    <w:rsid w:val="77D9322D"/>
    <w:rsid w:val="782525AB"/>
    <w:rsid w:val="782E37E3"/>
    <w:rsid w:val="783617A9"/>
    <w:rsid w:val="78A63853"/>
    <w:rsid w:val="78AE6B32"/>
    <w:rsid w:val="78C84ADA"/>
    <w:rsid w:val="78CC7F1A"/>
    <w:rsid w:val="78DA3E1B"/>
    <w:rsid w:val="790243F1"/>
    <w:rsid w:val="7919257F"/>
    <w:rsid w:val="7922505E"/>
    <w:rsid w:val="792D6569"/>
    <w:rsid w:val="793747AC"/>
    <w:rsid w:val="793D4148"/>
    <w:rsid w:val="796366D1"/>
    <w:rsid w:val="796F6BFC"/>
    <w:rsid w:val="7992208B"/>
    <w:rsid w:val="79A22617"/>
    <w:rsid w:val="79A43E1A"/>
    <w:rsid w:val="79A5325D"/>
    <w:rsid w:val="79BD56A6"/>
    <w:rsid w:val="79D25773"/>
    <w:rsid w:val="79D870D9"/>
    <w:rsid w:val="79E565E9"/>
    <w:rsid w:val="7A014FAE"/>
    <w:rsid w:val="7A1A3516"/>
    <w:rsid w:val="7A566987"/>
    <w:rsid w:val="7A622119"/>
    <w:rsid w:val="7A7778C5"/>
    <w:rsid w:val="7A796645"/>
    <w:rsid w:val="7A7D6CE4"/>
    <w:rsid w:val="7A926349"/>
    <w:rsid w:val="7ABD0928"/>
    <w:rsid w:val="7ABD2CFD"/>
    <w:rsid w:val="7AF2048C"/>
    <w:rsid w:val="7AF54F3F"/>
    <w:rsid w:val="7AF902DF"/>
    <w:rsid w:val="7B86448A"/>
    <w:rsid w:val="7B8E725C"/>
    <w:rsid w:val="7BD048DC"/>
    <w:rsid w:val="7BD854AF"/>
    <w:rsid w:val="7BE002E7"/>
    <w:rsid w:val="7BEE6C27"/>
    <w:rsid w:val="7BF81608"/>
    <w:rsid w:val="7C0C66EA"/>
    <w:rsid w:val="7C167C6D"/>
    <w:rsid w:val="7C2F7875"/>
    <w:rsid w:val="7C510EED"/>
    <w:rsid w:val="7C545639"/>
    <w:rsid w:val="7CAD25FE"/>
    <w:rsid w:val="7CC94FD2"/>
    <w:rsid w:val="7D05458C"/>
    <w:rsid w:val="7D093F07"/>
    <w:rsid w:val="7D151ACA"/>
    <w:rsid w:val="7D1A1E64"/>
    <w:rsid w:val="7D551BF3"/>
    <w:rsid w:val="7D606040"/>
    <w:rsid w:val="7D613869"/>
    <w:rsid w:val="7D6B01CC"/>
    <w:rsid w:val="7D7A5073"/>
    <w:rsid w:val="7D860C2E"/>
    <w:rsid w:val="7D8F5A0A"/>
    <w:rsid w:val="7DAC1714"/>
    <w:rsid w:val="7DBD4697"/>
    <w:rsid w:val="7DDE0106"/>
    <w:rsid w:val="7DFC6C46"/>
    <w:rsid w:val="7DFF23B1"/>
    <w:rsid w:val="7E1C5C65"/>
    <w:rsid w:val="7E370A7F"/>
    <w:rsid w:val="7E521945"/>
    <w:rsid w:val="7E71703B"/>
    <w:rsid w:val="7E76197B"/>
    <w:rsid w:val="7E860716"/>
    <w:rsid w:val="7EB90DBD"/>
    <w:rsid w:val="7F045ED8"/>
    <w:rsid w:val="7F207798"/>
    <w:rsid w:val="7F236925"/>
    <w:rsid w:val="7F2E3A4B"/>
    <w:rsid w:val="7F337629"/>
    <w:rsid w:val="7F3D171D"/>
    <w:rsid w:val="7F682B91"/>
    <w:rsid w:val="7F8A0F15"/>
    <w:rsid w:val="7FAD6AF9"/>
    <w:rsid w:val="7FAF1ED9"/>
    <w:rsid w:val="7FC14191"/>
    <w:rsid w:val="7FC83AD9"/>
    <w:rsid w:val="7FE83C09"/>
    <w:rsid w:val="7FF26027"/>
    <w:rsid w:val="EFFF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4"/>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45"/>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46"/>
    <w:qFormat/>
    <w:uiPriority w:val="0"/>
    <w:pPr>
      <w:keepNext/>
      <w:keepLines/>
      <w:spacing w:before="260" w:after="260" w:line="416" w:lineRule="auto"/>
      <w:outlineLvl w:val="2"/>
    </w:pPr>
    <w:rPr>
      <w:b/>
      <w:bCs/>
      <w:sz w:val="32"/>
      <w:szCs w:val="3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5"/>
    <w:qFormat/>
    <w:uiPriority w:val="0"/>
    <w:rPr>
      <w:rFonts w:ascii="宋体" w:hAnsi="Courier New"/>
    </w:rPr>
  </w:style>
  <w:style w:type="paragraph" w:styleId="6">
    <w:name w:val="toc 7"/>
    <w:basedOn w:val="1"/>
    <w:next w:val="1"/>
    <w:qFormat/>
    <w:uiPriority w:val="0"/>
    <w:pPr>
      <w:ind w:left="1440"/>
      <w:jc w:val="left"/>
    </w:pPr>
    <w:rPr>
      <w:sz w:val="18"/>
      <w:szCs w:val="18"/>
    </w:rPr>
  </w:style>
  <w:style w:type="paragraph" w:styleId="7">
    <w:name w:val="caption"/>
    <w:basedOn w:val="1"/>
    <w:next w:val="1"/>
    <w:qFormat/>
    <w:uiPriority w:val="0"/>
    <w:pPr>
      <w:spacing w:before="152" w:after="160"/>
    </w:pPr>
    <w:rPr>
      <w:rFonts w:ascii="Arial" w:hAnsi="Arial" w:eastAsia="黑体" w:cs="Arial"/>
      <w:sz w:val="20"/>
    </w:rPr>
  </w:style>
  <w:style w:type="paragraph" w:styleId="8">
    <w:name w:val="Document Map"/>
    <w:basedOn w:val="1"/>
    <w:link w:val="64"/>
    <w:qFormat/>
    <w:uiPriority w:val="0"/>
    <w:pPr>
      <w:shd w:val="clear" w:color="auto" w:fill="000080"/>
    </w:pPr>
    <w:rPr>
      <w:sz w:val="24"/>
      <w:szCs w:val="24"/>
    </w:rPr>
  </w:style>
  <w:style w:type="paragraph" w:styleId="9">
    <w:name w:val="toa heading"/>
    <w:basedOn w:val="1"/>
    <w:next w:val="1"/>
    <w:qFormat/>
    <w:uiPriority w:val="0"/>
    <w:pPr>
      <w:spacing w:before="120"/>
    </w:pPr>
    <w:rPr>
      <w:rFonts w:ascii="Arial" w:hAnsi="Arial" w:cs="Arial"/>
      <w:sz w:val="24"/>
      <w:szCs w:val="24"/>
    </w:rPr>
  </w:style>
  <w:style w:type="paragraph" w:styleId="10">
    <w:name w:val="annotation text"/>
    <w:basedOn w:val="1"/>
    <w:link w:val="66"/>
    <w:qFormat/>
    <w:uiPriority w:val="0"/>
    <w:pPr>
      <w:jc w:val="left"/>
    </w:pPr>
  </w:style>
  <w:style w:type="paragraph" w:styleId="11">
    <w:name w:val="Body Text"/>
    <w:basedOn w:val="1"/>
    <w:qFormat/>
    <w:uiPriority w:val="0"/>
    <w:rPr>
      <w:rFonts w:ascii="仿宋_GB2312" w:eastAsia="仿宋_GB2312"/>
      <w:sz w:val="32"/>
    </w:rPr>
  </w:style>
  <w:style w:type="paragraph" w:styleId="12">
    <w:name w:val="Body Text Indent"/>
    <w:basedOn w:val="1"/>
    <w:qFormat/>
    <w:uiPriority w:val="0"/>
    <w:pPr>
      <w:spacing w:after="120" w:line="360" w:lineRule="auto"/>
      <w:ind w:left="0" w:leftChars="0" w:firstLine="932" w:firstLineChars="200"/>
    </w:pPr>
  </w:style>
  <w:style w:type="paragraph" w:styleId="13">
    <w:name w:val="toc 5"/>
    <w:basedOn w:val="1"/>
    <w:next w:val="1"/>
    <w:qFormat/>
    <w:uiPriority w:val="0"/>
    <w:pPr>
      <w:ind w:left="960"/>
      <w:jc w:val="left"/>
    </w:pPr>
    <w:rPr>
      <w:sz w:val="18"/>
      <w:szCs w:val="18"/>
    </w:rPr>
  </w:style>
  <w:style w:type="paragraph" w:styleId="14">
    <w:name w:val="toc 3"/>
    <w:basedOn w:val="1"/>
    <w:next w:val="1"/>
    <w:qFormat/>
    <w:uiPriority w:val="0"/>
    <w:pPr>
      <w:ind w:left="480"/>
      <w:jc w:val="left"/>
    </w:pPr>
    <w:rPr>
      <w:i/>
      <w:iCs/>
      <w:sz w:val="20"/>
    </w:rPr>
  </w:style>
  <w:style w:type="paragraph" w:styleId="15">
    <w:name w:val="toc 8"/>
    <w:basedOn w:val="1"/>
    <w:next w:val="1"/>
    <w:qFormat/>
    <w:uiPriority w:val="0"/>
    <w:pPr>
      <w:ind w:left="1680"/>
      <w:jc w:val="left"/>
    </w:pPr>
    <w:rPr>
      <w:sz w:val="18"/>
      <w:szCs w:val="18"/>
    </w:rPr>
  </w:style>
  <w:style w:type="paragraph" w:styleId="16">
    <w:name w:val="Date"/>
    <w:basedOn w:val="1"/>
    <w:next w:val="1"/>
    <w:link w:val="58"/>
    <w:qFormat/>
    <w:uiPriority w:val="0"/>
    <w:pPr>
      <w:ind w:left="100" w:leftChars="2500"/>
    </w:pPr>
    <w:rPr>
      <w:sz w:val="24"/>
      <w:szCs w:val="24"/>
    </w:rPr>
  </w:style>
  <w:style w:type="paragraph" w:styleId="17">
    <w:name w:val="Body Text Indent 2"/>
    <w:basedOn w:val="1"/>
    <w:link w:val="76"/>
    <w:qFormat/>
    <w:uiPriority w:val="0"/>
    <w:pPr>
      <w:spacing w:after="120" w:line="480" w:lineRule="auto"/>
      <w:ind w:left="420" w:leftChars="200"/>
    </w:pPr>
  </w:style>
  <w:style w:type="paragraph" w:styleId="18">
    <w:name w:val="Balloon Text"/>
    <w:basedOn w:val="1"/>
    <w:link w:val="57"/>
    <w:qFormat/>
    <w:uiPriority w:val="0"/>
    <w:rPr>
      <w:sz w:val="18"/>
      <w:szCs w:val="18"/>
    </w:rPr>
  </w:style>
  <w:style w:type="paragraph" w:styleId="19">
    <w:name w:val="footer"/>
    <w:basedOn w:val="1"/>
    <w:link w:val="65"/>
    <w:qFormat/>
    <w:uiPriority w:val="0"/>
    <w:pPr>
      <w:tabs>
        <w:tab w:val="center" w:pos="4153"/>
        <w:tab w:val="right" w:pos="8306"/>
      </w:tabs>
      <w:snapToGrid w:val="0"/>
      <w:jc w:val="left"/>
    </w:pPr>
    <w:rPr>
      <w:sz w:val="18"/>
      <w:szCs w:val="18"/>
    </w:rPr>
  </w:style>
  <w:style w:type="paragraph" w:styleId="20">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pPr>
      <w:spacing w:line="360" w:lineRule="auto"/>
      <w:jc w:val="left"/>
    </w:pPr>
    <w:rPr>
      <w:rFonts w:ascii="宋体" w:hAnsi="宋体"/>
      <w:b/>
      <w:caps/>
      <w:color w:val="FF0000"/>
      <w:szCs w:val="21"/>
    </w:rPr>
  </w:style>
  <w:style w:type="paragraph" w:styleId="22">
    <w:name w:val="toc 4"/>
    <w:basedOn w:val="1"/>
    <w:next w:val="1"/>
    <w:qFormat/>
    <w:uiPriority w:val="0"/>
    <w:pPr>
      <w:ind w:left="720"/>
      <w:jc w:val="left"/>
    </w:pPr>
    <w:rPr>
      <w:sz w:val="18"/>
      <w:szCs w:val="18"/>
    </w:rPr>
  </w:style>
  <w:style w:type="paragraph" w:styleId="23">
    <w:name w:val="List"/>
    <w:basedOn w:val="1"/>
    <w:qFormat/>
    <w:uiPriority w:val="0"/>
    <w:pPr>
      <w:ind w:left="420" w:hanging="420"/>
    </w:pPr>
  </w:style>
  <w:style w:type="paragraph" w:styleId="24">
    <w:name w:val="toc 6"/>
    <w:basedOn w:val="1"/>
    <w:next w:val="1"/>
    <w:qFormat/>
    <w:uiPriority w:val="0"/>
    <w:pPr>
      <w:ind w:left="1200"/>
      <w:jc w:val="left"/>
    </w:pPr>
    <w:rPr>
      <w:sz w:val="18"/>
      <w:szCs w:val="18"/>
    </w:rPr>
  </w:style>
  <w:style w:type="paragraph" w:styleId="25">
    <w:name w:val="Body Text Indent 3"/>
    <w:basedOn w:val="1"/>
    <w:link w:val="77"/>
    <w:qFormat/>
    <w:uiPriority w:val="0"/>
    <w:pPr>
      <w:spacing w:after="120"/>
      <w:ind w:left="420" w:leftChars="200"/>
    </w:pPr>
    <w:rPr>
      <w:sz w:val="16"/>
      <w:szCs w:val="16"/>
    </w:rPr>
  </w:style>
  <w:style w:type="paragraph" w:styleId="26">
    <w:name w:val="toc 2"/>
    <w:basedOn w:val="1"/>
    <w:next w:val="1"/>
    <w:unhideWhenUsed/>
    <w:qFormat/>
    <w:uiPriority w:val="0"/>
    <w:pPr>
      <w:ind w:left="420" w:leftChars="200"/>
    </w:pPr>
  </w:style>
  <w:style w:type="paragraph" w:styleId="27">
    <w:name w:val="toc 9"/>
    <w:basedOn w:val="1"/>
    <w:next w:val="1"/>
    <w:qFormat/>
    <w:uiPriority w:val="0"/>
    <w:pPr>
      <w:ind w:left="1920"/>
      <w:jc w:val="left"/>
    </w:pPr>
    <w:rPr>
      <w:sz w:val="18"/>
      <w:szCs w:val="18"/>
    </w:rPr>
  </w:style>
  <w:style w:type="paragraph" w:styleId="28">
    <w:name w:val="Normal (Web)"/>
    <w:basedOn w:val="1"/>
    <w:unhideWhenUsed/>
    <w:qFormat/>
    <w:uiPriority w:val="0"/>
    <w:pPr>
      <w:spacing w:beforeAutospacing="1" w:afterAutospacing="1"/>
      <w:jc w:val="left"/>
    </w:pPr>
    <w:rPr>
      <w:kern w:val="0"/>
      <w:sz w:val="24"/>
    </w:rPr>
  </w:style>
  <w:style w:type="paragraph" w:styleId="29">
    <w:name w:val="index 1"/>
    <w:basedOn w:val="1"/>
    <w:next w:val="1"/>
    <w:qFormat/>
    <w:uiPriority w:val="0"/>
    <w:rPr>
      <w:sz w:val="24"/>
      <w:szCs w:val="24"/>
    </w:rPr>
  </w:style>
  <w:style w:type="paragraph" w:styleId="30">
    <w:name w:val="Title"/>
    <w:basedOn w:val="1"/>
    <w:next w:val="1"/>
    <w:link w:val="78"/>
    <w:qFormat/>
    <w:uiPriority w:val="0"/>
    <w:pPr>
      <w:spacing w:before="160" w:after="40" w:line="0" w:lineRule="atLeast"/>
      <w:ind w:left="425" w:hanging="425"/>
      <w:jc w:val="left"/>
      <w:outlineLvl w:val="0"/>
    </w:pPr>
    <w:rPr>
      <w:rFonts w:ascii="Arial" w:hAnsi="Arial"/>
      <w:b/>
      <w:bCs/>
      <w:sz w:val="32"/>
      <w:szCs w:val="32"/>
    </w:rPr>
  </w:style>
  <w:style w:type="paragraph" w:styleId="31">
    <w:name w:val="annotation subject"/>
    <w:basedOn w:val="10"/>
    <w:next w:val="10"/>
    <w:link w:val="68"/>
    <w:qFormat/>
    <w:uiPriority w:val="0"/>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color w:val="666666"/>
    </w:rPr>
  </w:style>
  <w:style w:type="character" w:styleId="36">
    <w:name w:val="page number"/>
    <w:basedOn w:val="34"/>
    <w:qFormat/>
    <w:uiPriority w:val="0"/>
  </w:style>
  <w:style w:type="character" w:styleId="37">
    <w:name w:val="FollowedHyperlink"/>
    <w:basedOn w:val="34"/>
    <w:qFormat/>
    <w:uiPriority w:val="99"/>
    <w:rPr>
      <w:color w:val="4D7AD8"/>
      <w:u w:val="none"/>
    </w:rPr>
  </w:style>
  <w:style w:type="character" w:styleId="38">
    <w:name w:val="HTML Definition"/>
    <w:basedOn w:val="34"/>
    <w:unhideWhenUsed/>
    <w:qFormat/>
    <w:uiPriority w:val="0"/>
    <w:rPr>
      <w:i/>
    </w:rPr>
  </w:style>
  <w:style w:type="character" w:styleId="39">
    <w:name w:val="Hyperlink"/>
    <w:qFormat/>
    <w:uiPriority w:val="99"/>
    <w:rPr>
      <w:rFonts w:cs="Times New Roman"/>
      <w:color w:val="1F4F88"/>
      <w:u w:val="none"/>
    </w:rPr>
  </w:style>
  <w:style w:type="character" w:styleId="40">
    <w:name w:val="HTML Code"/>
    <w:basedOn w:val="34"/>
    <w:unhideWhenUsed/>
    <w:qFormat/>
    <w:uiPriority w:val="0"/>
    <w:rPr>
      <w:rFonts w:hint="default" w:ascii="Consolas" w:hAnsi="Consolas" w:eastAsia="Consolas" w:cs="Consolas"/>
      <w:sz w:val="21"/>
      <w:szCs w:val="21"/>
    </w:rPr>
  </w:style>
  <w:style w:type="character" w:styleId="41">
    <w:name w:val="annotation reference"/>
    <w:qFormat/>
    <w:uiPriority w:val="0"/>
    <w:rPr>
      <w:sz w:val="21"/>
      <w:szCs w:val="21"/>
    </w:rPr>
  </w:style>
  <w:style w:type="character" w:styleId="42">
    <w:name w:val="HTML Keyboard"/>
    <w:basedOn w:val="34"/>
    <w:unhideWhenUsed/>
    <w:qFormat/>
    <w:uiPriority w:val="0"/>
    <w:rPr>
      <w:rFonts w:ascii="Consolas" w:hAnsi="Consolas" w:eastAsia="Consolas" w:cs="Consolas"/>
      <w:sz w:val="21"/>
      <w:szCs w:val="21"/>
    </w:rPr>
  </w:style>
  <w:style w:type="character" w:styleId="43">
    <w:name w:val="HTML Sample"/>
    <w:basedOn w:val="34"/>
    <w:unhideWhenUsed/>
    <w:qFormat/>
    <w:uiPriority w:val="0"/>
    <w:rPr>
      <w:rFonts w:hint="default" w:ascii="Consolas" w:hAnsi="Consolas" w:eastAsia="Consolas" w:cs="Consolas"/>
      <w:sz w:val="21"/>
      <w:szCs w:val="21"/>
    </w:rPr>
  </w:style>
  <w:style w:type="character" w:customStyle="1" w:styleId="44">
    <w:name w:val="标题 1 字符"/>
    <w:link w:val="3"/>
    <w:qFormat/>
    <w:uiPriority w:val="0"/>
    <w:rPr>
      <w:b/>
      <w:bCs/>
      <w:kern w:val="44"/>
      <w:sz w:val="44"/>
      <w:szCs w:val="44"/>
    </w:rPr>
  </w:style>
  <w:style w:type="character" w:customStyle="1" w:styleId="45">
    <w:name w:val="标题 2 字符"/>
    <w:link w:val="4"/>
    <w:qFormat/>
    <w:uiPriority w:val="0"/>
    <w:rPr>
      <w:rFonts w:ascii="Arial" w:hAnsi="Arial" w:eastAsia="黑体"/>
      <w:b/>
      <w:bCs/>
      <w:kern w:val="2"/>
      <w:sz w:val="32"/>
      <w:szCs w:val="32"/>
    </w:rPr>
  </w:style>
  <w:style w:type="character" w:customStyle="1" w:styleId="46">
    <w:name w:val="标题 3 字符"/>
    <w:link w:val="5"/>
    <w:semiHidden/>
    <w:qFormat/>
    <w:uiPriority w:val="0"/>
    <w:rPr>
      <w:b/>
      <w:bCs/>
      <w:kern w:val="2"/>
      <w:sz w:val="32"/>
      <w:szCs w:val="32"/>
    </w:rPr>
  </w:style>
  <w:style w:type="character" w:customStyle="1" w:styleId="47">
    <w:name w:val="批注文字 字符"/>
    <w:qFormat/>
    <w:uiPriority w:val="0"/>
    <w:rPr>
      <w:rFonts w:ascii="Times New Roman" w:hAnsi="Times New Roman"/>
      <w:kern w:val="2"/>
      <w:sz w:val="21"/>
    </w:rPr>
  </w:style>
  <w:style w:type="character" w:customStyle="1" w:styleId="48">
    <w:name w:val="标三级标题 字符"/>
    <w:link w:val="49"/>
    <w:qFormat/>
    <w:uiPriority w:val="0"/>
    <w:rPr>
      <w:b/>
      <w:bCs/>
      <w:color w:val="000000"/>
      <w:kern w:val="2"/>
      <w:sz w:val="24"/>
      <w:szCs w:val="24"/>
    </w:rPr>
  </w:style>
  <w:style w:type="paragraph" w:customStyle="1" w:styleId="49">
    <w:name w:val="标三级标题"/>
    <w:basedOn w:val="50"/>
    <w:link w:val="48"/>
    <w:qFormat/>
    <w:uiPriority w:val="0"/>
  </w:style>
  <w:style w:type="paragraph" w:customStyle="1" w:styleId="50">
    <w:name w:val="标书三级标题"/>
    <w:basedOn w:val="5"/>
    <w:link w:val="51"/>
    <w:qFormat/>
    <w:uiPriority w:val="0"/>
    <w:pPr>
      <w:spacing w:before="0" w:after="0" w:line="240" w:lineRule="auto"/>
      <w:ind w:firstLine="482" w:firstLineChars="200"/>
    </w:pPr>
    <w:rPr>
      <w:color w:val="000000"/>
      <w:sz w:val="24"/>
      <w:szCs w:val="24"/>
    </w:rPr>
  </w:style>
  <w:style w:type="character" w:customStyle="1" w:styleId="51">
    <w:name w:val="标书三级标题 字符"/>
    <w:link w:val="50"/>
    <w:qFormat/>
    <w:uiPriority w:val="0"/>
    <w:rPr>
      <w:b/>
      <w:bCs/>
      <w:color w:val="000000"/>
      <w:kern w:val="2"/>
      <w:sz w:val="24"/>
      <w:szCs w:val="24"/>
    </w:rPr>
  </w:style>
  <w:style w:type="character" w:customStyle="1" w:styleId="52">
    <w:name w:val="标正文 字符"/>
    <w:link w:val="53"/>
    <w:qFormat/>
    <w:uiPriority w:val="0"/>
    <w:rPr>
      <w:rFonts w:ascii="宋体" w:hAnsi="宋体"/>
      <w:color w:val="000000"/>
      <w:kern w:val="2"/>
      <w:sz w:val="24"/>
      <w:szCs w:val="24"/>
    </w:rPr>
  </w:style>
  <w:style w:type="paragraph" w:customStyle="1" w:styleId="53">
    <w:name w:val="标正文"/>
    <w:basedOn w:val="54"/>
    <w:link w:val="52"/>
    <w:qFormat/>
    <w:uiPriority w:val="0"/>
  </w:style>
  <w:style w:type="paragraph" w:customStyle="1" w:styleId="54">
    <w:name w:val="标书正文格式"/>
    <w:basedOn w:val="2"/>
    <w:link w:val="56"/>
    <w:qFormat/>
    <w:uiPriority w:val="0"/>
    <w:pPr>
      <w:spacing w:line="360" w:lineRule="auto"/>
      <w:ind w:firstLine="480" w:firstLineChars="200"/>
    </w:pPr>
    <w:rPr>
      <w:rFonts w:ascii="Times New Roman" w:hAnsi="Times New Roman" w:eastAsia="仿宋"/>
      <w:sz w:val="24"/>
      <w:szCs w:val="24"/>
    </w:rPr>
  </w:style>
  <w:style w:type="character" w:customStyle="1" w:styleId="55">
    <w:name w:val="纯文本 字符2"/>
    <w:link w:val="2"/>
    <w:qFormat/>
    <w:uiPriority w:val="0"/>
    <w:rPr>
      <w:rFonts w:ascii="宋体" w:hAnsi="Courier New" w:eastAsia="宋体"/>
      <w:kern w:val="2"/>
      <w:sz w:val="21"/>
      <w:lang w:val="en-US" w:eastAsia="zh-CN" w:bidi="ar-SA"/>
    </w:rPr>
  </w:style>
  <w:style w:type="character" w:customStyle="1" w:styleId="56">
    <w:name w:val="标书正文格式 字符"/>
    <w:link w:val="54"/>
    <w:qFormat/>
    <w:uiPriority w:val="0"/>
    <w:rPr>
      <w:rFonts w:eastAsia="仿宋"/>
      <w:kern w:val="2"/>
      <w:sz w:val="24"/>
      <w:szCs w:val="24"/>
    </w:rPr>
  </w:style>
  <w:style w:type="character" w:customStyle="1" w:styleId="57">
    <w:name w:val="批注框文本 字符"/>
    <w:link w:val="18"/>
    <w:qFormat/>
    <w:uiPriority w:val="0"/>
    <w:rPr>
      <w:kern w:val="2"/>
      <w:sz w:val="18"/>
      <w:szCs w:val="18"/>
    </w:rPr>
  </w:style>
  <w:style w:type="character" w:customStyle="1" w:styleId="58">
    <w:name w:val="日期 字符"/>
    <w:link w:val="16"/>
    <w:qFormat/>
    <w:uiPriority w:val="0"/>
    <w:rPr>
      <w:kern w:val="2"/>
      <w:sz w:val="24"/>
      <w:szCs w:val="24"/>
    </w:rPr>
  </w:style>
  <w:style w:type="character" w:customStyle="1" w:styleId="59">
    <w:name w:val="apple-converted-space"/>
    <w:basedOn w:val="34"/>
    <w:qFormat/>
    <w:uiPriority w:val="0"/>
  </w:style>
  <w:style w:type="character" w:customStyle="1" w:styleId="60">
    <w:name w:val="Char Char2"/>
    <w:qFormat/>
    <w:uiPriority w:val="0"/>
    <w:rPr>
      <w:rFonts w:ascii="宋体" w:hAnsi="Courier New" w:cs="宋体"/>
      <w:kern w:val="2"/>
      <w:sz w:val="21"/>
      <w:szCs w:val="21"/>
    </w:rPr>
  </w:style>
  <w:style w:type="character" w:customStyle="1" w:styleId="61">
    <w:name w:val="页眉 字符"/>
    <w:link w:val="20"/>
    <w:qFormat/>
    <w:uiPriority w:val="0"/>
    <w:rPr>
      <w:rFonts w:eastAsia="宋体"/>
      <w:kern w:val="2"/>
      <w:sz w:val="18"/>
      <w:szCs w:val="18"/>
      <w:lang w:val="en-US" w:eastAsia="zh-CN" w:bidi="ar-SA"/>
    </w:rPr>
  </w:style>
  <w:style w:type="character" w:customStyle="1" w:styleId="62">
    <w:name w:val="列表段落 字符"/>
    <w:link w:val="63"/>
    <w:qFormat/>
    <w:uiPriority w:val="34"/>
    <w:rPr>
      <w:rFonts w:ascii="Calibri" w:hAnsi="Calibri"/>
      <w:kern w:val="2"/>
      <w:sz w:val="21"/>
      <w:szCs w:val="22"/>
    </w:rPr>
  </w:style>
  <w:style w:type="paragraph" w:customStyle="1" w:styleId="63">
    <w:name w:val="列出段落1"/>
    <w:basedOn w:val="1"/>
    <w:link w:val="62"/>
    <w:qFormat/>
    <w:uiPriority w:val="34"/>
    <w:pPr>
      <w:ind w:firstLine="420" w:firstLineChars="200"/>
    </w:pPr>
    <w:rPr>
      <w:rFonts w:ascii="Calibri" w:hAnsi="Calibri"/>
      <w:szCs w:val="22"/>
    </w:rPr>
  </w:style>
  <w:style w:type="character" w:customStyle="1" w:styleId="64">
    <w:name w:val="文档结构图 字符"/>
    <w:link w:val="8"/>
    <w:qFormat/>
    <w:uiPriority w:val="0"/>
    <w:rPr>
      <w:kern w:val="2"/>
      <w:sz w:val="24"/>
      <w:szCs w:val="24"/>
      <w:shd w:val="clear" w:color="auto" w:fill="000080"/>
    </w:rPr>
  </w:style>
  <w:style w:type="character" w:customStyle="1" w:styleId="65">
    <w:name w:val="页脚 字符"/>
    <w:link w:val="19"/>
    <w:qFormat/>
    <w:uiPriority w:val="0"/>
    <w:rPr>
      <w:kern w:val="2"/>
      <w:sz w:val="18"/>
      <w:szCs w:val="18"/>
    </w:rPr>
  </w:style>
  <w:style w:type="character" w:customStyle="1" w:styleId="66">
    <w:name w:val="批注文字 字符2"/>
    <w:link w:val="10"/>
    <w:qFormat/>
    <w:uiPriority w:val="0"/>
    <w:rPr>
      <w:kern w:val="2"/>
      <w:sz w:val="21"/>
    </w:rPr>
  </w:style>
  <w:style w:type="character" w:customStyle="1" w:styleId="67">
    <w:name w:val="Char Char3"/>
    <w:qFormat/>
    <w:uiPriority w:val="0"/>
    <w:rPr>
      <w:rFonts w:ascii="宋体" w:hAnsi="Courier New" w:eastAsia="宋体"/>
      <w:kern w:val="2"/>
      <w:sz w:val="21"/>
      <w:lang w:val="en-US" w:eastAsia="zh-CN" w:bidi="ar-SA"/>
    </w:rPr>
  </w:style>
  <w:style w:type="character" w:customStyle="1" w:styleId="68">
    <w:name w:val="批注主题 字符"/>
    <w:link w:val="31"/>
    <w:qFormat/>
    <w:uiPriority w:val="0"/>
    <w:rPr>
      <w:b/>
      <w:bCs/>
      <w:kern w:val="2"/>
      <w:sz w:val="21"/>
    </w:rPr>
  </w:style>
  <w:style w:type="character" w:customStyle="1" w:styleId="69">
    <w:name w:val="纯文本 Char"/>
    <w:qFormat/>
    <w:uiPriority w:val="0"/>
    <w:rPr>
      <w:rFonts w:ascii="宋体" w:hAnsi="Courier New" w:eastAsia="宋体"/>
      <w:kern w:val="2"/>
      <w:sz w:val="21"/>
      <w:lang w:val="en-US" w:eastAsia="zh-CN" w:bidi="ar-SA"/>
    </w:rPr>
  </w:style>
  <w:style w:type="character" w:customStyle="1" w:styleId="70">
    <w:name w:val="标书一级标题 字符"/>
    <w:link w:val="71"/>
    <w:qFormat/>
    <w:uiPriority w:val="0"/>
    <w:rPr>
      <w:rFonts w:eastAsia="黑体"/>
      <w:bCs/>
      <w:color w:val="000000"/>
      <w:kern w:val="44"/>
      <w:sz w:val="30"/>
      <w:szCs w:val="24"/>
    </w:rPr>
  </w:style>
  <w:style w:type="paragraph" w:customStyle="1" w:styleId="71">
    <w:name w:val="标书一级标题"/>
    <w:basedOn w:val="3"/>
    <w:link w:val="70"/>
    <w:qFormat/>
    <w:uiPriority w:val="0"/>
    <w:pPr>
      <w:spacing w:before="0" w:after="0" w:line="240" w:lineRule="auto"/>
      <w:jc w:val="center"/>
    </w:pPr>
    <w:rPr>
      <w:rFonts w:eastAsia="黑体"/>
      <w:b w:val="0"/>
      <w:color w:val="000000"/>
      <w:sz w:val="30"/>
      <w:szCs w:val="24"/>
    </w:rPr>
  </w:style>
  <w:style w:type="character" w:customStyle="1" w:styleId="72">
    <w:name w:val="纯文本 字符"/>
    <w:qFormat/>
    <w:uiPriority w:val="0"/>
    <w:rPr>
      <w:rFonts w:ascii="宋体" w:hAnsi="Courier New" w:eastAsia="宋体" w:cs="Times New Roman"/>
      <w:szCs w:val="20"/>
    </w:rPr>
  </w:style>
  <w:style w:type="character" w:customStyle="1" w:styleId="73">
    <w:name w:val="BODY TEXT Char"/>
    <w:link w:val="74"/>
    <w:qFormat/>
    <w:uiPriority w:val="0"/>
    <w:rPr>
      <w:rFonts w:eastAsia="新宋体"/>
      <w:kern w:val="2"/>
      <w:sz w:val="21"/>
      <w:szCs w:val="21"/>
    </w:rPr>
  </w:style>
  <w:style w:type="paragraph" w:customStyle="1" w:styleId="74">
    <w:name w:val="正文文本1"/>
    <w:basedOn w:val="1"/>
    <w:link w:val="73"/>
    <w:qFormat/>
    <w:uiPriority w:val="0"/>
    <w:pPr>
      <w:adjustRightInd w:val="0"/>
      <w:spacing w:before="120" w:afterLines="50" w:line="280" w:lineRule="atLeast"/>
      <w:textAlignment w:val="baseline"/>
    </w:pPr>
    <w:rPr>
      <w:rFonts w:eastAsia="新宋体"/>
      <w:szCs w:val="21"/>
    </w:rPr>
  </w:style>
  <w:style w:type="character" w:customStyle="1" w:styleId="75">
    <w:name w:val="Char Char5"/>
    <w:qFormat/>
    <w:uiPriority w:val="0"/>
    <w:rPr>
      <w:rFonts w:ascii="宋体" w:hAnsi="Courier New" w:eastAsia="宋体"/>
      <w:kern w:val="2"/>
      <w:sz w:val="21"/>
      <w:lang w:val="en-US" w:eastAsia="zh-CN" w:bidi="ar-SA"/>
    </w:rPr>
  </w:style>
  <w:style w:type="character" w:customStyle="1" w:styleId="76">
    <w:name w:val="正文文本缩进 2 字符"/>
    <w:link w:val="17"/>
    <w:qFormat/>
    <w:uiPriority w:val="0"/>
    <w:rPr>
      <w:kern w:val="2"/>
      <w:sz w:val="21"/>
    </w:rPr>
  </w:style>
  <w:style w:type="character" w:customStyle="1" w:styleId="77">
    <w:name w:val="正文文本缩进 3 字符"/>
    <w:link w:val="25"/>
    <w:qFormat/>
    <w:uiPriority w:val="0"/>
    <w:rPr>
      <w:kern w:val="2"/>
      <w:sz w:val="16"/>
      <w:szCs w:val="16"/>
    </w:rPr>
  </w:style>
  <w:style w:type="character" w:customStyle="1" w:styleId="78">
    <w:name w:val="标题 字符"/>
    <w:link w:val="30"/>
    <w:qFormat/>
    <w:uiPriority w:val="0"/>
    <w:rPr>
      <w:rFonts w:ascii="Arial" w:hAnsi="Arial" w:cs="Arial"/>
      <w:b/>
      <w:bCs/>
      <w:kern w:val="2"/>
      <w:sz w:val="32"/>
      <w:szCs w:val="32"/>
    </w:rPr>
  </w:style>
  <w:style w:type="character" w:customStyle="1" w:styleId="79">
    <w:name w:val="标书二级标题 字符"/>
    <w:link w:val="80"/>
    <w:qFormat/>
    <w:uiPriority w:val="0"/>
    <w:rPr>
      <w:rFonts w:ascii="宋体" w:hAnsi="宋体" w:eastAsia="黑体"/>
      <w:bCs/>
      <w:kern w:val="2"/>
      <w:sz w:val="28"/>
      <w:szCs w:val="30"/>
    </w:rPr>
  </w:style>
  <w:style w:type="paragraph" w:customStyle="1" w:styleId="80">
    <w:name w:val="标书二级标题"/>
    <w:basedOn w:val="4"/>
    <w:link w:val="79"/>
    <w:qFormat/>
    <w:uiPriority w:val="0"/>
    <w:pPr>
      <w:spacing w:before="0" w:after="0" w:line="240" w:lineRule="auto"/>
      <w:jc w:val="left"/>
    </w:pPr>
    <w:rPr>
      <w:rFonts w:ascii="宋体" w:hAnsi="宋体"/>
      <w:b w:val="0"/>
      <w:sz w:val="28"/>
      <w:szCs w:val="30"/>
    </w:rPr>
  </w:style>
  <w:style w:type="character" w:customStyle="1" w:styleId="81">
    <w:name w:val="页眉 Char"/>
    <w:basedOn w:val="34"/>
    <w:qFormat/>
    <w:uiPriority w:val="99"/>
  </w:style>
  <w:style w:type="character" w:customStyle="1" w:styleId="82">
    <w:name w:val="HTML Markup"/>
    <w:qFormat/>
    <w:uiPriority w:val="0"/>
    <w:rPr>
      <w:vanish/>
      <w:color w:val="FF0000"/>
    </w:rPr>
  </w:style>
  <w:style w:type="character" w:customStyle="1" w:styleId="83">
    <w:name w:val="标书表格 字符"/>
    <w:link w:val="84"/>
    <w:qFormat/>
    <w:uiPriority w:val="0"/>
    <w:rPr>
      <w:rFonts w:eastAsia="仿宋"/>
      <w:b/>
      <w:kern w:val="2"/>
      <w:sz w:val="21"/>
    </w:rPr>
  </w:style>
  <w:style w:type="paragraph" w:customStyle="1" w:styleId="84">
    <w:name w:val="标书表格"/>
    <w:basedOn w:val="1"/>
    <w:link w:val="83"/>
    <w:qFormat/>
    <w:uiPriority w:val="0"/>
    <w:pPr>
      <w:jc w:val="center"/>
    </w:pPr>
    <w:rPr>
      <w:rFonts w:eastAsia="仿宋"/>
      <w:b/>
    </w:rPr>
  </w:style>
  <w:style w:type="paragraph" w:customStyle="1" w:styleId="8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86">
    <w:name w:val="Pied"/>
    <w:basedOn w:val="1"/>
    <w:qFormat/>
    <w:uiPriority w:val="0"/>
    <w:pPr>
      <w:tabs>
        <w:tab w:val="center" w:pos="4252"/>
        <w:tab w:val="right" w:pos="8504"/>
      </w:tabs>
      <w:ind w:left="284" w:right="284"/>
      <w:jc w:val="center"/>
    </w:pPr>
    <w:rPr>
      <w:b/>
      <w:color w:val="000000"/>
      <w:sz w:val="16"/>
      <w:szCs w:val="24"/>
      <w:lang w:val="fr-FR" w:eastAsia="fr-FR"/>
    </w:rPr>
  </w:style>
  <w:style w:type="paragraph" w:customStyle="1" w:styleId="87">
    <w:name w:val="Char Char Char Char Char Char Char"/>
    <w:basedOn w:val="1"/>
    <w:qFormat/>
    <w:uiPriority w:val="0"/>
    <w:rPr>
      <w:rFonts w:ascii="Verdana" w:hAnsi="Verdana"/>
      <w:kern w:val="0"/>
      <w:sz w:val="20"/>
      <w:lang w:eastAsia="en-US"/>
    </w:rPr>
  </w:style>
  <w:style w:type="paragraph" w:customStyle="1" w:styleId="88">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89">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szCs w:val="22"/>
    </w:rPr>
  </w:style>
  <w:style w:type="paragraph" w:customStyle="1" w:styleId="90">
    <w:name w:val="列出段落11"/>
    <w:basedOn w:val="1"/>
    <w:qFormat/>
    <w:uiPriority w:val="0"/>
    <w:pPr>
      <w:ind w:firstLine="420" w:firstLineChars="200"/>
    </w:pPr>
    <w:rPr>
      <w:rFonts w:ascii="Calibri" w:hAnsi="Calibri"/>
      <w:szCs w:val="22"/>
    </w:rPr>
  </w:style>
  <w:style w:type="paragraph" w:customStyle="1" w:styleId="91">
    <w:name w:val="1列"/>
    <w:basedOn w:val="1"/>
    <w:qFormat/>
    <w:uiPriority w:val="0"/>
    <w:pPr>
      <w:spacing w:line="360" w:lineRule="auto"/>
      <w:ind w:left="401" w:hanging="401" w:hangingChars="191"/>
    </w:pPr>
    <w:rPr>
      <w:szCs w:val="24"/>
    </w:rPr>
  </w:style>
  <w:style w:type="paragraph" w:customStyle="1" w:styleId="92">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93">
    <w:name w:val="二级列表 Char"/>
    <w:basedOn w:val="1"/>
    <w:qFormat/>
    <w:uiPriority w:val="0"/>
    <w:rPr>
      <w:rFonts w:ascii="Calibri" w:hAnsi="Calibri"/>
    </w:rPr>
  </w:style>
  <w:style w:type="paragraph" w:customStyle="1" w:styleId="9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95">
    <w:name w:val="Char Char3 Char Char Char Char Char Char Char"/>
    <w:basedOn w:val="1"/>
    <w:qFormat/>
    <w:uiPriority w:val="0"/>
    <w:pPr>
      <w:widowControl/>
      <w:tabs>
        <w:tab w:val="left" w:pos="425"/>
      </w:tabs>
      <w:spacing w:after="160" w:line="240" w:lineRule="exact"/>
      <w:ind w:left="425" w:hanging="425"/>
      <w:jc w:val="left"/>
    </w:pPr>
    <w:rPr>
      <w:rFonts w:ascii="Verdana" w:hAnsi="Verdana"/>
      <w:kern w:val="0"/>
      <w:sz w:val="20"/>
      <w:lang w:eastAsia="en-US"/>
    </w:rPr>
  </w:style>
  <w:style w:type="character" w:customStyle="1" w:styleId="96">
    <w:name w:val="纯文本 字符1"/>
    <w:qFormat/>
    <w:uiPriority w:val="0"/>
    <w:rPr>
      <w:rFonts w:ascii="宋体" w:hAnsi="Courier New" w:eastAsia="宋体"/>
      <w:kern w:val="2"/>
      <w:sz w:val="21"/>
      <w:lang w:val="en-US" w:eastAsia="zh-CN" w:bidi="ar-SA"/>
    </w:rPr>
  </w:style>
  <w:style w:type="character" w:customStyle="1" w:styleId="97">
    <w:name w:val="批注文字 字符1"/>
    <w:qFormat/>
    <w:uiPriority w:val="0"/>
    <w:rPr>
      <w:kern w:val="2"/>
      <w:sz w:val="21"/>
    </w:rPr>
  </w:style>
  <w:style w:type="paragraph" w:customStyle="1" w:styleId="98">
    <w:name w:val="正文文本2"/>
    <w:basedOn w:val="1"/>
    <w:qFormat/>
    <w:uiPriority w:val="0"/>
    <w:pPr>
      <w:adjustRightInd w:val="0"/>
      <w:spacing w:before="120" w:afterLines="50" w:line="280" w:lineRule="atLeast"/>
      <w:textAlignment w:val="baseline"/>
    </w:pPr>
    <w:rPr>
      <w:rFonts w:eastAsia="新宋体"/>
      <w:szCs w:val="21"/>
    </w:rPr>
  </w:style>
  <w:style w:type="paragraph" w:customStyle="1" w:styleId="99">
    <w:name w:val="修订1"/>
    <w:hidden/>
    <w:semiHidden/>
    <w:qFormat/>
    <w:uiPriority w:val="99"/>
    <w:rPr>
      <w:rFonts w:ascii="Times New Roman" w:hAnsi="Times New Roman" w:eastAsia="宋体" w:cs="Times New Roman"/>
      <w:kern w:val="2"/>
      <w:sz w:val="21"/>
      <w:lang w:val="en-US" w:eastAsia="zh-CN" w:bidi="ar-SA"/>
    </w:rPr>
  </w:style>
  <w:style w:type="character" w:customStyle="1" w:styleId="100">
    <w:name w:val="font21"/>
    <w:basedOn w:val="34"/>
    <w:qFormat/>
    <w:uiPriority w:val="0"/>
    <w:rPr>
      <w:rFonts w:hint="eastAsia" w:ascii="仿宋" w:hAnsi="仿宋" w:eastAsia="仿宋" w:cs="仿宋"/>
      <w:color w:val="000000"/>
      <w:sz w:val="24"/>
      <w:szCs w:val="24"/>
      <w:u w:val="none"/>
    </w:rPr>
  </w:style>
  <w:style w:type="character" w:customStyle="1" w:styleId="101">
    <w:name w:val="font11"/>
    <w:basedOn w:val="34"/>
    <w:qFormat/>
    <w:uiPriority w:val="0"/>
    <w:rPr>
      <w:rFonts w:hint="default" w:ascii="Times New Roman" w:hAnsi="Times New Roman" w:cs="Times New Roman"/>
      <w:color w:val="000000"/>
      <w:sz w:val="24"/>
      <w:szCs w:val="24"/>
      <w:u w:val="none"/>
    </w:rPr>
  </w:style>
  <w:style w:type="character" w:customStyle="1" w:styleId="102">
    <w:name w:val="font01"/>
    <w:basedOn w:val="34"/>
    <w:qFormat/>
    <w:uiPriority w:val="0"/>
    <w:rPr>
      <w:rFonts w:hint="eastAsia" w:ascii="宋体" w:hAnsi="宋体" w:eastAsia="宋体" w:cs="宋体"/>
      <w:color w:val="000000"/>
      <w:sz w:val="24"/>
      <w:szCs w:val="24"/>
      <w:u w:val="none"/>
    </w:rPr>
  </w:style>
  <w:style w:type="character" w:customStyle="1" w:styleId="103">
    <w:name w:val="font51"/>
    <w:basedOn w:val="34"/>
    <w:qFormat/>
    <w:uiPriority w:val="0"/>
    <w:rPr>
      <w:rFonts w:ascii="Arial" w:hAnsi="Arial" w:cs="Arial"/>
      <w:color w:val="000000"/>
      <w:sz w:val="24"/>
      <w:szCs w:val="24"/>
      <w:u w:val="none"/>
    </w:rPr>
  </w:style>
  <w:style w:type="character" w:customStyle="1" w:styleId="104">
    <w:name w:val="cke_path_empty"/>
    <w:basedOn w:val="34"/>
    <w:qFormat/>
    <w:uiPriority w:val="0"/>
    <w:rPr>
      <w:b/>
      <w:color w:val="484848"/>
      <w:sz w:val="8"/>
      <w:szCs w:val="8"/>
      <w:u w:val="none"/>
    </w:rPr>
  </w:style>
  <w:style w:type="character" w:customStyle="1" w:styleId="105">
    <w:name w:val="wea-thumbnails-doc-content-subtitle"/>
    <w:basedOn w:val="34"/>
    <w:qFormat/>
    <w:uiPriority w:val="0"/>
    <w:rPr>
      <w:color w:val="9A9A9A"/>
    </w:rPr>
  </w:style>
  <w:style w:type="character" w:customStyle="1" w:styleId="106">
    <w:name w:val="cke_notification_progress"/>
    <w:basedOn w:val="34"/>
    <w:qFormat/>
    <w:uiPriority w:val="0"/>
    <w:rPr>
      <w:shd w:val="clear" w:color="auto" w:fill="0F74A8"/>
    </w:rPr>
  </w:style>
  <w:style w:type="character" w:customStyle="1" w:styleId="107">
    <w:name w:val="ant-select-tree-checkbox"/>
    <w:basedOn w:val="34"/>
    <w:qFormat/>
    <w:uiPriority w:val="0"/>
  </w:style>
  <w:style w:type="character" w:customStyle="1" w:styleId="108">
    <w:name w:val="ant-select-tree-iconele"/>
    <w:basedOn w:val="34"/>
    <w:qFormat/>
    <w:uiPriority w:val="0"/>
  </w:style>
  <w:style w:type="character" w:customStyle="1" w:styleId="109">
    <w:name w:val="ant-select-tree-switcher"/>
    <w:basedOn w:val="34"/>
    <w:qFormat/>
    <w:uiPriority w:val="0"/>
  </w:style>
  <w:style w:type="character" w:customStyle="1" w:styleId="110">
    <w:name w:val="tmpztreemove_arrow"/>
    <w:basedOn w:val="34"/>
    <w:qFormat/>
    <w:uiPriority w:val="0"/>
  </w:style>
  <w:style w:type="character" w:customStyle="1" w:styleId="111">
    <w:name w:val="ant-radio+*"/>
    <w:basedOn w:val="34"/>
    <w:qFormat/>
    <w:uiPriority w:val="0"/>
  </w:style>
  <w:style w:type="character" w:customStyle="1" w:styleId="112">
    <w:name w:val="isrevision"/>
    <w:basedOn w:val="34"/>
    <w:qFormat/>
    <w:uiPriority w:val="0"/>
    <w:rPr>
      <w:color w:val="000000"/>
      <w:sz w:val="9"/>
      <w:szCs w:val="9"/>
      <w:bdr w:val="single" w:color="E9E9E9" w:sz="2" w:space="0"/>
      <w:shd w:val="clear" w:color="auto" w:fill="FFFFFF"/>
    </w:rPr>
  </w:style>
  <w:style w:type="character" w:customStyle="1" w:styleId="113">
    <w:name w:val="cke_dialog_ui_button2"/>
    <w:basedOn w:val="34"/>
    <w:qFormat/>
    <w:uiPriority w:val="0"/>
  </w:style>
  <w:style w:type="character" w:customStyle="1" w:styleId="114">
    <w:name w:val="current-node"/>
    <w:basedOn w:val="34"/>
    <w:qFormat/>
    <w:uiPriority w:val="0"/>
    <w:rPr>
      <w:bdr w:val="single" w:color="F5B87B" w:sz="2" w:space="0"/>
      <w:shd w:val="clear" w:color="auto" w:fill="FFE8CC"/>
    </w:rPr>
  </w:style>
  <w:style w:type="character" w:customStyle="1" w:styleId="115">
    <w:name w:val="wea-dropdown-triangle2"/>
    <w:basedOn w:val="34"/>
    <w:qFormat/>
    <w:uiPriority w:val="0"/>
  </w:style>
  <w:style w:type="character" w:customStyle="1" w:styleId="116">
    <w:name w:val="ant-tree-checkbox8"/>
    <w:basedOn w:val="34"/>
    <w:qFormat/>
    <w:uiPriority w:val="0"/>
  </w:style>
  <w:style w:type="character" w:customStyle="1" w:styleId="117">
    <w:name w:val="ant-tree-iconele"/>
    <w:basedOn w:val="34"/>
    <w:qFormat/>
    <w:uiPriority w:val="0"/>
  </w:style>
  <w:style w:type="character" w:customStyle="1" w:styleId="118">
    <w:name w:val="ant-tree-switcher10"/>
    <w:basedOn w:val="34"/>
    <w:qFormat/>
    <w:uiPriority w:val="0"/>
  </w:style>
  <w:style w:type="character" w:customStyle="1" w:styleId="119">
    <w:name w:val="passed-node"/>
    <w:basedOn w:val="34"/>
    <w:qFormat/>
    <w:uiPriority w:val="0"/>
    <w:rPr>
      <w:bdr w:val="single" w:color="49A8D4" w:sz="2" w:space="0"/>
      <w:shd w:val="clear" w:color="auto" w:fill="A9E3FF"/>
    </w:rPr>
  </w:style>
  <w:style w:type="character" w:customStyle="1" w:styleId="120">
    <w:name w:val="first-of-type"/>
    <w:basedOn w:val="34"/>
    <w:qFormat/>
    <w:uiPriority w:val="0"/>
    <w:rPr>
      <w:color w:val="FF0000"/>
    </w:rPr>
  </w:style>
  <w:style w:type="character" w:customStyle="1" w:styleId="121">
    <w:name w:val="first-of-type1"/>
    <w:basedOn w:val="34"/>
    <w:qFormat/>
    <w:uiPriority w:val="0"/>
    <w:rPr>
      <w:color w:val="FF0000"/>
    </w:rPr>
  </w:style>
  <w:style w:type="character" w:customStyle="1" w:styleId="122">
    <w:name w:val="disabled4"/>
    <w:basedOn w:val="34"/>
    <w:qFormat/>
    <w:uiPriority w:val="0"/>
    <w:rPr>
      <w:color w:val="AAAAAA"/>
      <w:shd w:val="clear" w:color="auto" w:fill="F7F7F7"/>
    </w:rPr>
  </w:style>
  <w:style w:type="character" w:customStyle="1" w:styleId="123">
    <w:name w:val="auto-pass-node"/>
    <w:basedOn w:val="34"/>
    <w:qFormat/>
    <w:uiPriority w:val="0"/>
    <w:rPr>
      <w:bdr w:val="single" w:color="DC4446" w:sz="2" w:space="0"/>
      <w:shd w:val="clear" w:color="auto" w:fill="A9E2FF"/>
    </w:rPr>
  </w:style>
  <w:style w:type="character" w:customStyle="1" w:styleId="124">
    <w:name w:val="button"/>
    <w:basedOn w:val="34"/>
    <w:qFormat/>
    <w:uiPriority w:val="0"/>
  </w:style>
  <w:style w:type="character" w:customStyle="1" w:styleId="125">
    <w:name w:val="button1"/>
    <w:basedOn w:val="34"/>
    <w:qFormat/>
    <w:uiPriority w:val="0"/>
  </w:style>
  <w:style w:type="character" w:customStyle="1" w:styleId="126">
    <w:name w:val="hover35"/>
    <w:basedOn w:val="34"/>
    <w:qFormat/>
    <w:uiPriority w:val="0"/>
    <w:rPr>
      <w:color w:val="009DFF"/>
    </w:rPr>
  </w:style>
  <w:style w:type="character" w:customStyle="1" w:styleId="127">
    <w:name w:val="hover36"/>
    <w:basedOn w:val="34"/>
    <w:qFormat/>
    <w:uiPriority w:val="0"/>
    <w:rPr>
      <w:color w:val="009DFF"/>
    </w:rPr>
  </w:style>
  <w:style w:type="character" w:customStyle="1" w:styleId="128">
    <w:name w:val="not-pass-node"/>
    <w:basedOn w:val="34"/>
    <w:qFormat/>
    <w:uiPriority w:val="0"/>
    <w:rPr>
      <w:bdr w:val="single" w:color="5ABD6B" w:sz="2" w:space="0"/>
      <w:shd w:val="clear" w:color="auto" w:fill="BFF3C3"/>
    </w:rPr>
  </w:style>
  <w:style w:type="character" w:customStyle="1" w:styleId="129">
    <w:name w:val="cke_colorbox"/>
    <w:basedOn w:val="34"/>
    <w:qFormat/>
    <w:uiPriority w:val="0"/>
    <w:rPr>
      <w:bdr w:val="single" w:color="808080" w:sz="2" w:space="0"/>
    </w:rPr>
  </w:style>
  <w:style w:type="character" w:customStyle="1" w:styleId="130">
    <w:name w:val="cke_colorbox1"/>
    <w:basedOn w:val="34"/>
    <w:qFormat/>
    <w:uiPriority w:val="0"/>
  </w:style>
  <w:style w:type="character" w:customStyle="1" w:styleId="131">
    <w:name w:val="cke_colorbox2"/>
    <w:basedOn w:val="34"/>
    <w:qFormat/>
    <w:uiPriority w:val="0"/>
  </w:style>
  <w:style w:type="character" w:customStyle="1" w:styleId="132">
    <w:name w:val="cke_colorbox3"/>
    <w:basedOn w:val="34"/>
    <w:qFormat/>
    <w:uiPriority w:val="0"/>
  </w:style>
  <w:style w:type="character" w:customStyle="1" w:styleId="133">
    <w:name w:val="ant-table-row-expand-icon4"/>
    <w:basedOn w:val="34"/>
    <w:qFormat/>
    <w:uiPriority w:val="0"/>
    <w:rPr>
      <w:vanish/>
    </w:rPr>
  </w:style>
  <w:style w:type="character" w:customStyle="1" w:styleId="134">
    <w:name w:val="hover"/>
    <w:basedOn w:val="34"/>
    <w:qFormat/>
    <w:uiPriority w:val="0"/>
    <w:rPr>
      <w:color w:val="009DFF"/>
    </w:rPr>
  </w:style>
  <w:style w:type="character" w:customStyle="1" w:styleId="135">
    <w:name w:val="hover1"/>
    <w:basedOn w:val="34"/>
    <w:qFormat/>
    <w:uiPriority w:val="0"/>
    <w:rPr>
      <w:color w:val="009DFF"/>
    </w:rPr>
  </w:style>
  <w:style w:type="character" w:customStyle="1" w:styleId="136">
    <w:name w:val="cke_colorbox4"/>
    <w:basedOn w:val="34"/>
    <w:qFormat/>
    <w:uiPriority w:val="0"/>
  </w:style>
  <w:style w:type="character" w:customStyle="1" w:styleId="137">
    <w:name w:val="cke_colorbox5"/>
    <w:basedOn w:val="34"/>
    <w:qFormat/>
    <w:uiPriority w:val="0"/>
    <w:rPr>
      <w:bdr w:val="single" w:color="808080" w:sz="2" w:space="0"/>
    </w:rPr>
  </w:style>
  <w:style w:type="character" w:customStyle="1" w:styleId="138">
    <w:name w:val="ant-select-tree-checkbox2"/>
    <w:basedOn w:val="34"/>
    <w:qFormat/>
    <w:uiPriority w:val="0"/>
  </w:style>
  <w:style w:type="character" w:customStyle="1" w:styleId="139">
    <w:name w:val="cke_dialog_ui_button"/>
    <w:basedOn w:val="34"/>
    <w:qFormat/>
    <w:uiPriority w:val="0"/>
  </w:style>
  <w:style w:type="character" w:customStyle="1" w:styleId="140">
    <w:name w:val="cke_path_empty2"/>
    <w:basedOn w:val="34"/>
    <w:qFormat/>
    <w:uiPriority w:val="0"/>
    <w:rPr>
      <w:b/>
      <w:color w:val="484848"/>
      <w:sz w:val="8"/>
      <w:szCs w:val="8"/>
      <w:u w:val="none"/>
    </w:rPr>
  </w:style>
  <w:style w:type="character" w:customStyle="1" w:styleId="141">
    <w:name w:val="wea-dropdown-triangle"/>
    <w:basedOn w:val="34"/>
    <w:qFormat/>
    <w:uiPriority w:val="0"/>
  </w:style>
  <w:style w:type="character" w:customStyle="1" w:styleId="142">
    <w:name w:val="ant-tree-switcher"/>
    <w:basedOn w:val="34"/>
    <w:qFormat/>
    <w:uiPriority w:val="0"/>
  </w:style>
  <w:style w:type="character" w:customStyle="1" w:styleId="143">
    <w:name w:val="disabled"/>
    <w:basedOn w:val="34"/>
    <w:qFormat/>
    <w:uiPriority w:val="0"/>
    <w:rPr>
      <w:color w:val="AAAAAA"/>
      <w:shd w:val="clear" w:color="auto" w:fill="F7F7F7"/>
    </w:rPr>
  </w:style>
  <w:style w:type="character" w:customStyle="1" w:styleId="144">
    <w:name w:val="cke_dialog_ui_button1"/>
    <w:basedOn w:val="34"/>
    <w:qFormat/>
    <w:uiPriority w:val="0"/>
  </w:style>
  <w:style w:type="character" w:styleId="145">
    <w:name w:val="Placeholder Text"/>
    <w:basedOn w:val="34"/>
    <w:semiHidden/>
    <w:qFormat/>
    <w:uiPriority w:val="99"/>
    <w:rPr>
      <w:color w:val="808080"/>
    </w:rPr>
  </w:style>
  <w:style w:type="paragraph" w:styleId="14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1026"/>
    <customShpInfo spid="_x0000_s4125"/>
    <customShpInfo spid="_x0000_s4126"/>
    <customShpInfo spid="_x0000_s4127"/>
    <customShpInfo spid="_x0000_s4128"/>
    <customShpInfo spid="_x0000_s4129"/>
    <customShpInfo spid="_x0000_s4130"/>
    <customShpInfo spid="_x0000_s4131"/>
    <customShpInfo spid="_x0000_s4132"/>
    <customShpInfo spid="_x0000_s4133"/>
    <customShpInfo spid="_x0000_s4134"/>
    <customShpInfo spid="_x0000_s4135"/>
    <customShpInfo spid="_x0000_s4136"/>
    <customShpInfo spid="_x0000_s4137"/>
    <customShpInfo spid="_x0000_s4138"/>
    <customShpInfo spid="_x0000_s4139"/>
    <customShpInfo spid="_x0000_s4140"/>
    <customShpInfo spid="_x0000_s4141"/>
    <customShpInfo spid="_x0000_s4142"/>
    <customShpInfo spid="_x0000_s4143"/>
    <customShpInfo spid="_x0000_s4144"/>
    <customShpInfo spid="_x0000_s4145"/>
    <customShpInfo spid="_x0000_s4146"/>
    <customShpInfo spid="_x0000_s4147"/>
    <customShpInfo spid="_x0000_s4148"/>
    <customShpInfo spid="_x0000_s4149"/>
    <customShpInfo spid="_x0000_s4150"/>
    <customShpInfo spid="_x0000_s4151"/>
    <customShpInfo spid="_x0000_s41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16166</Words>
  <Characters>16804</Characters>
  <Lines>129</Lines>
  <Paragraphs>36</Paragraphs>
  <TotalTime>18</TotalTime>
  <ScaleCrop>false</ScaleCrop>
  <LinksUpToDate>false</LinksUpToDate>
  <CharactersWithSpaces>19195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2021-07-17T16:43:00Z</dcterms:created>
  <dc:creator>微软用户</dc:creator>
  <cp:lastModifiedBy>王佳</cp:lastModifiedBy>
  <cp:lastPrinted>2022-10-22T10:18:00Z</cp:lastPrinted>
  <dcterms:modified xsi:type="dcterms:W3CDTF">2022-10-28T09:00:33Z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0A743FCD6CB0441AAE3D82CB5DB8C245</vt:lpwstr>
  </property>
</Properties>
</file>