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Calibri" w:eastAsia="宋体" w:cs="Times New Roman"/>
          <w:color w:val="000000"/>
          <w:sz w:val="30"/>
          <w:szCs w:val="30"/>
        </w:rPr>
      </w:pPr>
      <w:bookmarkStart w:id="0" w:name="OLE_LINK31"/>
      <w:bookmarkStart w:id="1" w:name="OLE_LINK30"/>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eastAsia" w:ascii="Calibri" w:hAnsi="宋体" w:eastAsia="宋体" w:cs="Times New Roman"/>
          <w:b/>
          <w:bCs/>
          <w:color w:val="auto"/>
          <w:spacing w:val="-8"/>
          <w:sz w:val="48"/>
          <w:szCs w:val="44"/>
          <w:lang w:eastAsia="zh-CN"/>
        </w:rPr>
      </w:pPr>
      <w:r>
        <w:rPr>
          <w:rFonts w:hint="eastAsia" w:ascii="Calibri" w:hAnsi="宋体" w:eastAsia="宋体" w:cs="Times New Roman"/>
          <w:b/>
          <w:bCs/>
          <w:color w:val="auto"/>
          <w:spacing w:val="-8"/>
          <w:sz w:val="48"/>
          <w:szCs w:val="44"/>
          <w:lang w:eastAsia="zh-CN"/>
        </w:rPr>
        <w:t>整车道路性能测试系统</w:t>
      </w:r>
    </w:p>
    <w:p>
      <w:pPr>
        <w:spacing w:line="276" w:lineRule="auto"/>
        <w:jc w:val="center"/>
        <w:rPr>
          <w:rFonts w:ascii="Calibri" w:hAnsi="Calibri" w:eastAsia="宋体" w:cs="Times New Roman"/>
          <w:b/>
          <w:bCs/>
          <w:color w:val="auto"/>
          <w:spacing w:val="-8"/>
          <w:sz w:val="48"/>
          <w:szCs w:val="44"/>
        </w:rPr>
      </w:pPr>
      <w:r>
        <w:rPr>
          <w:rFonts w:hint="eastAsia" w:ascii="Calibri" w:hAnsi="宋体" w:eastAsia="宋体" w:cs="Times New Roman"/>
          <w:b/>
          <w:bCs/>
          <w:color w:val="auto"/>
          <w:spacing w:val="-8"/>
          <w:sz w:val="48"/>
          <w:szCs w:val="44"/>
        </w:rPr>
        <w:t xml:space="preserve">招标项目 </w:t>
      </w:r>
      <w:r>
        <w:rPr>
          <w:rFonts w:ascii="Calibri" w:hAnsi="Calibri" w:eastAsia="宋体" w:cs="Times New Roman"/>
          <w:b/>
          <w:bCs/>
          <w:color w:val="auto"/>
          <w:spacing w:val="-8"/>
          <w:sz w:val="48"/>
          <w:szCs w:val="44"/>
        </w:rPr>
        <w:t xml:space="preserve"> </w:t>
      </w:r>
    </w:p>
    <w:p>
      <w:pPr>
        <w:jc w:val="right"/>
        <w:rPr>
          <w:rFonts w:hint="eastAsia" w:ascii="Calibri" w:hAnsi="Calibri" w:eastAsia="宋体" w:cs="Times New Roman"/>
          <w:color w:val="000000"/>
          <w:sz w:val="28"/>
          <w:szCs w:val="28"/>
          <w:lang w:eastAsia="zh-CN"/>
        </w:rPr>
      </w:pPr>
      <w:r>
        <w:rPr>
          <w:rFonts w:hint="eastAsia" w:ascii="Calibri" w:hAnsi="Calibri" w:eastAsia="宋体" w:cs="Times New Roman"/>
          <w:color w:val="000000"/>
          <w:sz w:val="28"/>
          <w:szCs w:val="28"/>
          <w:lang w:val="en-US" w:eastAsia="zh-CN"/>
        </w:rPr>
        <w:t xml:space="preserve">                            </w:t>
      </w:r>
    </w:p>
    <w:p>
      <w:pPr>
        <w:pStyle w:val="16"/>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6"/>
        <w:rPr>
          <w:rFonts w:hint="eastAsia"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4月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投标须知前附表</w:t>
          </w:r>
          <w:r>
            <w:rPr>
              <w:color w:val="auto"/>
              <w:sz w:val="32"/>
              <w:szCs w:val="32"/>
            </w:rPr>
            <w:tab/>
          </w:r>
          <w:r>
            <w:rPr>
              <w:color w:val="auto"/>
              <w:sz w:val="32"/>
              <w:szCs w:val="32"/>
            </w:rPr>
            <w:fldChar w:fldCharType="end"/>
          </w:r>
          <w:r>
            <w:rPr>
              <w:rFonts w:hint="eastAsia"/>
              <w:color w:val="auto"/>
              <w:sz w:val="32"/>
              <w:szCs w:val="32"/>
            </w:rPr>
            <w:t>3</w:t>
          </w:r>
        </w:p>
        <w:p>
          <w:pPr>
            <w:pStyle w:val="23"/>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投标须知</w:t>
          </w:r>
          <w:r>
            <w:rPr>
              <w:color w:val="auto"/>
              <w:sz w:val="32"/>
              <w:szCs w:val="32"/>
            </w:rPr>
            <w:tab/>
          </w:r>
          <w:r>
            <w:rPr>
              <w:color w:val="auto"/>
              <w:sz w:val="32"/>
              <w:szCs w:val="32"/>
            </w:rPr>
            <w:fldChar w:fldCharType="end"/>
          </w:r>
          <w:r>
            <w:rPr>
              <w:rFonts w:hint="eastAsia"/>
              <w:color w:val="auto"/>
              <w:sz w:val="32"/>
              <w:szCs w:val="32"/>
            </w:rPr>
            <w:t>7</w:t>
          </w:r>
        </w:p>
        <w:p>
          <w:pPr>
            <w:pStyle w:val="23"/>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3"/>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3"/>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40</w:t>
          </w:r>
        </w:p>
        <w:p>
          <w:pPr>
            <w:pStyle w:val="23"/>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52</w:t>
          </w:r>
        </w:p>
        <w:p>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6"/>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6"/>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本表是对“投标须知”正文的具体补充和修改，如有不一致，以“前附表”为准。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27"/>
              <w:jc w:val="center"/>
              <w:rPr>
                <w:rFonts w:hAnsi="宋体"/>
                <w:b/>
                <w:bCs/>
                <w:sz w:val="24"/>
                <w:szCs w:val="24"/>
              </w:rPr>
            </w:pPr>
            <w:r>
              <w:rPr>
                <w:rFonts w:hint="eastAsia" w:ascii="宋体" w:hAnsi="宋体" w:eastAsia="宋体" w:cs="宋体"/>
                <w:b/>
                <w:bCs/>
                <w:sz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color w:val="000000"/>
                <w:sz w:val="24"/>
                <w:szCs w:val="24"/>
                <w:u w:val="single"/>
              </w:rPr>
              <w:t>中国重汽集团济南动力有限公司</w:t>
            </w:r>
            <w:r>
              <w:rPr>
                <w:rFonts w:hint="eastAsia" w:ascii="宋体" w:hAnsi="宋体" w:eastAsia="宋体" w:cs="宋体"/>
                <w:b/>
                <w:bCs/>
                <w:sz w:val="24"/>
                <w:szCs w:val="24"/>
                <w:highlight w:val="yellow"/>
                <w:u w:val="single"/>
                <w:lang w:eastAsia="zh-CN"/>
              </w:rPr>
              <w:t>整车道路性能测试系统采购项目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eastAsia="zh-CN"/>
              </w:rPr>
              <w:t>CGZX2023040148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color w:val="000000"/>
                <w:sz w:val="24"/>
                <w:szCs w:val="24"/>
                <w:u w:val="single"/>
                <w:lang w:eastAsia="zh-CN"/>
              </w:rPr>
              <w:t>整车道路性能测试系统</w:t>
            </w:r>
            <w:r>
              <w:rPr>
                <w:rFonts w:hint="eastAsia" w:ascii="宋体" w:hAnsi="宋体" w:eastAsia="宋体" w:cs="宋体"/>
                <w:color w:val="000000"/>
                <w:sz w:val="24"/>
                <w:szCs w:val="24"/>
                <w:u w:val="single"/>
              </w:rPr>
              <w:t>1套及其他配件等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济南市高新区华奥路777号 </w:t>
            </w:r>
          </w:p>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联系人：</w:t>
            </w:r>
            <w:r>
              <w:rPr>
                <w:rFonts w:hint="eastAsia" w:ascii="宋体" w:hAnsi="宋体" w:eastAsia="宋体" w:cs="宋体"/>
                <w:sz w:val="24"/>
                <w:szCs w:val="24"/>
                <w:lang w:val="en-US" w:eastAsia="zh-CN"/>
              </w:rPr>
              <w:t>林保良</w:t>
            </w:r>
          </w:p>
          <w:p>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电话：</w:t>
            </w:r>
            <w:r>
              <w:rPr>
                <w:rFonts w:hint="eastAsia" w:ascii="宋体" w:hAnsi="宋体" w:eastAsia="宋体" w:cs="宋体"/>
                <w:sz w:val="24"/>
                <w:szCs w:val="24"/>
                <w:lang w:val="en-US" w:eastAsia="zh-CN"/>
              </w:rPr>
              <w:t>13668829221</w:t>
            </w:r>
          </w:p>
          <w:p>
            <w:pPr>
              <w:ind w:firstLine="482" w:firstLineChars="200"/>
              <w:rPr>
                <w:rFonts w:hint="default"/>
                <w:lang w:val="en-US" w:eastAsia="zh-CN"/>
              </w:rPr>
            </w:pPr>
            <w:r>
              <w:rPr>
                <w:rFonts w:hint="eastAsia" w:ascii="宋体" w:hAnsi="宋体" w:eastAsia="宋体" w:cs="宋体"/>
                <w:b/>
                <w:bCs/>
                <w:sz w:val="24"/>
                <w:szCs w:val="24"/>
                <w:lang w:val="en-US" w:eastAsia="zh-CN"/>
              </w:rPr>
              <w:t>邮箱：</w:t>
            </w:r>
            <w:r>
              <w:rPr>
                <w:rFonts w:hint="eastAsia" w:ascii="宋体" w:hAnsi="宋体" w:eastAsia="宋体" w:cs="宋体"/>
                <w:sz w:val="24"/>
                <w:szCs w:val="24"/>
                <w:lang w:val="en-US" w:eastAsia="zh-CN"/>
              </w:rPr>
              <w:t>linbl@sinotruk.com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宋体" w:hAnsi="宋体" w:eastAsia="宋体" w:cs="宋体"/>
                <w:b/>
                <w:bCs/>
                <w:color w:val="000000"/>
                <w:sz w:val="24"/>
                <w:szCs w:val="24"/>
              </w:rPr>
            </w:pPr>
            <w:r>
              <w:rPr>
                <w:rFonts w:hint="eastAsia" w:ascii="宋体" w:hAnsi="宋体" w:eastAsia="宋体" w:cs="宋体"/>
                <w:b/>
                <w:bCs/>
                <w:sz w:val="24"/>
                <w:szCs w:val="24"/>
                <w:highlight w:val="yellow"/>
                <w:lang w:val="en-US" w:eastAsia="zh-CN"/>
              </w:rPr>
              <w:t>投标人条件</w:t>
            </w:r>
            <w:r>
              <w:rPr>
                <w:rFonts w:hint="eastAsia" w:ascii="宋体" w:hAnsi="宋体" w:eastAsia="宋体" w:cs="宋体"/>
                <w:b/>
                <w:bCs/>
                <w:sz w:val="24"/>
                <w:szCs w:val="24"/>
                <w:highlight w:val="yellow"/>
              </w:rPr>
              <w:t>：</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w:t>
            </w:r>
            <w:r>
              <w:rPr>
                <w:rFonts w:hint="eastAsia" w:hAnsi="宋体" w:eastAsia="宋体" w:cs="宋体"/>
                <w:b/>
                <w:bCs/>
                <w:color w:val="000000"/>
                <w:sz w:val="24"/>
                <w:szCs w:val="24"/>
                <w:highlight w:val="yellow"/>
                <w:u w:val="single"/>
                <w:lang w:val="en-US" w:eastAsia="zh-CN"/>
              </w:rPr>
              <w:t>5</w:t>
            </w:r>
            <w:r>
              <w:rPr>
                <w:rFonts w:hint="eastAsia" w:hAnsi="宋体" w:eastAsia="宋体" w:cs="宋体"/>
                <w:b/>
                <w:bCs/>
                <w:color w:val="000000"/>
                <w:sz w:val="24"/>
                <w:szCs w:val="24"/>
                <w:highlight w:val="yellow"/>
                <w:u w:val="single"/>
              </w:rPr>
              <w:t>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4.拟投标人在国家市场监督管理总局的《国家企业信用信息公示系统》中查询不存在不良记录；</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2019年1月1日</w:t>
            </w:r>
            <w:r>
              <w:rPr>
                <w:rFonts w:hint="eastAsia" w:hAnsi="宋体" w:eastAsia="宋体" w:cs="宋体"/>
                <w:sz w:val="24"/>
                <w:szCs w:val="24"/>
              </w:rPr>
              <w:t>至今</w:t>
            </w:r>
            <w:r>
              <w:rPr>
                <w:rFonts w:hint="eastAsia" w:hAnsi="宋体" w:eastAsia="宋体" w:cs="宋体"/>
                <w:color w:val="000000"/>
                <w:sz w:val="24"/>
                <w:szCs w:val="24"/>
                <w:highlight w:val="yellow"/>
              </w:rPr>
              <w:t>经</w:t>
            </w:r>
            <w:r>
              <w:rPr>
                <w:rFonts w:hint="eastAsia" w:hAnsi="宋体" w:eastAsia="宋体" w:cs="宋体"/>
                <w:b/>
                <w:bCs/>
                <w:color w:val="000000"/>
                <w:sz w:val="24"/>
                <w:szCs w:val="24"/>
                <w:highlight w:val="yellow"/>
              </w:rPr>
              <w:t>第三方</w:t>
            </w:r>
            <w:r>
              <w:rPr>
                <w:rFonts w:hint="eastAsia" w:hAnsi="宋体" w:eastAsia="宋体" w:cs="宋体"/>
                <w:color w:val="000000"/>
                <w:sz w:val="24"/>
                <w:szCs w:val="24"/>
                <w:highlight w:val="yellow"/>
              </w:rPr>
              <w:t>审计</w:t>
            </w:r>
            <w:r>
              <w:rPr>
                <w:rFonts w:hint="eastAsia" w:hAnsi="宋体" w:eastAsia="宋体" w:cs="宋体"/>
                <w:color w:val="000000"/>
                <w:sz w:val="24"/>
                <w:szCs w:val="24"/>
              </w:rPr>
              <w:t>的公司财务报表（资产负债表、损益表、现金流量表）未显示异常；</w:t>
            </w:r>
          </w:p>
          <w:p>
            <w:pPr>
              <w:pStyle w:val="16"/>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7.拟投标人有与本次招标设备</w:t>
            </w:r>
            <w:r>
              <w:rPr>
                <w:rFonts w:hint="eastAsia" w:hAnsi="宋体" w:eastAsia="宋体" w:cs="宋体"/>
                <w:color w:val="000000"/>
                <w:kern w:val="0"/>
                <w:sz w:val="24"/>
                <w:szCs w:val="24"/>
                <w:highlight w:val="yellow"/>
              </w:rPr>
              <w:t>（</w:t>
            </w:r>
            <w:r>
              <w:rPr>
                <w:rFonts w:hint="eastAsia" w:hAnsi="宋体" w:eastAsia="宋体" w:cs="宋体"/>
                <w:b/>
                <w:bCs/>
                <w:sz w:val="24"/>
                <w:szCs w:val="24"/>
                <w:highlight w:val="yellow"/>
                <w:u w:val="single"/>
                <w:lang w:eastAsia="zh-CN"/>
              </w:rPr>
              <w:t>整车道路性能测试系统</w:t>
            </w:r>
            <w:r>
              <w:rPr>
                <w:rFonts w:hint="eastAsia" w:hAnsi="宋体" w:eastAsia="宋体" w:cs="宋体"/>
                <w:color w:val="000000"/>
                <w:kern w:val="0"/>
                <w:sz w:val="24"/>
                <w:szCs w:val="24"/>
                <w:highlight w:val="yellow"/>
              </w:rPr>
              <w:t>）</w:t>
            </w:r>
            <w:r>
              <w:rPr>
                <w:rFonts w:hint="eastAsia" w:hAnsi="宋体" w:eastAsia="宋体" w:cs="宋体"/>
                <w:color w:val="000000"/>
                <w:kern w:val="0"/>
                <w:sz w:val="24"/>
                <w:szCs w:val="24"/>
              </w:rPr>
              <w:t>同类的项目经验，在中国境内有至少销售产品给</w:t>
            </w:r>
            <w:r>
              <w:rPr>
                <w:rFonts w:hint="eastAsia" w:hAnsi="宋体" w:eastAsia="宋体" w:cs="宋体"/>
                <w:color w:val="000000"/>
                <w:kern w:val="0"/>
                <w:sz w:val="24"/>
                <w:szCs w:val="24"/>
                <w:highlight w:val="yellow"/>
              </w:rPr>
              <w:t>商用车企业或商用车汽车检测机构使用</w:t>
            </w:r>
            <w:r>
              <w:rPr>
                <w:rFonts w:hint="eastAsia" w:hAnsi="宋体" w:eastAsia="宋体" w:cs="宋体"/>
                <w:color w:val="000000"/>
                <w:kern w:val="0"/>
                <w:sz w:val="24"/>
                <w:szCs w:val="24"/>
              </w:rPr>
              <w:t>的案例；报名及投标时需提供近三年用户清单，同时需提供用户合同复印件</w:t>
            </w:r>
            <w:r>
              <w:rPr>
                <w:rFonts w:hint="eastAsia" w:hAnsi="宋体" w:eastAsia="宋体" w:cs="宋体"/>
                <w:color w:val="000000"/>
                <w:sz w:val="24"/>
                <w:szCs w:val="24"/>
              </w:rPr>
              <w:t>；</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hint="eastAsia" w:hAnsi="宋体" w:eastAsia="宋体" w:cs="宋体"/>
                <w:color w:val="000000"/>
                <w:sz w:val="24"/>
                <w:szCs w:val="24"/>
                <w:lang w:val="en-US" w:eastAsia="zh-CN"/>
              </w:rPr>
              <w:t>拟投标人</w:t>
            </w:r>
            <w:r>
              <w:rPr>
                <w:rFonts w:hint="eastAsia" w:hAnsi="宋体" w:eastAsia="宋体" w:cs="宋体"/>
                <w:color w:val="000000"/>
                <w:sz w:val="24"/>
                <w:szCs w:val="24"/>
              </w:rPr>
              <w:t>三年内无违法及重大违规情况；</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9.</w:t>
            </w:r>
            <w:r>
              <w:rPr>
                <w:rFonts w:hint="eastAsia" w:hAnsi="宋体" w:eastAsia="宋体" w:cs="宋体"/>
                <w:color w:val="000000"/>
                <w:sz w:val="24"/>
                <w:szCs w:val="24"/>
                <w:lang w:val="en-US" w:eastAsia="zh-CN"/>
              </w:rPr>
              <w:t>拟投标人</w:t>
            </w:r>
            <w:r>
              <w:rPr>
                <w:rFonts w:hint="eastAsia" w:hAnsi="宋体" w:eastAsia="宋体" w:cs="宋体"/>
                <w:color w:val="000000"/>
                <w:sz w:val="24"/>
                <w:szCs w:val="24"/>
              </w:rPr>
              <w:t>须认可招标人的工作指令，包括节、假日能正常开展工作的要求；</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10.</w:t>
            </w:r>
            <w:r>
              <w:rPr>
                <w:rFonts w:hint="eastAsia" w:hAnsi="宋体" w:eastAsia="宋体" w:cs="宋体"/>
                <w:color w:val="000000"/>
                <w:sz w:val="24"/>
                <w:szCs w:val="24"/>
                <w:lang w:val="en-US" w:eastAsia="zh-CN"/>
              </w:rPr>
              <w:t>拟投标人</w:t>
            </w:r>
            <w:r>
              <w:rPr>
                <w:rFonts w:hint="eastAsia" w:hAnsi="宋体" w:eastAsia="宋体" w:cs="宋体"/>
                <w:color w:val="000000"/>
                <w:sz w:val="24"/>
                <w:szCs w:val="24"/>
              </w:rPr>
              <w:t>最近半年纳税正常；</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11.</w:t>
            </w:r>
            <w:r>
              <w:rPr>
                <w:rFonts w:hint="eastAsia" w:hAnsi="宋体" w:eastAsia="宋体" w:cs="宋体"/>
                <w:color w:val="000000"/>
                <w:sz w:val="24"/>
                <w:szCs w:val="24"/>
                <w:lang w:val="en-US" w:eastAsia="zh-CN"/>
              </w:rPr>
              <w:t>拟投标人</w:t>
            </w:r>
            <w:r>
              <w:rPr>
                <w:rFonts w:hint="eastAsia" w:hAnsi="宋体" w:eastAsia="宋体" w:cs="宋体"/>
                <w:color w:val="000000"/>
                <w:sz w:val="24"/>
                <w:szCs w:val="24"/>
              </w:rPr>
              <w:t>信用证明材料（中国人民银行信用代码证+征信报告）未显示异常；</w:t>
            </w:r>
          </w:p>
          <w:p>
            <w:pPr>
              <w:pStyle w:val="16"/>
              <w:ind w:firstLine="480" w:firstLineChars="200"/>
              <w:rPr>
                <w:rFonts w:hAnsi="宋体" w:eastAsia="宋体"/>
                <w:color w:val="000000"/>
                <w:sz w:val="24"/>
                <w:szCs w:val="24"/>
              </w:rPr>
            </w:pPr>
            <w:r>
              <w:rPr>
                <w:rFonts w:hint="eastAsia" w:hAnsi="宋体" w:eastAsia="宋体" w:cs="宋体"/>
                <w:color w:val="000000"/>
                <w:sz w:val="24"/>
                <w:szCs w:val="24"/>
              </w:rPr>
              <w:t>12.</w:t>
            </w:r>
            <w:r>
              <w:rPr>
                <w:rFonts w:hint="eastAsia" w:hAnsi="宋体" w:eastAsia="宋体" w:cs="宋体"/>
                <w:color w:val="000000"/>
                <w:sz w:val="24"/>
                <w:szCs w:val="24"/>
                <w:lang w:val="en-US" w:eastAsia="zh-CN"/>
              </w:rPr>
              <w:t>拟投标人</w:t>
            </w:r>
            <w:r>
              <w:rPr>
                <w:rFonts w:hint="eastAsia" w:hAnsi="宋体" w:eastAsia="宋体"/>
                <w:color w:val="000000"/>
                <w:sz w:val="24"/>
                <w:szCs w:val="24"/>
              </w:rPr>
              <w:t>的直接或间接股东、法定代表人、董事、监事、高管非重汽员工及其亲属；</w:t>
            </w:r>
          </w:p>
          <w:p>
            <w:pPr>
              <w:pStyle w:val="16"/>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rPr>
              <w:t>13</w:t>
            </w:r>
            <w:r>
              <w:rPr>
                <w:rFonts w:hint="eastAsia" w:hAnsi="宋体" w:eastAsia="宋体" w:cs="宋体"/>
                <w:color w:val="000000"/>
                <w:sz w:val="24"/>
                <w:szCs w:val="24"/>
                <w:lang w:val="en-US" w:eastAsia="zh-CN"/>
              </w:rPr>
              <w:t>.拟投标人</w:t>
            </w:r>
            <w:r>
              <w:rPr>
                <w:rFonts w:hint="eastAsia" w:hAnsi="宋体" w:eastAsia="宋体" w:cs="宋体"/>
                <w:color w:val="000000"/>
                <w:sz w:val="24"/>
                <w:szCs w:val="24"/>
              </w:rPr>
              <w:t>如为代理商，需获得生产厂家正式授权，提供授权书原件，保证提供原厂售后服务并提供承诺书原件</w:t>
            </w:r>
            <w:r>
              <w:rPr>
                <w:rFonts w:hint="eastAsia" w:hAnsi="宋体" w:eastAsia="宋体" w:cs="宋体"/>
                <w:color w:val="000000"/>
                <w:sz w:val="24"/>
                <w:szCs w:val="24"/>
                <w:lang w:eastAsia="zh-CN"/>
              </w:rPr>
              <w:t>；</w:t>
            </w:r>
          </w:p>
          <w:p>
            <w:pPr>
              <w:pStyle w:val="16"/>
              <w:ind w:firstLine="480" w:firstLineChars="200"/>
              <w:rPr>
                <w:rFonts w:hAnsi="宋体" w:eastAsia="宋体" w:cs="宋体"/>
                <w:sz w:val="24"/>
                <w:szCs w:val="24"/>
              </w:rPr>
            </w:pPr>
            <w:r>
              <w:rPr>
                <w:rFonts w:hint="eastAsia" w:hAnsi="宋体" w:eastAsia="宋体" w:cs="宋体"/>
                <w:color w:val="000000"/>
                <w:sz w:val="24"/>
                <w:szCs w:val="24"/>
                <w:lang w:val="en-US" w:eastAsia="zh-CN"/>
              </w:rPr>
              <w:t>14.拟投标人必须是最终投标单位、签订合同单位，不接受联合体投标，不得以任何理由将已中标项目以任何形式分包或转包给其他单位</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color w:val="FF0000"/>
                <w:sz w:val="24"/>
                <w:szCs w:val="24"/>
                <w:highlight w:val="yellow"/>
              </w:rPr>
              <w:t>2023年</w:t>
            </w:r>
            <w:r>
              <w:rPr>
                <w:rFonts w:hint="eastAsia" w:ascii="宋体" w:hAnsi="宋体" w:eastAsia="宋体" w:cs="宋体"/>
                <w:bCs/>
                <w:color w:val="FF0000"/>
                <w:sz w:val="24"/>
                <w:szCs w:val="24"/>
                <w:highlight w:val="yellow"/>
                <w:u w:val="single"/>
              </w:rPr>
              <w:t>4</w:t>
            </w:r>
            <w:r>
              <w:rPr>
                <w:rFonts w:hint="eastAsia" w:ascii="宋体" w:hAnsi="宋体" w:eastAsia="宋体" w:cs="宋体"/>
                <w:bCs/>
                <w:color w:val="FF0000"/>
                <w:sz w:val="24"/>
                <w:szCs w:val="24"/>
                <w:highlight w:val="yellow"/>
              </w:rPr>
              <w:t>月</w:t>
            </w:r>
            <w:r>
              <w:rPr>
                <w:rFonts w:hint="eastAsia" w:ascii="宋体" w:hAnsi="宋体" w:eastAsia="宋体" w:cs="宋体"/>
                <w:bCs/>
                <w:color w:val="FF0000"/>
                <w:sz w:val="24"/>
                <w:szCs w:val="24"/>
                <w:highlight w:val="yellow"/>
                <w:u w:val="single"/>
                <w:lang w:val="en-US" w:eastAsia="zh-CN"/>
              </w:rPr>
              <w:t>25</w:t>
            </w:r>
            <w:r>
              <w:rPr>
                <w:rFonts w:hint="eastAsia" w:ascii="宋体" w:hAnsi="宋体" w:eastAsia="宋体" w:cs="宋体"/>
                <w:bCs/>
                <w:color w:val="FF0000"/>
                <w:sz w:val="24"/>
                <w:szCs w:val="24"/>
                <w:highlight w:val="yellow"/>
              </w:rPr>
              <w:t>日</w:t>
            </w:r>
            <w:r>
              <w:rPr>
                <w:rFonts w:hint="eastAsia" w:ascii="宋体" w:hAnsi="宋体" w:eastAsia="宋体" w:cs="宋体"/>
                <w:bCs/>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420" w:lineRule="exact"/>
              <w:ind w:firstLine="482" w:firstLineChars="200"/>
              <w:rPr>
                <w:rFonts w:ascii="宋体" w:hAnsi="宋体" w:eastAsia="宋体" w:cs="宋体"/>
                <w:sz w:val="24"/>
                <w:szCs w:val="24"/>
              </w:rPr>
            </w:pPr>
            <w:r>
              <w:rPr>
                <w:rFonts w:hint="eastAsia" w:ascii="宋体" w:hAnsi="宋体" w:eastAsia="宋体" w:cs="宋体"/>
                <w:b/>
                <w:bCs/>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如果投标人对招标文件商务、技术部分有疑问，请各投标人在本答疑环节提出。</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color w:val="FF0000"/>
                <w:sz w:val="24"/>
                <w:szCs w:val="24"/>
                <w:highlight w:val="yellow"/>
              </w:rPr>
              <w:t>2023年</w:t>
            </w:r>
            <w:r>
              <w:rPr>
                <w:rFonts w:hint="eastAsia" w:ascii="宋体" w:hAnsi="宋体" w:eastAsia="宋体" w:cs="宋体"/>
                <w:bCs/>
                <w:color w:val="FF0000"/>
                <w:sz w:val="24"/>
                <w:szCs w:val="24"/>
                <w:highlight w:val="yellow"/>
                <w:u w:val="single"/>
                <w:lang w:val="en-US" w:eastAsia="zh-CN"/>
              </w:rPr>
              <w:t>5</w:t>
            </w:r>
            <w:r>
              <w:rPr>
                <w:rFonts w:hint="eastAsia" w:ascii="宋体" w:hAnsi="宋体" w:eastAsia="宋体" w:cs="宋体"/>
                <w:bCs/>
                <w:color w:val="FF0000"/>
                <w:sz w:val="24"/>
                <w:szCs w:val="24"/>
                <w:highlight w:val="yellow"/>
              </w:rPr>
              <w:t>月</w:t>
            </w:r>
            <w:r>
              <w:rPr>
                <w:rFonts w:hint="eastAsia" w:ascii="宋体" w:hAnsi="宋体" w:eastAsia="宋体" w:cs="宋体"/>
                <w:bCs/>
                <w:color w:val="FF0000"/>
                <w:sz w:val="24"/>
                <w:szCs w:val="24"/>
                <w:highlight w:val="yellow"/>
                <w:u w:val="single"/>
                <w:lang w:val="en-US" w:eastAsia="zh-CN"/>
              </w:rPr>
              <w:t>10</w:t>
            </w:r>
            <w:r>
              <w:rPr>
                <w:rFonts w:hint="eastAsia" w:ascii="宋体" w:hAnsi="宋体" w:eastAsia="宋体" w:cs="宋体"/>
                <w:bCs/>
                <w:color w:val="FF0000"/>
                <w:sz w:val="24"/>
                <w:szCs w:val="24"/>
                <w:highlight w:val="yellow"/>
              </w:rPr>
              <w:t>日17:00前；</w:t>
            </w:r>
          </w:p>
          <w:p>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：将答疑问题以word文件格式发邮件至</w:t>
            </w:r>
            <w:r>
              <w:rPr>
                <w:rFonts w:hint="eastAsia" w:ascii="宋体" w:hAnsi="宋体" w:eastAsia="宋体" w:cs="宋体"/>
                <w:sz w:val="24"/>
                <w:szCs w:val="24"/>
                <w:highlight w:val="yellow"/>
              </w:rPr>
              <w:t>li</w:t>
            </w:r>
            <w:r>
              <w:rPr>
                <w:rFonts w:hint="eastAsia" w:ascii="宋体" w:hAnsi="宋体" w:eastAsia="宋体" w:cs="宋体"/>
                <w:sz w:val="24"/>
                <w:szCs w:val="24"/>
                <w:highlight w:val="yellow"/>
                <w:lang w:val="en-US" w:eastAsia="zh-CN"/>
              </w:rPr>
              <w:t>nbl</w:t>
            </w:r>
            <w:r>
              <w:rPr>
                <w:rFonts w:hint="eastAsia" w:ascii="宋体" w:hAnsi="宋体" w:eastAsia="宋体" w:cs="宋体"/>
                <w:sz w:val="24"/>
                <w:szCs w:val="24"/>
                <w:highlight w:val="yellow"/>
              </w:rPr>
              <w:t>@sinotruk.com</w:t>
            </w:r>
            <w:r>
              <w:rPr>
                <w:rFonts w:hint="eastAsia" w:ascii="宋体" w:hAnsi="宋体" w:eastAsia="宋体" w:cs="宋体"/>
                <w:sz w:val="24"/>
                <w:szCs w:val="24"/>
              </w:rPr>
              <w:t>并电话联系工作人员查收（</w:t>
            </w:r>
            <w:r>
              <w:rPr>
                <w:rFonts w:hint="eastAsia" w:ascii="宋体" w:hAnsi="宋体" w:eastAsia="宋体" w:cs="宋体"/>
                <w:sz w:val="24"/>
                <w:szCs w:val="24"/>
                <w:highlight w:val="yellow"/>
                <w:lang w:val="en-US" w:eastAsia="zh-CN"/>
              </w:rPr>
              <w:t>林保良</w:t>
            </w:r>
            <w:r>
              <w:rPr>
                <w:rFonts w:hint="eastAsia" w:ascii="宋体" w:hAnsi="宋体" w:eastAsia="宋体" w:cs="宋体"/>
                <w:sz w:val="24"/>
                <w:szCs w:val="24"/>
                <w:highlight w:val="yellow"/>
              </w:rPr>
              <w:t>；联系方式：</w:t>
            </w:r>
            <w:r>
              <w:rPr>
                <w:rFonts w:hint="eastAsia" w:ascii="宋体" w:hAnsi="宋体" w:eastAsia="宋体" w:cs="宋体"/>
                <w:sz w:val="24"/>
                <w:szCs w:val="24"/>
                <w:highlight w:val="yellow"/>
                <w:lang w:val="en-US" w:eastAsia="zh-CN"/>
              </w:rPr>
              <w:t>13668829221</w:t>
            </w:r>
            <w:r>
              <w:rPr>
                <w:rFonts w:hint="eastAsia" w:ascii="宋体" w:hAnsi="宋体" w:eastAsia="宋体" w:cs="宋体"/>
                <w:sz w:val="24"/>
                <w:szCs w:val="24"/>
              </w:rPr>
              <w:t>），</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同时必须在邮件中以文字方式提供投标单位全称、投标授权人姓名、联系方式（固定电话、手机、电子邮箱）。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2023年</w:t>
            </w:r>
            <w:r>
              <w:rPr>
                <w:rFonts w:hint="eastAsia" w:ascii="宋体"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10</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firstLineChars="200"/>
              <w:rPr>
                <w:rFonts w:ascii="宋体" w:hAnsi="宋体" w:eastAsia="宋体" w:cs="宋体"/>
                <w:b/>
                <w:bCs/>
                <w:color w:val="000000"/>
                <w:kern w:val="2"/>
                <w:sz w:val="24"/>
                <w:szCs w:val="24"/>
                <w:lang w:val="en-US" w:eastAsia="zh-CN" w:bidi="ar-SA"/>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，登录后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12准备资料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2023年</w:t>
            </w:r>
            <w:r>
              <w:rPr>
                <w:rFonts w:hint="eastAsia" w:eastAsia="宋体" w:cs="宋体"/>
                <w:highlight w:val="yellow"/>
                <w:u w:val="single"/>
                <w:lang w:val="en-US" w:eastAsia="zh-CN"/>
              </w:rPr>
              <w:t>5</w:t>
            </w:r>
            <w:r>
              <w:rPr>
                <w:rFonts w:hint="eastAsia" w:eastAsia="宋体" w:cs="宋体"/>
                <w:highlight w:val="yellow"/>
              </w:rPr>
              <w:t>月</w:t>
            </w:r>
            <w:r>
              <w:rPr>
                <w:rFonts w:hint="eastAsia" w:eastAsia="宋体" w:cs="宋体"/>
                <w:highlight w:val="yellow"/>
                <w:u w:val="single"/>
                <w:lang w:val="en-US" w:eastAsia="zh-CN"/>
              </w:rPr>
              <w:t>10</w:t>
            </w:r>
            <w:r>
              <w:rPr>
                <w:rFonts w:hint="eastAsia" w:eastAsia="宋体" w:cs="宋体"/>
                <w:highlight w:val="yellow"/>
              </w:rPr>
              <w:t>日17时00分00秒</w:t>
            </w:r>
          </w:p>
          <w:p>
            <w:pPr>
              <w:pStyle w:val="111"/>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注：请务必在应标截止时间前完成注册及应标操作，注册审核需2-4日，应标截止时间精确到秒，逾期将无法应标。请自行掌握时间安排，避免无法应标。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投标文件，均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w:t>
            </w:r>
            <w:r>
              <w:rPr>
                <w:rFonts w:hint="eastAsia" w:ascii="宋体" w:hAnsi="宋体" w:eastAsia="宋体" w:cs="宋体"/>
                <w:bCs/>
                <w:color w:val="000000"/>
                <w:sz w:val="24"/>
                <w:szCs w:val="24"/>
                <w:lang w:eastAsia="zh-CN"/>
              </w:rPr>
              <w:t>：</w:t>
            </w:r>
            <w:r>
              <w:rPr>
                <w:rFonts w:hint="eastAsia" w:ascii="宋体" w:hAnsi="宋体" w:eastAsia="宋体" w:cs="宋体"/>
                <w:bCs/>
                <w:color w:val="000000"/>
                <w:sz w:val="24"/>
                <w:szCs w:val="24"/>
              </w:rPr>
              <w:t>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eastAsia="宋体" w:cs="宋体" w:asciiTheme="minorHAnsi" w:hAnsiTheme="minorHAnsi"/>
                <w:b/>
                <w:bCs w:val="0"/>
                <w:color w:val="auto"/>
                <w:kern w:val="2"/>
                <w:sz w:val="24"/>
                <w:szCs w:val="24"/>
                <w:highlight w:val="yellow"/>
                <w:lang w:val="en-US" w:eastAsia="zh-CN" w:bidi="ar-SA"/>
              </w:rPr>
              <w:t>一式</w:t>
            </w:r>
            <w:r>
              <w:rPr>
                <w:rFonts w:hint="eastAsia" w:eastAsia="宋体" w:cs="宋体"/>
                <w:b/>
                <w:bCs w:val="0"/>
                <w:color w:val="auto"/>
                <w:kern w:val="2"/>
                <w:sz w:val="24"/>
                <w:szCs w:val="24"/>
                <w:highlight w:val="yellow"/>
                <w:lang w:val="en-US" w:eastAsia="zh-CN" w:bidi="ar-SA"/>
              </w:rPr>
              <w:t>六</w:t>
            </w:r>
            <w:r>
              <w:rPr>
                <w:rFonts w:hint="eastAsia" w:eastAsia="宋体" w:cs="宋体" w:asciiTheme="minorHAnsi" w:hAnsiTheme="minorHAnsi"/>
                <w:b/>
                <w:bCs w:val="0"/>
                <w:color w:val="auto"/>
                <w:kern w:val="2"/>
                <w:sz w:val="24"/>
                <w:szCs w:val="24"/>
                <w:highlight w:val="yellow"/>
                <w:lang w:val="en-US" w:eastAsia="zh-CN" w:bidi="ar-SA"/>
              </w:rPr>
              <w:t>份，</w:t>
            </w:r>
            <w:r>
              <w:rPr>
                <w:rFonts w:hint="eastAsia" w:ascii="宋体" w:hAnsi="宋体" w:eastAsia="宋体" w:cs="宋体"/>
                <w:b/>
                <w:bCs w:val="0"/>
                <w:color w:val="auto"/>
                <w:kern w:val="2"/>
                <w:sz w:val="24"/>
                <w:szCs w:val="24"/>
                <w:highlight w:val="yellow"/>
                <w:lang w:val="en-US" w:eastAsia="zh-CN" w:bidi="ar-SA"/>
              </w:rPr>
              <w:t>正本一份，副本五份</w:t>
            </w:r>
            <w:r>
              <w:rPr>
                <w:rFonts w:hint="eastAsia" w:eastAsia="宋体" w:cs="宋体" w:asciiTheme="minorHAnsi" w:hAnsiTheme="minorHAnsi"/>
                <w:b w:val="0"/>
                <w:bCs/>
                <w:color w:val="auto"/>
                <w:kern w:val="2"/>
                <w:sz w:val="24"/>
                <w:szCs w:val="24"/>
                <w:highlight w:val="yellow"/>
                <w:lang w:val="en-US" w:eastAsia="zh-CN" w:bidi="ar-SA"/>
              </w:rPr>
              <w:t>，</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6"/>
              <w:rPr>
                <w:rFonts w:hint="eastAsia" w:ascii="宋体" w:hAnsi="宋体" w:eastAsia="宋体" w:cs="Times New Roman"/>
                <w:color w:val="000000"/>
                <w:sz w:val="24"/>
                <w:szCs w:val="24"/>
                <w:highlight w:val="yellow"/>
                <w:lang w:eastAsia="zh-CN"/>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w:t>
            </w:r>
            <w:r>
              <w:rPr>
                <w:rFonts w:hint="eastAsia" w:hAnsi="宋体" w:eastAsia="宋体" w:cs="Times New Roman"/>
                <w:color w:val="000000"/>
                <w:sz w:val="24"/>
                <w:szCs w:val="24"/>
                <w:highlight w:val="yellow"/>
                <w:lang w:eastAsia="zh-CN"/>
              </w:rPr>
              <w:t>济南市高新区华奥路777号</w:t>
            </w:r>
          </w:p>
          <w:p>
            <w:pPr>
              <w:pStyle w:val="16"/>
              <w:rPr>
                <w:rFonts w:hAnsi="宋体" w:eastAsia="宋体" w:cs="Times New Roman"/>
                <w:color w:val="000000"/>
                <w:sz w:val="24"/>
                <w:szCs w:val="24"/>
              </w:rPr>
            </w:pPr>
            <w:r>
              <w:rPr>
                <w:rFonts w:hint="eastAsia" w:ascii="宋体" w:hAnsi="宋体" w:eastAsia="宋体" w:cs="Times New Roman"/>
                <w:color w:val="000000"/>
                <w:sz w:val="24"/>
                <w:szCs w:val="24"/>
                <w:highlight w:val="yellow"/>
              </w:rPr>
              <w:t>联系人及联系方式：</w:t>
            </w:r>
            <w:r>
              <w:rPr>
                <w:rFonts w:hint="eastAsia" w:hAnsi="宋体" w:eastAsia="宋体" w:cs="Times New Roman"/>
                <w:color w:val="000000"/>
                <w:sz w:val="24"/>
                <w:szCs w:val="24"/>
                <w:highlight w:val="yellow"/>
                <w:lang w:val="en-US" w:eastAsia="zh-CN"/>
              </w:rPr>
              <w:t>林保良/13668829221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eastAsia="宋体" w:cs="宋体" w:asciiTheme="minorHAnsi" w:hAnsiTheme="minorHAnsi"/>
                <w:b/>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纸质版投标文件和电子版投标文件必须保证内容一致；如确实存在不一致的，以电子标书为准，同时要求投标方对纸版标书做出修正。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6"/>
              <w:ind w:firstLine="482" w:firstLineChars="200"/>
              <w:rPr>
                <w:rFonts w:hAnsi="宋体" w:eastAsia="宋体" w:cs="宋体"/>
                <w:sz w:val="24"/>
                <w:szCs w:val="24"/>
                <w:highlight w:val="yellow"/>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2023</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w:t>
            </w:r>
            <w:bookmarkStart w:id="136" w:name="_GoBack"/>
            <w:bookmarkEnd w:id="136"/>
            <w:r>
              <w:rPr>
                <w:rFonts w:hint="eastAsia" w:hAnsi="宋体" w:eastAsia="宋体" w:cs="宋体"/>
                <w:sz w:val="24"/>
                <w:szCs w:val="24"/>
                <w:highlight w:val="yellow"/>
                <w:u w:val="single"/>
                <w:lang w:val="en-US" w:eastAsia="zh-CN"/>
              </w:rPr>
              <w:t>3</w:t>
            </w:r>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下</w:t>
            </w:r>
            <w:r>
              <w:rPr>
                <w:rFonts w:hint="eastAsia" w:hAnsi="宋体" w:eastAsia="宋体" w:cs="宋体"/>
                <w:kern w:val="0"/>
                <w:sz w:val="24"/>
                <w:szCs w:val="24"/>
                <w:highlight w:val="yellow"/>
              </w:rPr>
              <w:t>午</w:t>
            </w:r>
            <w:r>
              <w:rPr>
                <w:rFonts w:hint="eastAsia" w:hAnsi="宋体" w:eastAsia="宋体" w:cs="宋体"/>
                <w:kern w:val="0"/>
                <w:sz w:val="24"/>
                <w:szCs w:val="24"/>
                <w:highlight w:val="yellow"/>
                <w:lang w:val="en-US" w:eastAsia="zh-CN"/>
              </w:rPr>
              <w:t>1</w:t>
            </w:r>
            <w:r>
              <w:rPr>
                <w:rFonts w:hint="eastAsia" w:hAnsi="宋体" w:eastAsia="宋体" w:cs="宋体"/>
                <w:sz w:val="24"/>
                <w:szCs w:val="24"/>
                <w:highlight w:val="yellow"/>
              </w:rPr>
              <w:t>:00:00（北京时间）</w:t>
            </w:r>
          </w:p>
          <w:p>
            <w:pPr>
              <w:ind w:firstLine="482" w:firstLineChars="200"/>
              <w:rPr>
                <w:rFonts w:ascii="宋体" w:hAnsi="宋体" w:eastAsia="宋体" w:cs="宋体"/>
                <w:sz w:val="24"/>
                <w:szCs w:val="24"/>
              </w:rPr>
            </w:pPr>
            <w:r>
              <w:rPr>
                <w:rFonts w:hint="eastAsia" w:eastAsia="宋体" w:cs="宋体"/>
                <w:b/>
                <w:bCs/>
                <w:sz w:val="24"/>
                <w:szCs w:val="28"/>
              </w:rPr>
              <w:t>注：请务必在</w:t>
            </w:r>
            <w:r>
              <w:rPr>
                <w:rFonts w:hint="eastAsia" w:hAnsi="宋体" w:eastAsia="宋体" w:cs="宋体"/>
                <w:b/>
                <w:bCs/>
                <w:sz w:val="24"/>
                <w:szCs w:val="24"/>
              </w:rPr>
              <w:t>投标文件递交</w:t>
            </w:r>
            <w:r>
              <w:rPr>
                <w:rFonts w:hint="eastAsia" w:eastAsia="宋体" w:cs="宋体"/>
                <w:b/>
                <w:bCs/>
                <w:sz w:val="24"/>
                <w:szCs w:val="28"/>
              </w:rPr>
              <w:t>截止时间前完成投标文件的递交操作，投标截止时间精确到秒，逾期将无法投标。请自行掌握时间安排，避免无法投标。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自开标之日起90日历天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w:t>
            </w:r>
            <w:r>
              <w:rPr>
                <w:rFonts w:hint="eastAsia" w:ascii="宋体" w:hAnsi="宋体" w:eastAsia="宋体" w:cs="宋体"/>
                <w:sz w:val="24"/>
                <w:szCs w:val="24"/>
                <w:lang w:val="en-US" w:eastAsia="zh-CN"/>
              </w:rPr>
              <w:t>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rPr>
            </w:pPr>
            <w:r>
              <w:rPr>
                <w:rFonts w:hint="eastAsia" w:ascii="宋体" w:hAnsi="宋体" w:cs="宋体"/>
                <w:b/>
                <w:bCs/>
                <w:sz w:val="24"/>
                <w:szCs w:val="24"/>
              </w:rPr>
              <w:t>投标保证金的金额：</w:t>
            </w:r>
            <w:r>
              <w:rPr>
                <w:rFonts w:hint="eastAsia" w:ascii="宋体" w:hAnsi="宋体" w:cs="宋体"/>
                <w:sz w:val="24"/>
                <w:szCs w:val="24"/>
              </w:rPr>
              <w:t>人民币</w:t>
            </w:r>
            <w:r>
              <w:rPr>
                <w:rFonts w:hint="eastAsia" w:ascii="宋体" w:hAnsi="宋体" w:cs="宋体"/>
                <w:sz w:val="24"/>
                <w:szCs w:val="24"/>
                <w:lang w:val="en-US" w:eastAsia="zh-CN"/>
              </w:rPr>
              <w:t>20</w:t>
            </w:r>
            <w:r>
              <w:rPr>
                <w:rFonts w:hint="eastAsia" w:ascii="宋体" w:hAnsi="宋体" w:cs="宋体"/>
                <w:sz w:val="24"/>
                <w:szCs w:val="24"/>
              </w:rPr>
              <w:t>000元</w:t>
            </w:r>
          </w:p>
          <w:p>
            <w:pPr>
              <w:pStyle w:val="34"/>
              <w:spacing w:after="0" w:line="240" w:lineRule="auto"/>
              <w:ind w:left="0" w:leftChars="0" w:firstLine="480"/>
              <w:rPr>
                <w:rFonts w:ascii="宋体" w:hAnsi="宋体" w:cs="宋体"/>
                <w:sz w:val="24"/>
                <w:szCs w:val="24"/>
              </w:rPr>
            </w:pPr>
            <w:r>
              <w:rPr>
                <w:rFonts w:hint="eastAsia" w:ascii="宋体" w:hAnsi="宋体" w:cs="宋体"/>
                <w:b/>
                <w:bCs/>
                <w:sz w:val="24"/>
                <w:szCs w:val="24"/>
              </w:rPr>
              <w:t>开户名称：</w:t>
            </w:r>
            <w:r>
              <w:rPr>
                <w:rFonts w:hint="eastAsia" w:ascii="宋体" w:hAnsi="宋体" w:cs="宋体"/>
                <w:sz w:val="24"/>
                <w:szCs w:val="24"/>
              </w:rPr>
              <w:t>中国重汽集团济南动力有限公司</w:t>
            </w:r>
          </w:p>
          <w:p>
            <w:pPr>
              <w:pStyle w:val="34"/>
              <w:spacing w:after="0" w:line="240" w:lineRule="auto"/>
              <w:ind w:left="0" w:leftChars="0" w:firstLine="480"/>
              <w:rPr>
                <w:rFonts w:ascii="宋体" w:hAnsi="宋体" w:cs="宋体"/>
                <w:sz w:val="24"/>
                <w:szCs w:val="24"/>
              </w:rPr>
            </w:pPr>
            <w:r>
              <w:rPr>
                <w:rFonts w:hint="eastAsia" w:ascii="宋体" w:hAnsi="宋体" w:cs="宋体"/>
                <w:b/>
                <w:bCs/>
                <w:sz w:val="24"/>
                <w:szCs w:val="24"/>
              </w:rPr>
              <w:t>开户银行：</w:t>
            </w:r>
            <w:r>
              <w:rPr>
                <w:rFonts w:hint="eastAsia" w:ascii="宋体" w:hAnsi="宋体" w:cs="宋体"/>
                <w:sz w:val="24"/>
                <w:szCs w:val="24"/>
              </w:rPr>
              <w:t>中国工商银行股份有限公司济南天桥支行 </w:t>
            </w:r>
          </w:p>
          <w:p>
            <w:pPr>
              <w:pStyle w:val="34"/>
              <w:spacing w:after="0" w:line="240" w:lineRule="auto"/>
              <w:ind w:left="0" w:leftChars="0" w:firstLine="480"/>
              <w:rPr>
                <w:rFonts w:ascii="宋体" w:hAnsi="宋体" w:cs="宋体"/>
                <w:sz w:val="24"/>
                <w:szCs w:val="24"/>
              </w:rPr>
            </w:pPr>
            <w:r>
              <w:rPr>
                <w:rFonts w:hint="eastAsia" w:ascii="宋体" w:hAnsi="宋体" w:cs="宋体"/>
                <w:b/>
                <w:bCs/>
                <w:sz w:val="24"/>
                <w:szCs w:val="24"/>
              </w:rPr>
              <w:t>银行帐号：</w:t>
            </w:r>
            <w:r>
              <w:rPr>
                <w:rFonts w:ascii="宋体" w:hAnsi="宋体" w:cs="宋体"/>
                <w:sz w:val="24"/>
                <w:szCs w:val="24"/>
              </w:rPr>
              <w:t>1602005019200116248</w:t>
            </w:r>
          </w:p>
          <w:p>
            <w:pPr>
              <w:pStyle w:val="34"/>
              <w:spacing w:after="0" w:line="240" w:lineRule="auto"/>
              <w:ind w:left="0" w:leftChars="0" w:firstLine="480"/>
              <w:rPr>
                <w:rFonts w:ascii="宋体" w:hAnsi="宋体" w:cs="宋体"/>
                <w:sz w:val="24"/>
                <w:szCs w:val="24"/>
              </w:rPr>
            </w:pPr>
            <w:r>
              <w:rPr>
                <w:rFonts w:hint="eastAsia" w:ascii="宋体" w:hAnsi="宋体" w:cs="宋体"/>
                <w:b/>
                <w:bCs/>
                <w:sz w:val="24"/>
                <w:szCs w:val="24"/>
              </w:rPr>
              <w:t>开户行联号：</w:t>
            </w:r>
            <w:r>
              <w:rPr>
                <w:rFonts w:ascii="宋体" w:hAnsi="宋体" w:cs="宋体"/>
                <w:sz w:val="24"/>
                <w:szCs w:val="24"/>
              </w:rPr>
              <w:t>102451000504</w:t>
            </w:r>
          </w:p>
          <w:p>
            <w:pPr>
              <w:pStyle w:val="34"/>
              <w:spacing w:after="0" w:line="240" w:lineRule="auto"/>
              <w:ind w:left="399" w:leftChars="190" w:firstLine="0" w:firstLineChars="0"/>
              <w:rPr>
                <w:rFonts w:hint="eastAsia" w:ascii="宋体" w:hAnsi="宋体" w:eastAsia="宋体" w:cs="宋体"/>
                <w:sz w:val="24"/>
                <w:szCs w:val="24"/>
              </w:rPr>
            </w:pPr>
            <w:r>
              <w:rPr>
                <w:rFonts w:hint="eastAsia" w:ascii="宋体" w:hAnsi="宋体" w:eastAsia="宋体" w:cs="宋体"/>
                <w:sz w:val="24"/>
                <w:szCs w:val="24"/>
              </w:rPr>
              <w:t>该银行账户只接受外币电开保函和电汇</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投标保证金应从投标人基本账户转出至上述账户并到账，否则视为无效投标。</w:t>
            </w:r>
          </w:p>
          <w:p>
            <w:pPr>
              <w:ind w:firstLine="480" w:firstLineChars="200"/>
              <w:rPr>
                <w:rFonts w:ascii="宋体" w:hAnsi="宋体" w:eastAsia="宋体" w:cs="宋体"/>
                <w:sz w:val="24"/>
                <w:szCs w:val="24"/>
                <w:highlight w:val="cyan"/>
              </w:rPr>
            </w:pPr>
            <w:r>
              <w:rPr>
                <w:rFonts w:hint="eastAsia" w:eastAsia="宋体" w:cs="Times New Roman"/>
                <w:sz w:val="24"/>
                <w:szCs w:val="28"/>
                <w:highlight w:val="cyan"/>
              </w:rPr>
              <w:t>转账附言：公司名称+项目名称+投标保证金（方便后期核对退款）</w:t>
            </w:r>
            <w:r>
              <w:rPr>
                <w:rFonts w:hint="eastAsia" w:eastAsia="宋体" w:cs="Times New Roman"/>
                <w:sz w:val="24"/>
                <w:szCs w:val="28"/>
                <w:highlight w:val="cyan"/>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ascii="宋体" w:hAnsi="宋体" w:cs="宋体"/>
                <w:sz w:val="24"/>
                <w:szCs w:val="24"/>
              </w:rPr>
            </w:pPr>
            <w:r>
              <w:rPr>
                <w:rFonts w:hint="eastAsia" w:ascii="宋体" w:hAnsi="宋体" w:cs="宋体"/>
                <w:b/>
                <w:bCs/>
                <w:sz w:val="24"/>
                <w:szCs w:val="24"/>
              </w:rPr>
              <w:t>保证金截止时间：</w:t>
            </w:r>
            <w:r>
              <w:rPr>
                <w:rFonts w:hint="eastAsia" w:ascii="宋体" w:hAnsi="宋体" w:cs="宋体"/>
                <w:sz w:val="24"/>
                <w:szCs w:val="24"/>
                <w:highlight w:val="yellow"/>
              </w:rPr>
              <w:t>20</w:t>
            </w:r>
            <w:r>
              <w:rPr>
                <w:rFonts w:ascii="宋体" w:hAnsi="宋体" w:cs="宋体"/>
                <w:sz w:val="24"/>
                <w:szCs w:val="24"/>
                <w:highlight w:val="yellow"/>
              </w:rPr>
              <w:t>23</w:t>
            </w:r>
            <w:r>
              <w:rPr>
                <w:rFonts w:hint="eastAsia" w:ascii="宋体" w:hAnsi="宋体" w:cs="宋体"/>
                <w:sz w:val="24"/>
                <w:szCs w:val="24"/>
                <w:highlight w:val="yellow"/>
              </w:rPr>
              <w:t>年</w:t>
            </w:r>
            <w:r>
              <w:rPr>
                <w:rFonts w:hint="eastAsia" w:ascii="宋体" w:hAnsi="宋体" w:cs="宋体"/>
                <w:sz w:val="24"/>
                <w:szCs w:val="24"/>
                <w:highlight w:val="yellow"/>
                <w:u w:val="single"/>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u w:val="single"/>
                <w:lang w:val="en-US" w:eastAsia="zh-CN"/>
              </w:rPr>
              <w:t>10</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rPr>
            </w:pPr>
            <w:r>
              <w:rPr>
                <w:rFonts w:hint="eastAsia" w:ascii="宋体" w:hAnsi="宋体" w:cs="宋体"/>
                <w:sz w:val="24"/>
                <w:szCs w:val="24"/>
                <w:highlight w:val="none"/>
              </w:rPr>
              <w:t>对于</w:t>
            </w:r>
            <w:r>
              <w:rPr>
                <w:rFonts w:hint="eastAsia" w:ascii="宋体" w:hAnsi="宋体" w:cs="宋体"/>
                <w:sz w:val="24"/>
                <w:szCs w:val="24"/>
                <w:highlight w:val="none"/>
                <w:lang w:val="en-US" w:eastAsia="zh-CN"/>
              </w:rPr>
              <w:t>未</w:t>
            </w:r>
            <w:r>
              <w:rPr>
                <w:rFonts w:hint="eastAsia" w:ascii="宋体" w:hAnsi="宋体" w:cs="宋体"/>
                <w:sz w:val="24"/>
                <w:szCs w:val="24"/>
                <w:highlight w:val="none"/>
              </w:rPr>
              <w:t>中标的</w:t>
            </w:r>
            <w:r>
              <w:rPr>
                <w:rFonts w:hint="eastAsia" w:ascii="宋体" w:hAnsi="宋体" w:cs="宋体"/>
                <w:sz w:val="24"/>
                <w:szCs w:val="24"/>
                <w:highlight w:val="none"/>
                <w:lang w:val="en-US" w:eastAsia="zh-CN"/>
              </w:rPr>
              <w:t>投标人</w:t>
            </w:r>
            <w:r>
              <w:rPr>
                <w:rFonts w:hint="eastAsia" w:ascii="宋体" w:hAnsi="宋体" w:cs="宋体"/>
                <w:sz w:val="24"/>
                <w:szCs w:val="24"/>
                <w:highlight w:val="none"/>
              </w:rPr>
              <w:t>，投标保证金将于招标人内部完成中标人评审并确认最终中标人后在30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kern w:val="0"/>
                <w:sz w:val="24"/>
                <w:szCs w:val="24"/>
                <w:highlight w:val="yellow"/>
              </w:rPr>
              <w:t>同投标文件递交截止时间。</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济南市高新区华奥路777号重汽科技大厦2610会议室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具体详见“</w:t>
            </w:r>
            <w:r>
              <w:rPr>
                <w:rFonts w:hint="eastAsia" w:ascii="宋体" w:hAnsi="宋体" w:eastAsia="宋体" w:cs="宋体"/>
                <w:sz w:val="24"/>
                <w:szCs w:val="24"/>
                <w:highlight w:val="green"/>
              </w:rPr>
              <w:t>第</w:t>
            </w:r>
            <w:r>
              <w:rPr>
                <w:rFonts w:hint="eastAsia" w:ascii="宋体" w:hAnsi="宋体" w:eastAsia="宋体" w:cs="宋体"/>
                <w:sz w:val="24"/>
                <w:szCs w:val="24"/>
                <w:highlight w:val="green"/>
                <w:lang w:val="en-US" w:eastAsia="zh-CN"/>
              </w:rPr>
              <w:t>二</w:t>
            </w:r>
            <w:r>
              <w:rPr>
                <w:rFonts w:hint="eastAsia" w:ascii="宋体" w:hAnsi="宋体" w:eastAsia="宋体" w:cs="宋体"/>
                <w:sz w:val="24"/>
                <w:szCs w:val="24"/>
                <w:highlight w:val="green"/>
              </w:rPr>
              <w:t>部分投标须知第六条</w:t>
            </w:r>
            <w:r>
              <w:rPr>
                <w:rFonts w:hint="eastAsia" w:ascii="宋体" w:hAnsi="宋体" w:eastAsia="宋体" w:cs="宋体"/>
                <w:sz w:val="24"/>
                <w:szCs w:val="24"/>
                <w:highlight w:val="green"/>
                <w:lang w:eastAsia="zh-CN"/>
              </w:rPr>
              <w:t>：</w:t>
            </w:r>
            <w:r>
              <w:rPr>
                <w:rFonts w:hint="eastAsia" w:ascii="宋体" w:hAnsi="宋体" w:eastAsia="宋体" w:cs="宋体"/>
                <w:sz w:val="24"/>
                <w:szCs w:val="24"/>
                <w:highlight w:val="green"/>
              </w:rPr>
              <w:t>评</w:t>
            </w:r>
            <w:r>
              <w:rPr>
                <w:rFonts w:hint="eastAsia" w:ascii="宋体" w:hAnsi="宋体" w:eastAsia="宋体" w:cs="宋体"/>
                <w:sz w:val="24"/>
                <w:szCs w:val="24"/>
                <w:highlight w:val="green"/>
                <w:lang w:val="en-US" w:eastAsia="zh-CN"/>
              </w:rPr>
              <w:t>标</w:t>
            </w:r>
            <w:r>
              <w:rPr>
                <w:rFonts w:hint="eastAsia" w:ascii="宋体" w:hAnsi="宋体" w:eastAsia="宋体" w:cs="宋体"/>
                <w:sz w:val="24"/>
                <w:szCs w:val="24"/>
                <w:highlight w:val="green"/>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150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10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16"/>
              <w:ind w:firstLine="480" w:firstLineChars="200"/>
              <w:rPr>
                <w:rFonts w:hAnsi="宋体" w:eastAsia="宋体" w:cs="宋体"/>
                <w:color w:val="000000"/>
                <w:sz w:val="24"/>
                <w:szCs w:val="24"/>
              </w:rPr>
            </w:pPr>
            <w:r>
              <w:rPr>
                <w:rFonts w:hint="eastAsia" w:ascii="宋体" w:hAnsi="宋体" w:eastAsia="宋体" w:cs="宋体"/>
                <w:sz w:val="24"/>
                <w:szCs w:val="24"/>
                <w:highlight w:val="yellow"/>
              </w:rPr>
              <w:t>安装调试时间或终验收时间超过规定时间</w:t>
            </w:r>
            <w:r>
              <w:rPr>
                <w:rFonts w:hint="eastAsia" w:hAnsi="宋体" w:eastAsia="宋体" w:cs="宋体"/>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中国重汽集团济南动力有限公司</w:t>
            </w:r>
            <w:r>
              <w:rPr>
                <w:rFonts w:hint="eastAsia" w:hAnsi="宋体" w:eastAsia="宋体" w:cs="宋体"/>
                <w:b w:val="0"/>
                <w:bCs w:val="0"/>
                <w:color w:val="000000"/>
                <w:sz w:val="24"/>
                <w:szCs w:val="24"/>
                <w:lang w:val="en-US" w:eastAsia="zh-CN"/>
              </w:rPr>
              <w:t>产品试验检测中心</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01"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付款方式：</w:t>
            </w:r>
            <w:r>
              <w:rPr>
                <w:rFonts w:hint="eastAsia" w:ascii="宋体" w:hAnsi="宋体" w:eastAsia="宋体" w:cs="宋体"/>
                <w:b/>
                <w:bCs/>
                <w:sz w:val="24"/>
                <w:szCs w:val="24"/>
                <w:u w:val="none"/>
              </w:rPr>
              <w:t>半年期商业汇票（包括银行承兑汇票和商业承兑汇</w:t>
            </w:r>
            <w:r>
              <w:rPr>
                <w:rFonts w:hint="eastAsia" w:ascii="宋体" w:hAnsi="宋体" w:eastAsia="宋体" w:cs="宋体"/>
                <w:b w:val="0"/>
                <w:bCs w:val="0"/>
                <w:sz w:val="24"/>
                <w:szCs w:val="24"/>
                <w:u w:val="none"/>
              </w:rPr>
              <w:t>票）</w:t>
            </w:r>
            <w:r>
              <w:rPr>
                <w:rFonts w:hint="eastAsia" w:ascii="宋体" w:hAnsi="宋体" w:eastAsia="宋体" w:cs="宋体"/>
                <w:sz w:val="24"/>
                <w:szCs w:val="24"/>
              </w:rPr>
              <w:t>：</w:t>
            </w:r>
          </w:p>
          <w:p>
            <w:pPr>
              <w:pStyle w:val="16"/>
              <w:numPr>
                <w:ilvl w:val="-1"/>
                <w:numId w:val="0"/>
              </w:numPr>
              <w:ind w:firstLine="480" w:firstLineChars="200"/>
              <w:jc w:val="left"/>
              <w:rPr>
                <w:rFonts w:ascii="宋体" w:hAnsi="宋体" w:eastAsia="宋体" w:cs="宋体"/>
                <w:sz w:val="24"/>
                <w:szCs w:val="24"/>
              </w:rPr>
            </w:pPr>
            <w:r>
              <w:rPr>
                <w:rFonts w:ascii="宋体" w:hAnsi="宋体" w:eastAsia="宋体" w:cs="宋体"/>
                <w:sz w:val="24"/>
                <w:szCs w:val="24"/>
              </w:rPr>
              <w:t>（</w:t>
            </w:r>
            <w:r>
              <w:rPr>
                <w:rFonts w:hint="eastAsia" w:hAnsi="宋体" w:eastAsia="宋体" w:cs="宋体"/>
                <w:sz w:val="24"/>
                <w:szCs w:val="24"/>
                <w:lang w:val="en-US" w:eastAsia="zh-CN"/>
              </w:rPr>
              <w:t>1</w:t>
            </w:r>
            <w:r>
              <w:rPr>
                <w:rFonts w:ascii="宋体" w:hAnsi="宋体" w:eastAsia="宋体" w:cs="宋体"/>
                <w:sz w:val="24"/>
                <w:szCs w:val="24"/>
              </w:rPr>
              <w:t>）合同签订生效后，中标人提交金额为合同价款30%的收据并提供合同价款30%的增值税专用发票（含复印件二份），经招标人依照财务制度审核无误后30日支付；</w:t>
            </w:r>
          </w:p>
          <w:p>
            <w:pPr>
              <w:pStyle w:val="16"/>
              <w:numPr>
                <w:ilvl w:val="-1"/>
                <w:numId w:val="0"/>
              </w:numPr>
              <w:ind w:firstLine="480" w:firstLineChars="200"/>
              <w:jc w:val="left"/>
              <w:rPr>
                <w:rFonts w:hint="eastAsia" w:ascii="宋体" w:hAnsi="宋体" w:eastAsia="宋体" w:cs="宋体"/>
                <w:sz w:val="24"/>
                <w:szCs w:val="24"/>
              </w:rPr>
            </w:pPr>
            <w:r>
              <w:rPr>
                <w:rFonts w:ascii="宋体" w:hAnsi="宋体" w:eastAsia="宋体" w:cs="宋体"/>
                <w:sz w:val="24"/>
                <w:szCs w:val="24"/>
              </w:rPr>
              <w:t>（</w:t>
            </w:r>
            <w:r>
              <w:rPr>
                <w:rFonts w:hint="eastAsia" w:hAnsi="宋体" w:eastAsia="宋体" w:cs="宋体"/>
                <w:sz w:val="24"/>
                <w:szCs w:val="24"/>
                <w:lang w:val="en-US" w:eastAsia="zh-CN"/>
              </w:rPr>
              <w:t>2</w:t>
            </w:r>
            <w:r>
              <w:rPr>
                <w:rFonts w:ascii="宋体" w:hAnsi="宋体" w:eastAsia="宋体" w:cs="宋体"/>
                <w:sz w:val="24"/>
                <w:szCs w:val="24"/>
              </w:rPr>
              <w:t>）设备全部到齐，经现场安装调试验收合格交付使用后，卖方提交金额为合同价款60%的收据并附带下列单据，经买方依照财务制度审核无误后30个工作日内支付；</w:t>
            </w:r>
          </w:p>
          <w:p>
            <w:pPr>
              <w:pStyle w:val="16"/>
              <w:numPr>
                <w:ilvl w:val="-1"/>
                <w:numId w:val="0"/>
              </w:numPr>
              <w:ind w:firstLine="480" w:firstLineChars="200"/>
              <w:jc w:val="left"/>
              <w:rPr>
                <w:rFonts w:hint="eastAsia" w:ascii="宋体" w:hAnsi="宋体" w:eastAsia="宋体" w:cs="宋体"/>
                <w:sz w:val="24"/>
                <w:szCs w:val="24"/>
              </w:rPr>
            </w:pPr>
            <w:r>
              <w:rPr>
                <w:rFonts w:ascii="宋体" w:hAnsi="宋体" w:eastAsia="宋体" w:cs="宋体"/>
                <w:sz w:val="24"/>
                <w:szCs w:val="24"/>
              </w:rPr>
              <w:t>A：金额为该合同设备价格70%的增值税专用发票（含复印件二份），具体开票信息详见发票信息表，根据表中所列分别开具增值税发票。</w:t>
            </w:r>
          </w:p>
          <w:p>
            <w:pPr>
              <w:pStyle w:val="16"/>
              <w:numPr>
                <w:ilvl w:val="-1"/>
                <w:numId w:val="0"/>
              </w:numPr>
              <w:ind w:firstLine="480" w:firstLineChars="200"/>
              <w:jc w:val="left"/>
              <w:rPr>
                <w:rFonts w:hint="eastAsia" w:ascii="宋体" w:hAnsi="宋体" w:eastAsia="宋体" w:cs="宋体"/>
                <w:sz w:val="24"/>
                <w:szCs w:val="24"/>
              </w:rPr>
            </w:pPr>
            <w:r>
              <w:rPr>
                <w:rFonts w:ascii="宋体" w:hAnsi="宋体" w:eastAsia="宋体" w:cs="宋体"/>
                <w:sz w:val="24"/>
                <w:szCs w:val="24"/>
              </w:rPr>
              <w:t>B：该套合同设备最终验收报告的原件及其复印件两份。</w:t>
            </w:r>
          </w:p>
          <w:p>
            <w:pPr>
              <w:pStyle w:val="16"/>
              <w:ind w:firstLine="480" w:firstLineChars="200"/>
              <w:jc w:val="left"/>
              <w:rPr>
                <w:rFonts w:hint="eastAsia" w:ascii="宋体" w:hAnsi="宋体" w:eastAsia="宋体" w:cs="宋体"/>
                <w:sz w:val="24"/>
                <w:szCs w:val="24"/>
              </w:rPr>
            </w:pPr>
            <w:r>
              <w:rPr>
                <w:rFonts w:ascii="宋体" w:hAnsi="宋体" w:eastAsia="宋体" w:cs="宋体"/>
                <w:sz w:val="24"/>
                <w:szCs w:val="24"/>
              </w:rPr>
              <w:t>（3）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无误后30个工作日。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名称：中国重汽集团济南动力有限公司</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地址：章丘市圣井唐王山路北潘王路西</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纳税人识别号：91370100787411873C</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开户行：中国银行章丘支行</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cyan"/>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kern w:val="2"/>
                <w:sz w:val="24"/>
                <w:szCs w:val="24"/>
                <w:lang w:val="en-US" w:eastAsia="zh-CN" w:bidi="ar-SA"/>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15日</w:t>
            </w:r>
            <w:r>
              <w:rPr>
                <w:rFonts w:hint="eastAsia" w:ascii="宋体" w:hAnsi="宋体" w:eastAsia="宋体" w:cs="宋体"/>
                <w:sz w:val="24"/>
                <w:szCs w:val="24"/>
              </w:rPr>
              <w:t>内需根据设计</w:t>
            </w:r>
            <w:r>
              <w:rPr>
                <w:rStyle w:val="41"/>
                <w:rFonts w:hint="eastAsia" w:ascii="宋体" w:hAnsi="宋体" w:eastAsia="宋体" w:cs="宋体"/>
                <w:sz w:val="24"/>
                <w:szCs w:val="24"/>
              </w:rPr>
              <w:t>提资</w:t>
            </w:r>
            <w:r>
              <w:rPr>
                <w:rFonts w:hint="eastAsia" w:ascii="宋体" w:hAnsi="宋体" w:eastAsia="宋体" w:cs="宋体"/>
                <w:sz w:val="24"/>
                <w:szCs w:val="24"/>
              </w:rPr>
              <w:t>要求提供详细的</w:t>
            </w:r>
            <w:r>
              <w:rPr>
                <w:rStyle w:val="41"/>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1"/>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1"/>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pPr>
        <w:keepNext/>
        <w:keepLines/>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pPr>
        <w:spacing w:line="360" w:lineRule="auto"/>
        <w:ind w:left="1679" w:leftChars="228" w:hanging="1200" w:hangingChars="500"/>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5" w:name="OLE_LINK1"/>
      <w:r>
        <w:rPr>
          <w:rFonts w:hint="eastAsia" w:ascii="宋体" w:hAnsi="宋体" w:eastAsia="宋体" w:cs="Times New Roman"/>
          <w:color w:val="000000"/>
          <w:sz w:val="24"/>
          <w:szCs w:val="24"/>
        </w:rPr>
        <w:t>见《投标须知前附表》。</w:t>
      </w:r>
    </w:p>
    <w:bookmarkEnd w:id="5"/>
    <w:p>
      <w:pPr>
        <w:keepNext/>
        <w:keepLines/>
        <w:numPr>
          <w:ilvl w:val="0"/>
          <w:numId w:val="3"/>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pPr>
        <w:pStyle w:val="16"/>
        <w:spacing w:line="360" w:lineRule="auto"/>
        <w:ind w:firstLine="480" w:firstLineChars="200"/>
      </w:pPr>
      <w:r>
        <w:rPr>
          <w:rFonts w:hint="eastAsia" w:hAnsi="宋体" w:eastAsia="宋体" w:cs="Times New Roman"/>
          <w:color w:val="000000"/>
          <w:sz w:val="24"/>
          <w:szCs w:val="24"/>
        </w:rPr>
        <w:t>见《投标须知前附表》。</w:t>
      </w:r>
    </w:p>
    <w:p>
      <w:pPr>
        <w:spacing w:line="360" w:lineRule="auto"/>
        <w:ind w:firstLine="482" w:firstLineChars="200"/>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对于本项目需着重介绍的注意事项已经通过以下带颜色文档进行标记。</w:t>
      </w:r>
    </w:p>
    <w:p>
      <w:pPr>
        <w:spacing w:line="360" w:lineRule="auto"/>
        <w:ind w:firstLine="482" w:firstLineChars="200"/>
        <w:rPr>
          <w:rFonts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具体要求详见《技术标书》。</w:t>
      </w:r>
    </w:p>
    <w:p>
      <w:pPr>
        <w:keepNext/>
        <w:keepLines/>
        <w:numPr>
          <w:ilvl w:val="0"/>
          <w:numId w:val="3"/>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交货及付款</w:t>
      </w:r>
      <w:r>
        <w:rPr>
          <w:rFonts w:ascii="Arial" w:hAnsi="Arial" w:eastAsia="宋体" w:cs="Times New Roman"/>
          <w:b/>
          <w:bCs/>
          <w:sz w:val="28"/>
          <w:szCs w:val="36"/>
        </w:rPr>
        <w:tab/>
      </w:r>
    </w:p>
    <w:p>
      <w:pPr>
        <w:pStyle w:val="16"/>
        <w:ind w:firstLine="480" w:firstLineChars="200"/>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pPr>
        <w:keepNext/>
        <w:keepLines/>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投标人根据招</w:t>
      </w:r>
      <w:r>
        <w:rPr>
          <w:rFonts w:hint="eastAsia" w:ascii="宋体" w:hAnsi="Courier New" w:eastAsia="宋体" w:cs="Times New Roman"/>
          <w:color w:val="000000"/>
          <w:sz w:val="24"/>
          <w:szCs w:val="24"/>
          <w:highlight w:val="none"/>
        </w:rPr>
        <w:t>标人在中国重汽官网</w:t>
      </w:r>
      <w:r>
        <w:rPr>
          <w:rFonts w:hint="eastAsia" w:ascii="宋体" w:hAnsi="Courier New" w:eastAsia="宋体" w:cs="Times New Roman"/>
          <w:color w:val="000000"/>
          <w:sz w:val="24"/>
          <w:szCs w:val="24"/>
          <w:highlight w:val="none"/>
          <w:lang w:val="en-US" w:eastAsia="zh-CN"/>
        </w:rPr>
        <w:t>等公开媒体</w:t>
      </w:r>
      <w:r>
        <w:rPr>
          <w:rFonts w:hint="eastAsia" w:ascii="宋体" w:hAnsi="Courier New" w:eastAsia="宋体" w:cs="Times New Roman"/>
          <w:color w:val="000000"/>
          <w:sz w:val="24"/>
          <w:szCs w:val="24"/>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ascii="宋体" w:hAnsi="Courier New" w:eastAsia="宋体" w:cs="Times New Roman"/>
          <w:b w:val="0"/>
          <w:bCs w:val="0"/>
          <w:color w:val="000000"/>
          <w:sz w:val="24"/>
          <w:szCs w:val="24"/>
          <w:highlight w:val="none"/>
          <w:lang w:val="en-US" w:eastAsia="zh-CN"/>
        </w:rPr>
        <w:t>按照中国重汽e采通“SRM非生产供应商注册手册（附件15）”进行注册</w:t>
      </w:r>
      <w:r>
        <w:rPr>
          <w:rFonts w:hint="eastAsia" w:ascii="宋体" w:hAnsi="Courier New" w:eastAsia="宋体" w:cs="Times New Roman"/>
          <w:color w:val="000000"/>
          <w:sz w:val="24"/>
          <w:szCs w:val="24"/>
          <w:highlight w:val="none"/>
          <w:lang w:val="en-US" w:eastAsia="zh-CN"/>
        </w:rPr>
        <w:t>，进入“供应商应标”，选择对应的项目，点击“</w:t>
      </w:r>
      <w:r>
        <w:rPr>
          <w:rFonts w:hint="eastAsia" w:ascii="宋体" w:hAnsi="Courier New" w:eastAsia="宋体" w:cs="Times New Roman"/>
          <w:b w:val="0"/>
          <w:bCs w:val="0"/>
          <w:color w:val="000000"/>
          <w:sz w:val="24"/>
          <w:szCs w:val="24"/>
          <w:highlight w:val="none"/>
          <w:lang w:val="en-US" w:eastAsia="zh-CN"/>
        </w:rPr>
        <w:t>应标</w:t>
      </w:r>
      <w:r>
        <w:rPr>
          <w:rFonts w:hint="eastAsia" w:ascii="宋体" w:hAnsi="Courier New" w:eastAsia="宋体" w:cs="Times New Roman"/>
          <w:color w:val="000000"/>
          <w:sz w:val="24"/>
          <w:szCs w:val="24"/>
          <w:highlight w:val="none"/>
          <w:lang w:val="en-US" w:eastAsia="zh-CN"/>
        </w:rPr>
        <w:t>”后</w:t>
      </w:r>
      <w:r>
        <w:rPr>
          <w:rFonts w:hint="eastAsia" w:ascii="宋体" w:hAnsi="Courier New" w:eastAsia="宋体" w:cs="Times New Roman"/>
          <w:b w:val="0"/>
          <w:bCs w:val="0"/>
          <w:color w:val="000000"/>
          <w:sz w:val="24"/>
          <w:szCs w:val="24"/>
          <w:highlight w:val="none"/>
        </w:rPr>
        <w:t>按照</w:t>
      </w:r>
      <w:r>
        <w:rPr>
          <w:rFonts w:hint="eastAsia" w:ascii="宋体" w:hAnsi="Courier New" w:eastAsia="宋体" w:cs="Times New Roman"/>
          <w:b w:val="0"/>
          <w:bCs w:val="0"/>
          <w:color w:val="000000"/>
          <w:sz w:val="24"/>
          <w:szCs w:val="24"/>
          <w:highlight w:val="none"/>
          <w:lang w:val="en-US" w:eastAsia="zh-CN"/>
        </w:rPr>
        <w:t>招标文件</w:t>
      </w:r>
      <w:r>
        <w:rPr>
          <w:rFonts w:hint="eastAsia" w:ascii="宋体" w:hAnsi="Courier New" w:eastAsia="宋体" w:cs="Times New Roman"/>
          <w:b w:val="0"/>
          <w:bCs w:val="0"/>
          <w:color w:val="000000"/>
          <w:sz w:val="24"/>
          <w:szCs w:val="24"/>
          <w:highlight w:val="none"/>
        </w:rPr>
        <w:t>第</w:t>
      </w:r>
      <w:r>
        <w:rPr>
          <w:rFonts w:hint="eastAsia" w:ascii="宋体" w:hAnsi="Courier New" w:eastAsia="宋体" w:cs="Times New Roman"/>
          <w:b w:val="0"/>
          <w:bCs w:val="0"/>
          <w:color w:val="000000"/>
          <w:sz w:val="24"/>
          <w:szCs w:val="24"/>
          <w:highlight w:val="none"/>
          <w:lang w:val="en-US" w:eastAsia="zh-CN"/>
        </w:rPr>
        <w:t>三</w:t>
      </w:r>
      <w:r>
        <w:rPr>
          <w:rFonts w:hint="eastAsia" w:ascii="宋体" w:hAnsi="Courier New" w:eastAsia="宋体" w:cs="Times New Roman"/>
          <w:b w:val="0"/>
          <w:bCs w:val="0"/>
          <w:color w:val="000000"/>
          <w:sz w:val="24"/>
          <w:szCs w:val="24"/>
          <w:highlight w:val="none"/>
        </w:rPr>
        <w:t>部分投标文件组成资格证明文件中的1.1-1.</w:t>
      </w:r>
      <w:r>
        <w:rPr>
          <w:rFonts w:hint="eastAsia" w:ascii="宋体" w:hAnsi="Courier New" w:eastAsia="宋体" w:cs="Times New Roman"/>
          <w:b w:val="0"/>
          <w:bCs w:val="0"/>
          <w:color w:val="000000"/>
          <w:sz w:val="24"/>
          <w:szCs w:val="24"/>
          <w:highlight w:val="none"/>
          <w:lang w:val="en-US" w:eastAsia="zh-CN"/>
        </w:rPr>
        <w:t>12准备资料并</w:t>
      </w:r>
      <w:r>
        <w:rPr>
          <w:rFonts w:hint="eastAsia" w:ascii="宋体" w:hAnsi="Courier New" w:eastAsia="宋体" w:cs="Times New Roman"/>
          <w:color w:val="000000"/>
          <w:sz w:val="24"/>
          <w:szCs w:val="24"/>
          <w:highlight w:val="none"/>
          <w:lang w:val="en-US" w:eastAsia="zh-CN"/>
        </w:rPr>
        <w:t>上传，资质审查通过即为报名成功</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投标保证金缴纳时，</w:t>
      </w:r>
      <w:r>
        <w:rPr>
          <w:rFonts w:hint="eastAsia" w:ascii="宋体" w:hAnsi="Courier New" w:eastAsia="宋体" w:cs="Times New Roman"/>
          <w:b/>
          <w:bCs/>
          <w:color w:val="000000"/>
          <w:sz w:val="24"/>
          <w:szCs w:val="24"/>
        </w:rPr>
        <w:t>务必备注所投标的项目名称</w:t>
      </w:r>
      <w:r>
        <w:rPr>
          <w:rFonts w:hint="eastAsia" w:ascii="宋体" w:hAnsi="Courier New" w:eastAsia="宋体" w:cs="Times New Roman"/>
          <w:color w:val="000000"/>
          <w:sz w:val="24"/>
          <w:szCs w:val="24"/>
        </w:rPr>
        <w:t>。</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不按要求报名的，或因未提供相关信息导致后期无法退回保证金的，需投标</w:t>
      </w:r>
      <w:r>
        <w:rPr>
          <w:rFonts w:hint="eastAsia" w:ascii="宋体" w:hAnsi="Courier New" w:eastAsia="宋体" w:cs="Times New Roman"/>
          <w:color w:val="000000"/>
          <w:sz w:val="24"/>
          <w:szCs w:val="24"/>
          <w:lang w:val="en-US" w:eastAsia="zh-CN"/>
        </w:rPr>
        <w:t>人</w:t>
      </w:r>
      <w:r>
        <w:rPr>
          <w:rFonts w:hint="eastAsia" w:ascii="宋体" w:hAnsi="Courier New" w:eastAsia="宋体" w:cs="Times New Roman"/>
          <w:color w:val="000000"/>
          <w:sz w:val="24"/>
          <w:szCs w:val="24"/>
        </w:rPr>
        <w:t>承担</w:t>
      </w:r>
      <w:r>
        <w:rPr>
          <w:rFonts w:hint="eastAsia" w:ascii="宋体" w:hAnsi="Courier New" w:eastAsia="宋体" w:cs="Times New Roman"/>
          <w:color w:val="000000"/>
          <w:sz w:val="24"/>
          <w:szCs w:val="24"/>
          <w:lang w:val="en-US" w:eastAsia="zh-CN"/>
        </w:rPr>
        <w:t>责任</w:t>
      </w:r>
      <w:r>
        <w:rPr>
          <w:rFonts w:hint="eastAsia" w:ascii="宋体" w:hAnsi="Courier New" w:eastAsia="宋体" w:cs="Times New Roman"/>
          <w:color w:val="000000"/>
          <w:sz w:val="24"/>
          <w:szCs w:val="24"/>
        </w:rPr>
        <w:t>。</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2.投标条件</w:t>
      </w:r>
    </w:p>
    <w:p>
      <w:pPr>
        <w:pStyle w:val="16"/>
        <w:spacing w:line="360" w:lineRule="auto"/>
        <w:ind w:firstLine="482" w:firstLineChars="200"/>
        <w:rPr>
          <w:rFonts w:hAnsi="宋体" w:eastAsia="宋体"/>
          <w:color w:val="000000"/>
          <w:sz w:val="24"/>
          <w:szCs w:val="24"/>
        </w:rPr>
      </w:pPr>
      <w:r>
        <w:rPr>
          <w:rFonts w:hint="eastAsia" w:eastAsia="宋体" w:cs="Times New Roman"/>
          <w:b/>
          <w:bCs/>
          <w:color w:val="000000"/>
          <w:sz w:val="24"/>
          <w:szCs w:val="24"/>
          <w:highlight w:val="yellow"/>
        </w:rPr>
        <w:t>对于</w:t>
      </w:r>
      <w:r>
        <w:rPr>
          <w:rFonts w:hint="eastAsia" w:ascii="宋体" w:hAnsi="Courier New" w:eastAsia="宋体" w:cs="Times New Roman"/>
          <w:b/>
          <w:bCs/>
          <w:color w:val="000000"/>
          <w:sz w:val="24"/>
          <w:szCs w:val="24"/>
          <w:highlight w:val="yellow"/>
        </w:rPr>
        <w:t>投标条件</w:t>
      </w:r>
      <w:r>
        <w:rPr>
          <w:rFonts w:hint="eastAsia" w:hAnsi="Courier New" w:eastAsia="宋体" w:cs="Times New Roman"/>
          <w:b/>
          <w:bCs/>
          <w:color w:val="000000"/>
          <w:sz w:val="24"/>
          <w:szCs w:val="24"/>
          <w:highlight w:val="yellow"/>
          <w:lang w:val="en-US" w:eastAsia="zh-CN"/>
        </w:rPr>
        <w:t>详见</w:t>
      </w:r>
      <w:r>
        <w:rPr>
          <w:rFonts w:hint="eastAsia" w:eastAsia="宋体" w:cs="Times New Roman"/>
          <w:b/>
          <w:bCs/>
          <w:color w:val="000000"/>
          <w:sz w:val="24"/>
          <w:szCs w:val="24"/>
          <w:highlight w:val="yellow"/>
          <w:lang w:val="en-US" w:eastAsia="zh-CN"/>
        </w:rPr>
        <w:t>招标文件</w:t>
      </w:r>
      <w:r>
        <w:rPr>
          <w:rFonts w:hint="eastAsia" w:hAnsi="Courier New" w:eastAsia="宋体" w:cs="Times New Roman"/>
          <w:b/>
          <w:bCs/>
          <w:color w:val="000000"/>
          <w:sz w:val="24"/>
          <w:szCs w:val="24"/>
          <w:highlight w:val="yellow"/>
          <w:lang w:val="en-US" w:eastAsia="zh-CN"/>
        </w:rPr>
        <w:t>“第一部分投标须知前附表1.6”。</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3.报价</w:t>
      </w:r>
    </w:p>
    <w:p>
      <w:pPr>
        <w:pStyle w:val="16"/>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w:t>
      </w:r>
      <w:r>
        <w:rPr>
          <w:rFonts w:hint="eastAsia" w:hAnsi="宋体" w:eastAsia="宋体" w:cs="Times New Roman"/>
          <w:color w:val="000000"/>
          <w:sz w:val="24"/>
          <w:szCs w:val="24"/>
          <w:lang w:val="en-US" w:eastAsia="zh-CN"/>
        </w:rPr>
        <w:t>本部分第</w:t>
      </w:r>
      <w:r>
        <w:rPr>
          <w:rFonts w:hint="eastAsia" w:hAnsi="宋体" w:eastAsia="宋体" w:cs="Times New Roman"/>
          <w:color w:val="000000"/>
          <w:sz w:val="24"/>
          <w:szCs w:val="24"/>
        </w:rPr>
        <w:t>六</w:t>
      </w:r>
      <w:r>
        <w:rPr>
          <w:rFonts w:hint="eastAsia" w:hAnsi="宋体" w:eastAsia="宋体" w:cs="Times New Roman"/>
          <w:color w:val="000000"/>
          <w:sz w:val="24"/>
          <w:szCs w:val="24"/>
          <w:lang w:val="en-US" w:eastAsia="zh-CN"/>
        </w:rPr>
        <w:t>条</w:t>
      </w:r>
      <w:r>
        <w:rPr>
          <w:rFonts w:hint="eastAsia" w:hAnsi="宋体" w:eastAsia="宋体" w:cs="Times New Roman"/>
          <w:color w:val="000000"/>
          <w:sz w:val="24"/>
          <w:szCs w:val="24"/>
        </w:rPr>
        <w:t>评标</w:t>
      </w:r>
      <w:r>
        <w:rPr>
          <w:rFonts w:hint="eastAsia" w:hAnsi="宋体" w:eastAsia="宋体" w:cs="Times New Roman"/>
          <w:color w:val="000000"/>
          <w:sz w:val="24"/>
          <w:szCs w:val="24"/>
          <w:lang w:val="en-US" w:eastAsia="zh-CN"/>
        </w:rPr>
        <w:t>原则</w:t>
      </w:r>
      <w:r>
        <w:rPr>
          <w:rFonts w:hint="eastAsia" w:hAnsi="宋体" w:eastAsia="宋体" w:cs="Times New Roman"/>
          <w:color w:val="000000"/>
          <w:sz w:val="24"/>
          <w:szCs w:val="24"/>
        </w:rPr>
        <w:t>。</w:t>
      </w:r>
    </w:p>
    <w:p>
      <w:pPr>
        <w:spacing w:line="360" w:lineRule="auto"/>
        <w:ind w:firstLine="235" w:firstLineChars="98"/>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3.2</w:t>
      </w:r>
      <w:r>
        <w:rPr>
          <w:rFonts w:hint="eastAsia" w:ascii="宋体" w:hAnsi="宋体" w:eastAsia="宋体" w:cs="Times New Roman"/>
          <w:b/>
          <w:bCs/>
          <w:color w:val="000000"/>
          <w:sz w:val="24"/>
          <w:szCs w:val="24"/>
          <w:highlight w:val="yellow"/>
        </w:rPr>
        <w:t>所有设备的报价货币单位为：</w:t>
      </w:r>
      <w:r>
        <w:rPr>
          <w:rFonts w:hint="eastAsia" w:ascii="宋体" w:hAnsi="宋体" w:eastAsia="宋体" w:cs="Times New Roman"/>
          <w:b/>
          <w:bCs/>
          <w:color w:val="000000"/>
          <w:sz w:val="24"/>
          <w:szCs w:val="24"/>
          <w:highlight w:val="yellow"/>
          <w:u w:val="single"/>
        </w:rPr>
        <w:t xml:space="preserve">         </w:t>
      </w:r>
      <w:r>
        <w:rPr>
          <w:rFonts w:hint="eastAsia" w:ascii="宋体" w:hAnsi="宋体" w:eastAsia="宋体" w:cs="Times New Roman"/>
          <w:b/>
          <w:bCs/>
          <w:color w:val="000000"/>
          <w:sz w:val="24"/>
          <w:szCs w:val="24"/>
          <w:highlight w:val="yellow"/>
        </w:rPr>
        <w:t>元</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bCs/>
          <w:color w:val="000000"/>
          <w:sz w:val="24"/>
          <w:szCs w:val="24"/>
          <w:highlight w:val="green"/>
        </w:rPr>
        <w:t>人民币</w:t>
      </w:r>
      <w:r>
        <w:rPr>
          <w:rFonts w:hint="eastAsia" w:ascii="宋体" w:hAnsi="宋体" w:eastAsia="宋体" w:cs="Times New Roman"/>
          <w:b/>
          <w:bCs/>
          <w:color w:val="000000"/>
          <w:sz w:val="24"/>
          <w:szCs w:val="24"/>
          <w:highlight w:val="yellow"/>
        </w:rPr>
        <w:t>（</w:t>
      </w:r>
      <w:r>
        <w:rPr>
          <w:rFonts w:hint="eastAsia" w:ascii="宋体" w:hAnsi="宋体" w:eastAsia="宋体" w:cs="Times New Roman"/>
          <w:b/>
          <w:bCs/>
          <w:color w:val="000000"/>
          <w:sz w:val="24"/>
          <w:szCs w:val="24"/>
          <w:highlight w:val="yellow"/>
          <w:lang w:val="en-US" w:eastAsia="zh-CN"/>
        </w:rPr>
        <w:t>应同时</w:t>
      </w:r>
      <w:r>
        <w:rPr>
          <w:rFonts w:hint="eastAsia" w:ascii="宋体" w:hAnsi="宋体" w:eastAsia="宋体" w:cs="Times New Roman"/>
          <w:b/>
          <w:bCs/>
          <w:color w:val="000000"/>
          <w:sz w:val="24"/>
          <w:szCs w:val="24"/>
          <w:highlight w:val="yellow"/>
        </w:rPr>
        <w:t>报含税价和不含税价并写明税率）</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bCs/>
          <w:color w:val="000000"/>
          <w:sz w:val="24"/>
          <w:szCs w:val="24"/>
          <w:highlight w:val="yellow"/>
        </w:rPr>
        <w:t>。</w:t>
      </w:r>
    </w:p>
    <w:p>
      <w:pPr>
        <w:keepNext w:val="0"/>
        <w:keepLines w:val="0"/>
        <w:spacing w:line="360" w:lineRule="auto"/>
        <w:ind w:firstLine="482" w:firstLineChars="200"/>
        <w:outlineLvl w:val="9"/>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4.设备要求：</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4.5投标企业按技术规范书提报设备详细技术资料；</w:t>
      </w:r>
    </w:p>
    <w:p>
      <w:pPr>
        <w:pStyle w:val="16"/>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pPr>
        <w:pStyle w:val="16"/>
        <w:spacing w:line="360" w:lineRule="auto"/>
        <w:ind w:firstLine="480" w:firstLineChars="200"/>
        <w:rPr>
          <w:rFonts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pPr>
        <w:pStyle w:val="16"/>
        <w:spacing w:line="360" w:lineRule="auto"/>
        <w:rPr>
          <w:rFonts w:hAnsi="宋体" w:eastAsia="宋体"/>
          <w:color w:val="000000"/>
          <w:sz w:val="24"/>
          <w:szCs w:val="24"/>
        </w:rPr>
      </w:pPr>
      <w:r>
        <w:rPr>
          <w:rFonts w:hAnsi="宋体" w:eastAsia="宋体"/>
          <w:color w:val="000000"/>
          <w:sz w:val="24"/>
          <w:szCs w:val="24"/>
        </w:rPr>
        <w:t>—2020）。</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pPr>
        <w:keepNext/>
        <w:keepLines/>
        <w:spacing w:line="420" w:lineRule="exact"/>
        <w:ind w:firstLine="480" w:firstLineChars="200"/>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pPr>
        <w:keepNext/>
        <w:keepLines/>
        <w:spacing w:line="420" w:lineRule="exact"/>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pPr>
        <w:keepNext/>
        <w:keepLines/>
        <w:spacing w:line="420" w:lineRule="exact"/>
        <w:ind w:firstLine="482" w:firstLineChars="200"/>
        <w:outlineLvl w:val="2"/>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p>
    <w:p>
      <w:pPr>
        <w:spacing w:line="420" w:lineRule="exact"/>
        <w:ind w:firstLine="480" w:firstLineChars="200"/>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2.发标方式</w:t>
      </w:r>
    </w:p>
    <w:p>
      <w:pPr>
        <w:keepNext/>
        <w:keepLines/>
        <w:spacing w:line="420" w:lineRule="exact"/>
        <w:ind w:firstLine="480" w:firstLineChars="200"/>
        <w:outlineLvl w:val="2"/>
        <w:rPr>
          <w:rFonts w:hint="eastAsia" w:ascii="宋体" w:hAnsi="宋体" w:eastAsia="宋体" w:cs="Times New Roman"/>
          <w:b/>
          <w:bCs/>
          <w:color w:val="000000"/>
          <w:sz w:val="24"/>
          <w:szCs w:val="24"/>
        </w:rPr>
      </w:pPr>
      <w:r>
        <w:rPr>
          <w:rFonts w:hint="eastAsia" w:ascii="宋体" w:hAnsi="宋体" w:eastAsia="宋体" w:cs="Times New Roman"/>
          <w:color w:val="000000"/>
          <w:sz w:val="24"/>
          <w:szCs w:val="24"/>
        </w:rPr>
        <w:t>中国重汽官网、山东省阳光采购服务平台、中国招标投标公共服务平台等公开媒体公布。</w:t>
      </w:r>
    </w:p>
    <w:p>
      <w:pPr>
        <w:keepNext/>
        <w:keepLines/>
        <w:spacing w:line="420" w:lineRule="exact"/>
        <w:ind w:firstLine="482" w:firstLineChars="200"/>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p>
    <w:p>
      <w:pPr>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见《投标须知前附表》第二条，逾期不受理。</w:t>
      </w:r>
    </w:p>
    <w:p>
      <w:pPr>
        <w:keepNext/>
        <w:keepLines/>
        <w:spacing w:line="420" w:lineRule="exact"/>
        <w:ind w:firstLine="482" w:firstLineChars="200"/>
        <w:outlineLvl w:val="2"/>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4.投标报名</w:t>
      </w:r>
    </w:p>
    <w:p>
      <w:pPr>
        <w:keepNext/>
        <w:keepLines/>
        <w:spacing w:line="360" w:lineRule="auto"/>
        <w:ind w:firstLine="482"/>
        <w:rPr>
          <w:rFonts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yellow"/>
        </w:rPr>
        <w:t>（保证金具体金额及缴纳截止时间见《投标须知前附表》4.3）。</w:t>
      </w:r>
    </w:p>
    <w:p>
      <w:pPr>
        <w:pStyle w:val="111"/>
        <w:ind w:firstLine="480"/>
        <w:rPr>
          <w:rFonts w:eastAsia="宋体" w:cs="Times New Roman"/>
        </w:rPr>
      </w:pPr>
      <w:r>
        <w:rPr>
          <w:rFonts w:hint="eastAsia" w:eastAsia="宋体" w:cs="Times New Roman"/>
        </w:rPr>
        <w:t>4.2招标人银行账户信息</w:t>
      </w:r>
      <w:r>
        <w:rPr>
          <w:rFonts w:hint="eastAsia" w:eastAsia="宋体" w:cs="Times New Roman"/>
          <w:lang w:val="en-US" w:eastAsia="zh-CN"/>
        </w:rPr>
        <w:t>详</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Times New Roman"/>
        </w:rPr>
        <w:t>：</w:t>
      </w:r>
    </w:p>
    <w:p>
      <w:pPr>
        <w:pStyle w:val="111"/>
        <w:ind w:firstLine="480"/>
        <w:rPr>
          <w:rFonts w:eastAsia="宋体" w:cs="Times New Roman"/>
        </w:rPr>
      </w:pPr>
      <w:r>
        <w:rPr>
          <w:rFonts w:hint="eastAsia" w:eastAsia="宋体" w:cs="Times New Roman"/>
        </w:rPr>
        <w:t>转账附言：公司名称+项目名称+投标保证金；</w:t>
      </w:r>
    </w:p>
    <w:p>
      <w:pPr>
        <w:pStyle w:val="111"/>
        <w:ind w:firstLine="480"/>
        <w:rPr>
          <w:rFonts w:hint="eastAsia" w:eastAsia="宋体" w:cs="Times New Roman"/>
        </w:rPr>
      </w:pPr>
      <w:r>
        <w:rPr>
          <w:rFonts w:hint="eastAsia" w:eastAsia="宋体" w:cs="Times New Roman"/>
        </w:rPr>
        <w:t>对于未中标的投标人，投标保证金将于招标人内部完成中标人评审并确认最终中标人后在30个工作日内予以原路返还（无息）；对于中标方，投标保证金将在签订合同后30个工作日内原路返还（无息）。</w:t>
      </w:r>
    </w:p>
    <w:p>
      <w:pPr>
        <w:pStyle w:val="111"/>
        <w:ind w:firstLine="480"/>
        <w:rPr>
          <w:rFonts w:eastAsia="宋体" w:cs="Times New Roman"/>
        </w:rPr>
      </w:pPr>
      <w:r>
        <w:rPr>
          <w:rFonts w:hint="eastAsia" w:eastAsia="宋体" w:cs="Times New Roman"/>
        </w:rPr>
        <w:t>4.3说明</w:t>
      </w:r>
    </w:p>
    <w:p>
      <w:pPr>
        <w:pStyle w:val="111"/>
        <w:ind w:firstLine="480"/>
        <w:rPr>
          <w:rFonts w:eastAsia="宋体" w:cs="Times New Roman"/>
        </w:rPr>
      </w:pPr>
      <w:r>
        <w:rPr>
          <w:rFonts w:hint="eastAsia" w:eastAsia="宋体" w:cs="Times New Roman"/>
        </w:rPr>
        <w:t>4.3.1 投标人在向招标人出示《投标保证金缴纳凭证》后方可进行投标；</w:t>
      </w:r>
    </w:p>
    <w:p>
      <w:pPr>
        <w:pStyle w:val="111"/>
        <w:ind w:firstLine="480"/>
        <w:rPr>
          <w:rFonts w:eastAsia="宋体" w:cs="Times New Roman"/>
        </w:rPr>
      </w:pPr>
      <w:r>
        <w:rPr>
          <w:rFonts w:hint="eastAsia" w:eastAsia="宋体" w:cs="Times New Roman"/>
        </w:rPr>
        <w:t>4.3.2 发生以下情况时，招标人有权没收保证金：</w:t>
      </w:r>
    </w:p>
    <w:p>
      <w:pPr>
        <w:pStyle w:val="111"/>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pPr>
        <w:pStyle w:val="111"/>
        <w:ind w:firstLine="480"/>
        <w:rPr>
          <w:rFonts w:eastAsia="宋体" w:cs="Times New Roman"/>
        </w:rPr>
      </w:pPr>
      <w:r>
        <w:rPr>
          <w:rFonts w:hint="eastAsia" w:eastAsia="宋体" w:cs="Times New Roman"/>
        </w:rPr>
        <w:t>4.3.2.2 投标人递送投标文件后，无正当理由放弃投标的；</w:t>
      </w:r>
    </w:p>
    <w:p>
      <w:pPr>
        <w:pStyle w:val="111"/>
        <w:ind w:firstLine="480"/>
        <w:rPr>
          <w:rFonts w:eastAsia="宋体" w:cs="Times New Roman"/>
        </w:rPr>
      </w:pPr>
      <w:r>
        <w:rPr>
          <w:rFonts w:hint="eastAsia" w:eastAsia="宋体" w:cs="Times New Roman"/>
        </w:rPr>
        <w:t>4.3.2.3若为视频开标，招标过程中澄清函等资料原件未按要求提交的；</w:t>
      </w:r>
    </w:p>
    <w:p>
      <w:pPr>
        <w:pStyle w:val="111"/>
        <w:ind w:firstLine="480"/>
        <w:rPr>
          <w:rFonts w:eastAsia="宋体" w:cs="Times New Roman"/>
        </w:rPr>
      </w:pPr>
      <w:r>
        <w:rPr>
          <w:rFonts w:hint="eastAsia" w:eastAsia="宋体" w:cs="Times New Roman"/>
        </w:rPr>
        <w:t>4.3.2.4自中标通知书发出之日起30日内，中标人无正当理由不签订合同的；</w:t>
      </w:r>
    </w:p>
    <w:p>
      <w:pPr>
        <w:pStyle w:val="111"/>
        <w:ind w:firstLine="480"/>
        <w:rPr>
          <w:rFonts w:eastAsia="宋体" w:cs="Times New Roman"/>
        </w:rPr>
      </w:pPr>
      <w:r>
        <w:rPr>
          <w:rFonts w:hint="eastAsia" w:eastAsia="宋体" w:cs="Times New Roman"/>
        </w:rPr>
        <w:t>4.3.2.5投标人在投标过程中被查实有串标、围标、陪标等违规违纪行为的；</w:t>
      </w:r>
    </w:p>
    <w:p>
      <w:pPr>
        <w:spacing w:line="360" w:lineRule="auto"/>
        <w:ind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4.3.2.6投标人有违约违规行为或被投诉、举报的，在调查处理期间，保证金暂不退还，待调查处理结束后按有关规定处理。</w:t>
      </w:r>
    </w:p>
    <w:p>
      <w:pPr>
        <w:pStyle w:val="111"/>
        <w:ind w:firstLine="480"/>
        <w:rPr>
          <w:rFonts w:eastAsia="宋体" w:cs="Times New Roman"/>
        </w:rPr>
      </w:pPr>
      <w:r>
        <w:rPr>
          <w:rFonts w:hint="eastAsia" w:eastAsia="宋体" w:cs="Times New Roman"/>
        </w:rPr>
        <w:t>4.4投标报名截止时间</w:t>
      </w:r>
    </w:p>
    <w:p>
      <w:pPr>
        <w:pStyle w:val="111"/>
        <w:ind w:firstLine="480"/>
        <w:rPr>
          <w:rFonts w:eastAsia="宋体" w:cs="Times New Roman"/>
        </w:rPr>
      </w:pPr>
      <w:r>
        <w:rPr>
          <w:rFonts w:hint="eastAsia" w:eastAsia="宋体" w:cs="Times New Roman"/>
        </w:rPr>
        <w:t>报名方式：</w:t>
      </w:r>
      <w:r>
        <w:rPr>
          <w:rFonts w:hint="eastAsia" w:eastAsia="宋体" w:cs="Times New Roman"/>
          <w:highlight w:val="yellow"/>
        </w:rPr>
        <w:t>见《投标须知前附表》2.3。</w:t>
      </w:r>
    </w:p>
    <w:p>
      <w:pPr>
        <w:pStyle w:val="111"/>
        <w:ind w:firstLine="480"/>
        <w:rPr>
          <w:rFonts w:eastAsia="宋体" w:cs="Times New Roman"/>
        </w:rPr>
      </w:pPr>
      <w:r>
        <w:rPr>
          <w:rFonts w:hint="eastAsia" w:eastAsia="宋体" w:cs="Times New Roman"/>
        </w:rPr>
        <w:t>报名提交资料：均为盖章电子扫描版，</w:t>
      </w:r>
      <w:r>
        <w:rPr>
          <w:rFonts w:hint="eastAsia" w:eastAsia="宋体" w:cs="Times New Roman"/>
          <w:highlight w:val="green"/>
        </w:rPr>
        <w:t>用</w:t>
      </w:r>
      <w:r>
        <w:rPr>
          <w:rFonts w:hint="eastAsia" w:eastAsia="宋体" w:cs="Times New Roman"/>
          <w:highlight w:val="green"/>
          <w:lang w:val="en-US" w:eastAsia="zh-CN"/>
        </w:rPr>
        <w:t>公司名称+</w:t>
      </w:r>
      <w:r>
        <w:rPr>
          <w:rFonts w:hint="eastAsia" w:eastAsia="宋体" w:cs="Times New Roman"/>
          <w:highlight w:val="green"/>
        </w:rPr>
        <w:t>文件名称命名</w:t>
      </w:r>
      <w:r>
        <w:rPr>
          <w:rFonts w:hint="eastAsia" w:eastAsia="宋体" w:cs="Times New Roman"/>
        </w:rPr>
        <w:t>。</w:t>
      </w:r>
    </w:p>
    <w:p>
      <w:pPr>
        <w:numPr>
          <w:ilvl w:val="0"/>
          <w:numId w:val="4"/>
        </w:numPr>
        <w:spacing w:line="420" w:lineRule="exact"/>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要提交营业执照副本、法人授权委托书（含法人及授权人身份信息证明、授权代表联系方式）。</w:t>
      </w:r>
    </w:p>
    <w:p>
      <w:pPr>
        <w:numPr>
          <w:ilvl w:val="0"/>
          <w:numId w:val="4"/>
        </w:numPr>
        <w:spacing w:line="420" w:lineRule="exact"/>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，要提交营业执照副本、法人代表证明文件。</w:t>
      </w:r>
    </w:p>
    <w:p>
      <w:pPr>
        <w:numPr>
          <w:ilvl w:val="0"/>
          <w:numId w:val="4"/>
        </w:numPr>
        <w:spacing w:line="420" w:lineRule="exact"/>
        <w:rPr>
          <w:rFonts w:ascii="宋体" w:hAnsi="宋体" w:eastAsia="宋体" w:cs="Times New Roman"/>
          <w:color w:val="000000"/>
          <w:sz w:val="24"/>
          <w:szCs w:val="24"/>
        </w:rPr>
      </w:pPr>
      <w:r>
        <w:rPr>
          <w:rFonts w:hint="eastAsia" w:ascii="宋体" w:hAnsi="宋体" w:eastAsia="宋体" w:cs="Times New Roman"/>
          <w:b/>
          <w:color w:val="000000"/>
          <w:sz w:val="24"/>
          <w:szCs w:val="24"/>
        </w:rPr>
        <w:t>如果是代理商投标</w:t>
      </w:r>
      <w:r>
        <w:rPr>
          <w:rFonts w:hint="eastAsia" w:ascii="宋体" w:hAnsi="宋体" w:eastAsia="宋体" w:cs="Times New Roman"/>
          <w:color w:val="000000"/>
          <w:sz w:val="24"/>
          <w:szCs w:val="24"/>
        </w:rPr>
        <w:t>，除上述</w:t>
      </w:r>
      <w:r>
        <w:rPr>
          <w:rFonts w:ascii="宋体" w:hAnsi="宋体" w:eastAsia="宋体" w:cs="Times New Roman"/>
          <w:color w:val="000000"/>
          <w:sz w:val="24"/>
          <w:szCs w:val="24"/>
        </w:rPr>
        <w:t>a)b)</w:t>
      </w:r>
      <w:r>
        <w:rPr>
          <w:rFonts w:hint="eastAsia" w:ascii="宋体" w:hAnsi="宋体" w:eastAsia="宋体" w:cs="Times New Roman"/>
          <w:color w:val="000000"/>
          <w:sz w:val="24"/>
          <w:szCs w:val="24"/>
        </w:rPr>
        <w:t>中要求的资料，要另外携带生产商的授权书、原厂售后服务承诺书。</w:t>
      </w:r>
    </w:p>
    <w:p>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5.开标时间</w:t>
      </w:r>
    </w:p>
    <w:p>
      <w:pPr>
        <w:keepNext/>
        <w:keepLines/>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6.开标方式</w:t>
      </w:r>
    </w:p>
    <w:p>
      <w:pPr>
        <w:spacing w:line="420" w:lineRule="exact"/>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满足国务院、政府及招标人公司最新防疫政策要求，</w:t>
      </w:r>
      <w:r>
        <w:rPr>
          <w:rFonts w:hint="eastAsia" w:ascii="宋体" w:hAnsi="宋体" w:eastAsia="宋体" w:cs="宋体"/>
          <w:color w:val="000000"/>
          <w:sz w:val="24"/>
          <w:szCs w:val="24"/>
          <w:highlight w:val="yellow"/>
        </w:rPr>
        <w:t>原则上</w:t>
      </w:r>
      <w:r>
        <w:rPr>
          <w:rFonts w:ascii="宋体" w:hAnsi="宋体" w:eastAsia="宋体" w:cs="宋体"/>
          <w:color w:val="000000"/>
          <w:sz w:val="24"/>
          <w:szCs w:val="24"/>
          <w:highlight w:val="yellow"/>
        </w:rPr>
        <w:t>来现场参与</w:t>
      </w:r>
      <w:r>
        <w:rPr>
          <w:rFonts w:hint="eastAsia" w:ascii="宋体" w:hAnsi="宋体" w:eastAsia="宋体" w:cs="宋体"/>
          <w:color w:val="000000"/>
          <w:sz w:val="24"/>
          <w:szCs w:val="24"/>
          <w:highlight w:val="yellow"/>
        </w:rPr>
        <w:t>开</w:t>
      </w:r>
      <w:r>
        <w:rPr>
          <w:rFonts w:ascii="宋体" w:hAnsi="宋体" w:eastAsia="宋体" w:cs="宋体"/>
          <w:color w:val="000000"/>
          <w:sz w:val="24"/>
          <w:szCs w:val="24"/>
          <w:highlight w:val="yellow"/>
        </w:rPr>
        <w:t>标。</w:t>
      </w:r>
    </w:p>
    <w:p>
      <w:pPr>
        <w:spacing w:line="420" w:lineRule="exact"/>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其他情况请选择视频</w:t>
      </w:r>
      <w:r>
        <w:rPr>
          <w:rFonts w:hint="eastAsia" w:ascii="宋体" w:hAnsi="宋体" w:eastAsia="宋体" w:cs="宋体"/>
          <w:color w:val="000000"/>
          <w:sz w:val="24"/>
          <w:szCs w:val="24"/>
          <w:highlight w:val="yellow"/>
        </w:rPr>
        <w:t>参与开标，视频链接会在报名结束后统一通知。</w:t>
      </w:r>
    </w:p>
    <w:p>
      <w:pPr>
        <w:keepNext/>
        <w:keepLines/>
        <w:spacing w:line="420" w:lineRule="exact"/>
        <w:jc w:val="left"/>
        <w:outlineLvl w:val="1"/>
        <w:rPr>
          <w:rFonts w:ascii="Times New Roman" w:hAnsi="Times New Roman" w:eastAsia="宋体" w:cs="Times New Roman"/>
          <w:b/>
          <w:bCs/>
          <w:color w:val="000000"/>
          <w:sz w:val="28"/>
          <w:szCs w:val="28"/>
        </w:rPr>
      </w:pPr>
      <w:bookmarkStart w:id="6" w:name="_Toc33266627"/>
      <w:bookmarkStart w:id="7" w:name="_Toc33265653"/>
      <w:bookmarkStart w:id="8" w:name="_Toc33267001"/>
      <w:bookmarkStart w:id="9" w:name="_Toc33266950"/>
      <w:bookmarkStart w:id="10" w:name="_Toc33266914"/>
      <w:bookmarkStart w:id="11" w:name="_Toc33265752"/>
      <w:bookmarkStart w:id="12" w:name="_Toc33285487"/>
      <w:r>
        <w:rPr>
          <w:rFonts w:hint="eastAsia" w:ascii="Times New Roman" w:hAnsi="Times New Roman" w:eastAsia="宋体" w:cs="Times New Roman"/>
          <w:b/>
          <w:bCs/>
          <w:color w:val="000000"/>
          <w:sz w:val="28"/>
          <w:szCs w:val="28"/>
        </w:rPr>
        <w:t>六、评标原则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pPr>
        <w:adjustRightInd w:val="0"/>
        <w:snapToGrid w:val="0"/>
        <w:spacing w:line="360" w:lineRule="auto"/>
        <w:ind w:firstLine="480" w:firstLineChars="200"/>
        <w:rPr>
          <w:rFonts w:hint="eastAsia" w:ascii="Calibri" w:hAnsi="Calibri" w:eastAsia="宋体" w:cs="Times New Roman"/>
          <w:b/>
          <w:color w:val="000000"/>
          <w:sz w:val="24"/>
          <w:szCs w:val="24"/>
        </w:rPr>
      </w:pPr>
      <w:r>
        <w:rPr>
          <w:rFonts w:hint="eastAsia" w:ascii="宋体" w:hAnsi="宋体" w:eastAsia="宋体" w:cs="Times New Roman"/>
          <w:sz w:val="24"/>
          <w:szCs w:val="24"/>
        </w:rPr>
        <w:t>本次招标采用</w:t>
      </w:r>
      <w:r>
        <w:rPr>
          <w:rFonts w:hint="eastAsia" w:ascii="宋体" w:hAnsi="宋体" w:eastAsia="宋体" w:cs="Times New Roman"/>
          <w:b/>
          <w:bCs/>
          <w:sz w:val="24"/>
          <w:szCs w:val="24"/>
          <w:lang w:val="en-US" w:eastAsia="zh-CN"/>
        </w:rPr>
        <w:t>技术标入围后，</w:t>
      </w:r>
      <w:r>
        <w:rPr>
          <w:rFonts w:hint="eastAsia" w:ascii="宋体" w:hAnsi="宋体" w:eastAsia="宋体" w:cs="Times New Roman"/>
          <w:b/>
          <w:bCs/>
          <w:sz w:val="24"/>
          <w:szCs w:val="24"/>
          <w:highlight w:val="none"/>
          <w:lang w:val="en-US" w:eastAsia="zh-CN"/>
        </w:rPr>
        <w:t>原则上合理最低价中标</w:t>
      </w:r>
      <w:r>
        <w:rPr>
          <w:rFonts w:hint="eastAsia" w:ascii="宋体" w:hAnsi="宋体" w:eastAsia="宋体" w:cs="Times New Roman"/>
          <w:sz w:val="24"/>
          <w:szCs w:val="24"/>
          <w:lang w:val="en-US" w:eastAsia="zh-CN"/>
        </w:rPr>
        <w:t>。</w:t>
      </w:r>
      <w:r>
        <w:rPr>
          <w:rFonts w:hint="eastAsia" w:ascii="宋体" w:hAnsi="宋体" w:eastAsia="宋体" w:cs="Times New Roman"/>
          <w:color w:val="000000"/>
          <w:sz w:val="24"/>
          <w:szCs w:val="24"/>
        </w:rPr>
        <w:t>本着公平、公正、公开的原则，在</w:t>
      </w:r>
      <w:r>
        <w:rPr>
          <w:rFonts w:hint="eastAsia" w:ascii="宋体" w:hAnsi="宋体" w:eastAsia="宋体" w:cs="Times New Roman"/>
          <w:color w:val="000000"/>
          <w:sz w:val="24"/>
          <w:szCs w:val="24"/>
          <w:lang w:val="en-US" w:eastAsia="zh-CN"/>
        </w:rPr>
        <w:t>通过技术标</w:t>
      </w:r>
      <w:r>
        <w:rPr>
          <w:rFonts w:hint="eastAsia" w:ascii="Calibri" w:hAnsi="Calibri" w:eastAsia="宋体" w:cs="Times New Roman"/>
          <w:color w:val="000000"/>
          <w:sz w:val="24"/>
          <w:szCs w:val="24"/>
        </w:rPr>
        <w:t>综合评审</w:t>
      </w:r>
      <w:r>
        <w:rPr>
          <w:rFonts w:hint="eastAsia" w:ascii="Calibri" w:hAnsi="Calibri" w:eastAsia="宋体" w:cs="Times New Roman"/>
          <w:color w:val="000000"/>
          <w:sz w:val="24"/>
          <w:szCs w:val="24"/>
          <w:lang w:val="en-US" w:eastAsia="zh-CN"/>
        </w:rPr>
        <w:t>后</w:t>
      </w:r>
      <w:r>
        <w:rPr>
          <w:rFonts w:hint="eastAsia" w:ascii="宋体" w:hAnsi="宋体" w:eastAsia="宋体" w:cs="Times New Roman"/>
          <w:color w:val="000000"/>
          <w:sz w:val="24"/>
          <w:szCs w:val="24"/>
          <w:lang w:val="en-US" w:eastAsia="zh-CN"/>
        </w:rPr>
        <w:t>入围</w:t>
      </w:r>
      <w:r>
        <w:rPr>
          <w:rFonts w:hint="eastAsia" w:ascii="宋体" w:hAnsi="宋体" w:eastAsia="宋体" w:cs="Times New Roman"/>
          <w:color w:val="000000"/>
          <w:sz w:val="24"/>
          <w:szCs w:val="24"/>
        </w:rPr>
        <w:t>的前提下，</w:t>
      </w:r>
      <w:r>
        <w:rPr>
          <w:rFonts w:hint="eastAsia" w:ascii="宋体" w:hAnsi="宋体" w:eastAsia="宋体" w:cs="Times New Roman"/>
          <w:color w:val="000000"/>
          <w:sz w:val="24"/>
          <w:szCs w:val="24"/>
          <w:lang w:val="en-US" w:eastAsia="zh-CN"/>
        </w:rPr>
        <w:t>选择合理最低价</w:t>
      </w:r>
      <w:r>
        <w:rPr>
          <w:rFonts w:hint="eastAsia" w:ascii="Calibri" w:hAnsi="宋体" w:eastAsia="宋体" w:cs="Times New Roman"/>
          <w:color w:val="000000"/>
          <w:sz w:val="24"/>
          <w:szCs w:val="24"/>
        </w:rPr>
        <w:t>确定中标人</w:t>
      </w:r>
      <w:r>
        <w:rPr>
          <w:rFonts w:hint="eastAsia" w:ascii="Calibri" w:hAnsi="宋体" w:eastAsia="宋体" w:cs="Times New Roman"/>
          <w:b/>
          <w:color w:val="000000"/>
          <w:sz w:val="24"/>
          <w:szCs w:val="24"/>
        </w:rPr>
        <w:t>，对未中标</w:t>
      </w:r>
      <w:r>
        <w:rPr>
          <w:rFonts w:hint="eastAsia" w:ascii="Calibri" w:hAnsi="宋体" w:eastAsia="宋体" w:cs="Times New Roman"/>
          <w:b/>
          <w:color w:val="000000"/>
          <w:sz w:val="24"/>
          <w:szCs w:val="24"/>
          <w:lang w:val="en-US" w:eastAsia="zh-CN"/>
        </w:rPr>
        <w:t>方</w:t>
      </w:r>
      <w:r>
        <w:rPr>
          <w:rFonts w:hint="eastAsia" w:ascii="Calibri" w:hAnsi="宋体" w:eastAsia="宋体" w:cs="Times New Roman"/>
          <w:b/>
          <w:color w:val="000000"/>
          <w:sz w:val="24"/>
          <w:szCs w:val="24"/>
        </w:rPr>
        <w:t>不做任何解释</w:t>
      </w:r>
      <w:r>
        <w:rPr>
          <w:rFonts w:hint="eastAsia" w:ascii="Calibri" w:hAnsi="Calibri" w:eastAsia="宋体" w:cs="Times New Roman"/>
          <w:b/>
          <w:color w:val="000000"/>
          <w:sz w:val="24"/>
          <w:szCs w:val="24"/>
        </w:rPr>
        <w:t>。</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评标流程：</w:t>
      </w:r>
    </w:p>
    <w:p>
      <w:pPr>
        <w:pStyle w:val="16"/>
        <w:spacing w:line="360" w:lineRule="auto"/>
        <w:ind w:firstLine="482" w:firstLineChars="200"/>
        <w:rPr>
          <w:rFonts w:hint="default" w:eastAsia="宋体"/>
          <w:lang w:val="en-US" w:eastAsia="zh-CN"/>
        </w:rPr>
      </w:pPr>
      <w:r>
        <w:rPr>
          <w:rFonts w:hint="eastAsia" w:hAnsi="宋体" w:eastAsia="宋体" w:cs="Times New Roman"/>
          <w:b/>
          <w:color w:val="000000"/>
          <w:sz w:val="24"/>
          <w:szCs w:val="24"/>
          <w:lang w:val="en-US" w:eastAsia="zh-CN"/>
        </w:rPr>
        <w:t>投标文件包含《投标文件（资质标）》、《投标文件（技术标）》、《投标文件（商务标）》（开标一览表），共计三个文件。</w:t>
      </w:r>
    </w:p>
    <w:p>
      <w:pPr>
        <w:numPr>
          <w:ilvl w:val="0"/>
          <w:numId w:val="5"/>
        </w:numPr>
        <w:spacing w:line="360" w:lineRule="auto"/>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lang w:val="en-US" w:eastAsia="zh-CN"/>
        </w:rPr>
        <w:t>应标资格审查</w:t>
      </w:r>
      <w:r>
        <w:rPr>
          <w:rFonts w:hint="eastAsia" w:ascii="宋体" w:hAnsi="宋体" w:eastAsia="宋体" w:cs="Times New Roman"/>
          <w:b/>
          <w:color w:val="000000"/>
          <w:sz w:val="24"/>
          <w:szCs w:val="24"/>
          <w:highlight w:val="none"/>
        </w:rPr>
        <w:t>：</w:t>
      </w:r>
      <w:r>
        <w:rPr>
          <w:rFonts w:hint="eastAsia" w:ascii="宋体" w:hAnsi="宋体" w:eastAsia="宋体" w:cs="Times New Roman"/>
          <w:b/>
          <w:color w:val="000000"/>
          <w:sz w:val="24"/>
          <w:szCs w:val="24"/>
          <w:highlight w:val="none"/>
          <w:lang w:val="en-US" w:eastAsia="zh-CN"/>
        </w:rPr>
        <w:t>在“中国重汽e采通”应标报名时，</w:t>
      </w:r>
      <w:r>
        <w:rPr>
          <w:rFonts w:hint="eastAsia" w:ascii="宋体" w:hAnsi="宋体" w:eastAsia="宋体" w:cs="Times New Roman"/>
          <w:b/>
          <w:bCs/>
          <w:color w:val="000000"/>
          <w:sz w:val="24"/>
          <w:szCs w:val="24"/>
          <w:highlight w:val="none"/>
        </w:rPr>
        <w:t>按照第</w:t>
      </w:r>
      <w:r>
        <w:rPr>
          <w:rFonts w:hint="eastAsia" w:ascii="宋体" w:hAnsi="宋体"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12准备资料，上传完毕后，等待审核</w:t>
      </w:r>
      <w:r>
        <w:rPr>
          <w:rFonts w:hint="eastAsia" w:ascii="宋体" w:hAnsi="宋体" w:eastAsia="宋体" w:cs="Times New Roman"/>
          <w:b/>
          <w:color w:val="000000"/>
          <w:sz w:val="24"/>
          <w:szCs w:val="24"/>
          <w:highlight w:val="none"/>
        </w:rPr>
        <w:t>；</w:t>
      </w:r>
    </w:p>
    <w:p>
      <w:pPr>
        <w:numPr>
          <w:ilvl w:val="0"/>
          <w:numId w:val="6"/>
        </w:numPr>
        <w:spacing w:line="360" w:lineRule="auto"/>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通过</w:t>
      </w:r>
      <w:r>
        <w:rPr>
          <w:rFonts w:hint="eastAsia" w:ascii="宋体" w:hAnsi="宋体" w:eastAsia="宋体" w:cs="Times New Roman"/>
          <w:b/>
          <w:color w:val="000000"/>
          <w:sz w:val="24"/>
          <w:szCs w:val="24"/>
          <w:highlight w:val="none"/>
          <w:lang w:val="en-US" w:eastAsia="zh-CN"/>
        </w:rPr>
        <w:t>应标资格审查</w:t>
      </w:r>
      <w:r>
        <w:rPr>
          <w:rFonts w:hint="eastAsia" w:ascii="宋体" w:hAnsi="宋体" w:eastAsia="宋体" w:cs="Times New Roman"/>
          <w:b/>
          <w:color w:val="000000"/>
          <w:sz w:val="24"/>
          <w:szCs w:val="24"/>
          <w:highlight w:val="none"/>
        </w:rPr>
        <w:t>的单位进入</w:t>
      </w:r>
      <w:r>
        <w:rPr>
          <w:rFonts w:hint="eastAsia" w:ascii="宋体" w:hAnsi="宋体" w:eastAsia="宋体" w:cs="Times New Roman"/>
          <w:b/>
          <w:color w:val="000000"/>
          <w:sz w:val="24"/>
          <w:szCs w:val="24"/>
          <w:highlight w:val="none"/>
          <w:lang w:val="en-US" w:eastAsia="zh-CN"/>
        </w:rPr>
        <w:t>投标环节</w:t>
      </w:r>
      <w:r>
        <w:rPr>
          <w:rFonts w:hint="eastAsia" w:ascii="宋体" w:hAnsi="宋体" w:eastAsia="宋体" w:cs="Times New Roman"/>
          <w:b/>
          <w:color w:val="000000"/>
          <w:sz w:val="24"/>
          <w:szCs w:val="24"/>
          <w:highlight w:val="none"/>
        </w:rPr>
        <w:t>，</w:t>
      </w:r>
      <w:r>
        <w:rPr>
          <w:rFonts w:hint="eastAsia" w:ascii="宋体" w:hAnsi="宋体" w:eastAsia="宋体" w:cs="Times New Roman"/>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Times New Roman"/>
          <w:b/>
          <w:color w:val="000000"/>
          <w:sz w:val="24"/>
          <w:szCs w:val="24"/>
          <w:highlight w:val="none"/>
        </w:rPr>
        <w:t>没有通过</w:t>
      </w:r>
      <w:r>
        <w:rPr>
          <w:rFonts w:hint="eastAsia" w:ascii="宋体" w:hAnsi="宋体" w:eastAsia="宋体" w:cs="Times New Roman"/>
          <w:b/>
          <w:color w:val="000000"/>
          <w:sz w:val="24"/>
          <w:szCs w:val="24"/>
          <w:highlight w:val="none"/>
          <w:lang w:val="en-US" w:eastAsia="zh-CN"/>
        </w:rPr>
        <w:t>应标资质审查</w:t>
      </w:r>
      <w:r>
        <w:rPr>
          <w:rFonts w:hint="eastAsia" w:ascii="宋体" w:hAnsi="宋体" w:eastAsia="宋体" w:cs="Times New Roman"/>
          <w:b/>
          <w:color w:val="000000"/>
          <w:sz w:val="24"/>
          <w:szCs w:val="24"/>
          <w:highlight w:val="none"/>
        </w:rPr>
        <w:t>的单位不能进入</w:t>
      </w:r>
      <w:r>
        <w:rPr>
          <w:rFonts w:hint="eastAsia" w:ascii="宋体" w:hAnsi="宋体" w:eastAsia="宋体" w:cs="Times New Roman"/>
          <w:b/>
          <w:color w:val="000000"/>
          <w:sz w:val="24"/>
          <w:szCs w:val="24"/>
          <w:highlight w:val="none"/>
          <w:lang w:val="en-US" w:eastAsia="zh-CN"/>
        </w:rPr>
        <w:t>投标环节</w:t>
      </w:r>
      <w:r>
        <w:rPr>
          <w:rFonts w:hint="eastAsia" w:ascii="宋体" w:hAnsi="宋体" w:eastAsia="宋体" w:cs="Times New Roman"/>
          <w:b/>
          <w:color w:val="000000"/>
          <w:sz w:val="24"/>
          <w:szCs w:val="24"/>
          <w:highlight w:val="none"/>
        </w:rPr>
        <w:t>；</w:t>
      </w:r>
    </w:p>
    <w:p>
      <w:pPr>
        <w:numPr>
          <w:ilvl w:val="0"/>
          <w:numId w:val="7"/>
        </w:numPr>
        <w:spacing w:line="360" w:lineRule="auto"/>
        <w:rPr>
          <w:rFonts w:ascii="宋体" w:hAnsi="宋体" w:eastAsia="宋体" w:cs="Times New Roman"/>
          <w:b/>
          <w:color w:val="auto"/>
          <w:sz w:val="24"/>
          <w:szCs w:val="24"/>
        </w:rPr>
      </w:pPr>
      <w:r>
        <w:rPr>
          <w:rFonts w:hint="eastAsia" w:ascii="宋体" w:hAnsi="宋体" w:eastAsia="宋体" w:cs="Times New Roman"/>
          <w:b/>
          <w:color w:val="auto"/>
          <w:sz w:val="24"/>
          <w:szCs w:val="24"/>
          <w:lang w:val="en-US" w:eastAsia="zh-CN"/>
        </w:rPr>
        <w:t>资质标评审：资质标审核通过的单位，进入技术标评审；</w:t>
      </w:r>
    </w:p>
    <w:p>
      <w:pPr>
        <w:numPr>
          <w:ilvl w:val="0"/>
          <w:numId w:val="7"/>
        </w:numPr>
        <w:spacing w:line="360" w:lineRule="auto"/>
        <w:rPr>
          <w:rFonts w:ascii="宋体" w:hAnsi="宋体" w:eastAsia="宋体" w:cs="Times New Roman"/>
          <w:b/>
          <w:color w:val="auto"/>
          <w:sz w:val="24"/>
          <w:szCs w:val="24"/>
          <w:highlight w:val="yellow"/>
        </w:rPr>
      </w:pPr>
      <w:r>
        <w:rPr>
          <w:rFonts w:hint="eastAsia" w:ascii="宋体" w:hAnsi="宋体" w:eastAsia="宋体" w:cs="Times New Roman"/>
          <w:b/>
          <w:color w:val="000000"/>
          <w:sz w:val="24"/>
          <w:szCs w:val="24"/>
        </w:rPr>
        <w:t>技术</w:t>
      </w:r>
      <w:r>
        <w:rPr>
          <w:rFonts w:hint="eastAsia" w:ascii="宋体" w:hAnsi="宋体" w:eastAsia="宋体" w:cs="Times New Roman"/>
          <w:b/>
          <w:color w:val="000000"/>
          <w:sz w:val="24"/>
          <w:szCs w:val="24"/>
          <w:lang w:val="en-US" w:eastAsia="zh-CN"/>
        </w:rPr>
        <w:t>标评审</w:t>
      </w:r>
      <w:r>
        <w:rPr>
          <w:rFonts w:hint="eastAsia" w:ascii="宋体" w:hAnsi="宋体" w:eastAsia="宋体" w:cs="Times New Roman"/>
          <w:b/>
          <w:color w:val="auto"/>
          <w:sz w:val="24"/>
          <w:szCs w:val="24"/>
        </w:rPr>
        <w:t>：</w:t>
      </w:r>
      <w:r>
        <w:rPr>
          <w:rFonts w:hint="eastAsia" w:ascii="宋体" w:hAnsi="宋体" w:eastAsia="宋体" w:cs="Times New Roman"/>
          <w:b/>
          <w:color w:val="auto"/>
          <w:sz w:val="24"/>
          <w:szCs w:val="24"/>
          <w:lang w:val="en-US" w:eastAsia="zh-CN"/>
        </w:rPr>
        <w:t>技术标评标专家组，通过重汽e采通，对各投标人的</w:t>
      </w:r>
      <w:r>
        <w:rPr>
          <w:rFonts w:hint="eastAsia" w:hAnsi="宋体" w:eastAsia="宋体" w:cs="Times New Roman"/>
          <w:b/>
          <w:color w:val="auto"/>
          <w:sz w:val="24"/>
          <w:szCs w:val="24"/>
          <w:lang w:val="en-US" w:eastAsia="zh-CN"/>
        </w:rPr>
        <w:t>《投标文件（技术标）》进行综合评审；评审期间产生的</w:t>
      </w:r>
      <w:r>
        <w:rPr>
          <w:rFonts w:hint="eastAsia" w:ascii="宋体" w:hAnsi="宋体" w:eastAsia="宋体" w:cs="Times New Roman"/>
          <w:b/>
          <w:color w:val="auto"/>
          <w:sz w:val="24"/>
          <w:szCs w:val="24"/>
          <w:lang w:val="en-US" w:eastAsia="zh-CN"/>
        </w:rPr>
        <w:t>技术澄清均由投标人在重汽e采通平台内完成提交；评审</w:t>
      </w:r>
      <w:r>
        <w:rPr>
          <w:rFonts w:hint="eastAsia" w:ascii="宋体" w:hAnsi="宋体" w:eastAsia="宋体" w:cs="Times New Roman"/>
          <w:b/>
          <w:color w:val="auto"/>
          <w:sz w:val="24"/>
          <w:szCs w:val="24"/>
        </w:rPr>
        <w:t>合格的单位进入商务</w:t>
      </w:r>
      <w:r>
        <w:rPr>
          <w:rFonts w:hint="eastAsia" w:ascii="宋体" w:hAnsi="宋体" w:eastAsia="宋体" w:cs="Times New Roman"/>
          <w:b/>
          <w:color w:val="auto"/>
          <w:sz w:val="24"/>
          <w:szCs w:val="24"/>
          <w:lang w:val="en-US" w:eastAsia="zh-CN"/>
        </w:rPr>
        <w:t>标评审</w:t>
      </w:r>
      <w:r>
        <w:rPr>
          <w:rFonts w:hint="eastAsia" w:ascii="宋体" w:hAnsi="宋体" w:eastAsia="宋体" w:cs="Times New Roman"/>
          <w:b/>
          <w:color w:val="auto"/>
          <w:sz w:val="24"/>
          <w:szCs w:val="24"/>
        </w:rPr>
        <w:t>环节，</w:t>
      </w:r>
      <w:r>
        <w:rPr>
          <w:rFonts w:hint="eastAsia" w:ascii="宋体" w:hAnsi="宋体" w:eastAsia="宋体" w:cs="Times New Roman"/>
          <w:b/>
          <w:color w:val="auto"/>
          <w:sz w:val="24"/>
          <w:szCs w:val="24"/>
          <w:lang w:val="en-US" w:eastAsia="zh-CN"/>
        </w:rPr>
        <w:t>评审</w:t>
      </w:r>
      <w:r>
        <w:rPr>
          <w:rFonts w:hint="eastAsia" w:ascii="宋体" w:hAnsi="宋体" w:eastAsia="宋体" w:cs="Times New Roman"/>
          <w:b/>
          <w:color w:val="auto"/>
          <w:sz w:val="24"/>
          <w:szCs w:val="24"/>
        </w:rPr>
        <w:t>不合格的单位</w:t>
      </w:r>
      <w:r>
        <w:rPr>
          <w:rFonts w:hint="eastAsia" w:ascii="宋体" w:hAnsi="宋体" w:eastAsia="宋体" w:cs="Times New Roman"/>
          <w:b/>
          <w:color w:val="auto"/>
          <w:sz w:val="24"/>
          <w:szCs w:val="24"/>
          <w:lang w:val="en-US" w:eastAsia="zh-CN"/>
        </w:rPr>
        <w:t>被</w:t>
      </w:r>
      <w:r>
        <w:rPr>
          <w:rFonts w:hint="eastAsia" w:ascii="宋体" w:hAnsi="宋体" w:eastAsia="宋体" w:cs="Times New Roman"/>
          <w:b/>
          <w:color w:val="auto"/>
          <w:sz w:val="24"/>
          <w:szCs w:val="24"/>
        </w:rPr>
        <w:t>淘汰；</w:t>
      </w:r>
    </w:p>
    <w:p>
      <w:pPr>
        <w:numPr>
          <w:ilvl w:val="-1"/>
          <w:numId w:val="0"/>
        </w:numPr>
        <w:spacing w:line="360" w:lineRule="auto"/>
        <w:ind w:left="0" w:firstLine="482" w:firstLineChars="200"/>
        <w:rPr>
          <w:rFonts w:ascii="宋体" w:hAnsi="宋体" w:eastAsia="宋体" w:cs="Times New Roman"/>
          <w:b/>
          <w:color w:val="auto"/>
          <w:sz w:val="24"/>
          <w:szCs w:val="24"/>
          <w:highlight w:val="yellow"/>
        </w:rPr>
      </w:pPr>
      <w:r>
        <w:rPr>
          <w:rFonts w:hint="eastAsia" w:ascii="宋体" w:hAnsi="宋体" w:eastAsia="宋体" w:cs="Times New Roman"/>
          <w:b/>
          <w:color w:val="auto"/>
          <w:sz w:val="24"/>
          <w:szCs w:val="24"/>
          <w:highlight w:val="yellow"/>
          <w:lang w:val="en-US" w:eastAsia="zh-CN"/>
        </w:rPr>
        <w:t>具体</w:t>
      </w:r>
      <w:r>
        <w:rPr>
          <w:rFonts w:hint="eastAsia" w:ascii="Times New Roman" w:hAnsi="Times New Roman" w:eastAsia="宋体" w:cs="Times New Roman"/>
          <w:b/>
          <w:bCs/>
          <w:color w:val="000000"/>
          <w:sz w:val="24"/>
          <w:szCs w:val="24"/>
          <w:highlight w:val="yellow"/>
          <w:lang w:val="en-US" w:eastAsia="zh-CN"/>
        </w:rPr>
        <w:t>技术标</w:t>
      </w:r>
      <w:r>
        <w:rPr>
          <w:rFonts w:hint="eastAsia" w:ascii="Times New Roman" w:hAnsi="Times New Roman" w:eastAsia="宋体" w:cs="Times New Roman"/>
          <w:b/>
          <w:bCs/>
          <w:color w:val="000000"/>
          <w:sz w:val="24"/>
          <w:szCs w:val="24"/>
          <w:highlight w:val="yellow"/>
        </w:rPr>
        <w:t>评分标准</w:t>
      </w:r>
      <w:r>
        <w:rPr>
          <w:rFonts w:hint="eastAsia" w:ascii="Times New Roman" w:hAnsi="Times New Roman" w:eastAsia="宋体" w:cs="Times New Roman"/>
          <w:b/>
          <w:bCs/>
          <w:color w:val="000000"/>
          <w:sz w:val="24"/>
          <w:szCs w:val="24"/>
          <w:highlight w:val="yellow"/>
          <w:lang w:val="en-US" w:eastAsia="zh-CN"/>
        </w:rPr>
        <w:t>见附件14。</w:t>
      </w:r>
    </w:p>
    <w:p>
      <w:pPr>
        <w:numPr>
          <w:ilvl w:val="0"/>
          <w:numId w:val="8"/>
        </w:numPr>
        <w:spacing w:line="360" w:lineRule="auto"/>
        <w:ind w:left="0" w:firstLine="0"/>
        <w:rPr>
          <w:rFonts w:hint="eastAsia" w:ascii="宋体" w:hAnsi="宋体" w:cs="Times New Roman"/>
          <w:b/>
          <w:color w:val="auto"/>
          <w:sz w:val="24"/>
          <w:szCs w:val="24"/>
          <w:lang w:val="en-US" w:eastAsia="zh-CN"/>
        </w:rPr>
      </w:pPr>
      <w:r>
        <w:rPr>
          <w:rFonts w:hint="eastAsia" w:ascii="宋体" w:hAnsi="宋体" w:eastAsia="宋体" w:cs="Times New Roman"/>
          <w:b/>
          <w:color w:val="auto"/>
          <w:sz w:val="24"/>
          <w:szCs w:val="24"/>
        </w:rPr>
        <w:t>商务</w:t>
      </w:r>
      <w:r>
        <w:rPr>
          <w:rFonts w:hint="eastAsia" w:ascii="宋体" w:hAnsi="宋体" w:eastAsia="宋体" w:cs="Times New Roman"/>
          <w:b/>
          <w:color w:val="auto"/>
          <w:sz w:val="24"/>
          <w:szCs w:val="24"/>
          <w:lang w:val="en-US" w:eastAsia="zh-CN"/>
        </w:rPr>
        <w:t>标评审</w:t>
      </w:r>
      <w:r>
        <w:rPr>
          <w:rFonts w:hint="eastAsia" w:ascii="宋体" w:hAnsi="宋体" w:eastAsia="宋体" w:cs="Times New Roman"/>
          <w:b/>
          <w:color w:val="auto"/>
          <w:sz w:val="24"/>
          <w:szCs w:val="24"/>
        </w:rPr>
        <w:t>：公开唱标</w:t>
      </w:r>
      <w:r>
        <w:rPr>
          <w:rFonts w:hint="eastAsia" w:ascii="宋体" w:hAnsi="宋体" w:eastAsia="宋体" w:cs="Segoe UI Emoji"/>
          <w:b/>
          <w:color w:val="auto"/>
          <w:sz w:val="24"/>
          <w:szCs w:val="24"/>
        </w:rPr>
        <w:t>→</w:t>
      </w:r>
      <w:r>
        <w:rPr>
          <w:rFonts w:hint="eastAsia" w:ascii="宋体" w:hAnsi="宋体" w:eastAsia="宋体" w:cs="Times New Roman"/>
          <w:b/>
          <w:color w:val="auto"/>
          <w:sz w:val="24"/>
          <w:szCs w:val="24"/>
        </w:rPr>
        <w:t>商务条款相应确认</w:t>
      </w:r>
      <w:r>
        <w:rPr>
          <w:rFonts w:hint="eastAsia" w:ascii="宋体" w:hAnsi="宋体" w:eastAsia="宋体" w:cs="Segoe UI Emoji"/>
          <w:b/>
          <w:color w:val="auto"/>
          <w:sz w:val="24"/>
          <w:szCs w:val="24"/>
        </w:rPr>
        <w:t>→</w:t>
      </w:r>
      <w:r>
        <w:rPr>
          <w:rFonts w:hint="eastAsia" w:ascii="宋体" w:hAnsi="宋体" w:eastAsia="宋体" w:cs="Segoe UI Emoji"/>
          <w:b/>
          <w:color w:val="auto"/>
          <w:sz w:val="24"/>
          <w:szCs w:val="24"/>
          <w:lang w:val="en-US" w:eastAsia="zh-CN"/>
        </w:rPr>
        <w:t>价格澄清</w:t>
      </w:r>
      <w:r>
        <w:rPr>
          <w:rFonts w:hint="eastAsia" w:ascii="宋体" w:hAnsi="宋体" w:eastAsia="宋体" w:cs="Segoe UI Emoji"/>
          <w:b/>
          <w:color w:val="auto"/>
          <w:sz w:val="24"/>
          <w:szCs w:val="24"/>
        </w:rPr>
        <w:t>→</w:t>
      </w:r>
      <w:r>
        <w:rPr>
          <w:rFonts w:hint="eastAsia" w:ascii="宋体" w:hAnsi="宋体" w:eastAsia="宋体" w:cs="Times New Roman"/>
          <w:b/>
          <w:color w:val="auto"/>
          <w:sz w:val="24"/>
          <w:szCs w:val="24"/>
        </w:rPr>
        <w:t>商务</w:t>
      </w:r>
      <w:r>
        <w:rPr>
          <w:rFonts w:hint="eastAsia" w:ascii="宋体" w:hAnsi="宋体" w:eastAsia="宋体" w:cs="Times New Roman"/>
          <w:b/>
          <w:color w:val="auto"/>
          <w:sz w:val="24"/>
          <w:szCs w:val="24"/>
          <w:lang w:val="en-US" w:eastAsia="zh-CN"/>
        </w:rPr>
        <w:t>标评审</w:t>
      </w:r>
      <w:r>
        <w:rPr>
          <w:rFonts w:hint="eastAsia" w:ascii="宋体" w:hAnsi="宋体" w:eastAsia="宋体" w:cs="Times New Roman"/>
          <w:b/>
          <w:color w:val="auto"/>
          <w:sz w:val="24"/>
          <w:szCs w:val="24"/>
        </w:rPr>
        <w:t>；</w:t>
      </w:r>
      <w:r>
        <w:rPr>
          <w:rFonts w:hint="eastAsia" w:hAnsi="宋体" w:eastAsia="宋体" w:cs="Times New Roman"/>
          <w:b/>
          <w:color w:val="auto"/>
          <w:sz w:val="24"/>
          <w:szCs w:val="24"/>
          <w:lang w:val="en-US" w:eastAsia="zh-CN"/>
        </w:rPr>
        <w:t>评审期间产生的</w:t>
      </w:r>
      <w:r>
        <w:rPr>
          <w:rFonts w:hint="eastAsia" w:ascii="宋体" w:hAnsi="宋体" w:eastAsia="宋体" w:cs="Times New Roman"/>
          <w:b/>
          <w:color w:val="auto"/>
          <w:sz w:val="24"/>
          <w:szCs w:val="24"/>
          <w:lang w:val="en-US" w:eastAsia="zh-CN"/>
        </w:rPr>
        <w:t>商务价格澄清均由投标人在重汽e采通平台内限时完成提交</w:t>
      </w:r>
      <w:r>
        <w:rPr>
          <w:rFonts w:hint="eastAsia" w:ascii="宋体" w:hAnsi="宋体" w:eastAsia="宋体" w:cs="Times New Roman"/>
          <w:b/>
          <w:color w:val="auto"/>
          <w:sz w:val="24"/>
          <w:szCs w:val="24"/>
        </w:rPr>
        <w:t>；</w:t>
      </w:r>
    </w:p>
    <w:p>
      <w:pPr>
        <w:pStyle w:val="2"/>
        <w:ind w:firstLine="482" w:firstLineChars="200"/>
        <w:rPr>
          <w:rFonts w:hint="default" w:eastAsia="宋体"/>
          <w:lang w:val="en-US" w:eastAsia="zh-CN"/>
        </w:rPr>
      </w:pPr>
      <w:r>
        <w:rPr>
          <w:rFonts w:hint="eastAsia" w:ascii="宋体" w:hAnsi="宋体" w:cs="Times New Roman"/>
          <w:b/>
          <w:color w:val="auto"/>
          <w:sz w:val="24"/>
          <w:szCs w:val="24"/>
          <w:highlight w:val="yellow"/>
          <w:lang w:val="en-US" w:eastAsia="zh-CN"/>
        </w:rPr>
        <w:t xml:space="preserve"> 注意：投标人均需自带笔记本电脑在重汽e采通平台自主进行投标和提交澄清函；投标和提交澄清函均有时间限制，超时未提交的按无效处理。</w:t>
      </w:r>
      <w:r>
        <w:rPr>
          <w:rFonts w:hint="eastAsia" w:ascii="宋体" w:hAnsi="宋体" w:cs="Times New Roman"/>
          <w:b/>
          <w:color w:val="auto"/>
          <w:sz w:val="24"/>
          <w:szCs w:val="24"/>
          <w:lang w:val="en-US" w:eastAsia="zh-CN"/>
        </w:rPr>
        <w:t xml:space="preserve">  </w:t>
      </w:r>
    </w:p>
    <w:p>
      <w:pPr>
        <w:numPr>
          <w:ilvl w:val="0"/>
          <w:numId w:val="8"/>
        </w:numPr>
        <w:spacing w:line="360" w:lineRule="auto"/>
        <w:rPr>
          <w:rFonts w:ascii="宋体" w:hAnsi="宋体" w:eastAsia="宋体" w:cs="Times New Roman"/>
          <w:b/>
          <w:color w:val="auto"/>
          <w:sz w:val="24"/>
          <w:szCs w:val="24"/>
        </w:rPr>
      </w:pPr>
      <w:r>
        <w:rPr>
          <w:rFonts w:hint="eastAsia" w:ascii="宋体" w:hAnsi="宋体" w:eastAsia="宋体" w:cs="Times New Roman"/>
          <w:b/>
          <w:color w:val="auto"/>
          <w:sz w:val="24"/>
          <w:szCs w:val="24"/>
          <w:lang w:val="en-US" w:eastAsia="zh-CN"/>
        </w:rPr>
        <w:t>中标人确定</w:t>
      </w:r>
      <w:r>
        <w:rPr>
          <w:rFonts w:hint="eastAsia" w:ascii="宋体" w:hAnsi="宋体" w:eastAsia="宋体" w:cs="Times New Roman"/>
          <w:b/>
          <w:color w:val="auto"/>
          <w:sz w:val="24"/>
          <w:szCs w:val="24"/>
        </w:rPr>
        <w:t>：</w:t>
      </w:r>
      <w:r>
        <w:rPr>
          <w:rFonts w:hint="eastAsia" w:ascii="宋体" w:hAnsi="宋体" w:eastAsia="宋体" w:cs="Times New Roman"/>
          <w:b/>
          <w:color w:val="auto"/>
          <w:sz w:val="24"/>
          <w:szCs w:val="24"/>
          <w:lang w:val="en-US" w:eastAsia="zh-CN"/>
        </w:rPr>
        <w:t>技术入围后，原则上</w:t>
      </w:r>
      <w:r>
        <w:rPr>
          <w:rFonts w:hint="eastAsia" w:ascii="宋体" w:hAnsi="宋体" w:eastAsia="宋体" w:cs="Times New Roman"/>
          <w:b/>
          <w:bCs w:val="0"/>
          <w:color w:val="auto"/>
          <w:sz w:val="24"/>
          <w:szCs w:val="24"/>
          <w:lang w:val="en-US" w:eastAsia="zh-CN"/>
        </w:rPr>
        <w:t>合理最低价中标</w:t>
      </w:r>
      <w:r>
        <w:rPr>
          <w:rFonts w:hint="eastAsia" w:ascii="宋体" w:hAnsi="宋体" w:eastAsia="宋体" w:cs="Times New Roman"/>
          <w:b/>
          <w:color w:val="auto"/>
          <w:sz w:val="24"/>
          <w:szCs w:val="24"/>
        </w:rPr>
        <w:t>。</w:t>
      </w:r>
    </w:p>
    <w:p>
      <w:pPr>
        <w:keepNext w:val="0"/>
        <w:keepLines w:val="0"/>
        <w:widowControl/>
        <w:suppressLineNumbers w:val="0"/>
        <w:spacing w:line="360" w:lineRule="auto"/>
        <w:ind w:right="2" w:firstLine="480" w:firstLineChars="200"/>
        <w:jc w:val="left"/>
        <w:rPr>
          <w:rFonts w:ascii="Calibri" w:hAnsi="Calibri" w:eastAsia="宋体" w:cs="Times New Roman"/>
          <w:color w:val="000000"/>
          <w:sz w:val="24"/>
          <w:szCs w:val="24"/>
        </w:rPr>
      </w:pPr>
      <w:r>
        <w:rPr>
          <w:rFonts w:hint="default"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default" w:ascii="Calibri" w:hAnsi="Calibri" w:eastAsia="宋体" w:cs="Times New Roman"/>
          <w:color w:val="000000"/>
          <w:sz w:val="24"/>
          <w:szCs w:val="24"/>
          <w:lang w:val="en-US" w:eastAsia="zh-CN"/>
        </w:rPr>
        <w:t>的</w:t>
      </w:r>
      <w:r>
        <w:rPr>
          <w:rFonts w:hint="default" w:ascii="Calibri" w:hAnsi="Calibri" w:eastAsia="宋体" w:cs="Times New Roman"/>
          <w:color w:val="000000"/>
          <w:sz w:val="24"/>
          <w:szCs w:val="24"/>
        </w:rPr>
        <w:t>，则本次评标作废</w:t>
      </w:r>
      <w:r>
        <w:rPr>
          <w:rFonts w:hint="default" w:ascii="Calibri" w:hAnsi="Calibri" w:eastAsia="宋体" w:cs="Times New Roman"/>
          <w:color w:val="000000"/>
          <w:sz w:val="24"/>
          <w:szCs w:val="24"/>
          <w:lang w:val="en-US" w:eastAsia="zh-CN"/>
        </w:rPr>
        <w:t>或</w:t>
      </w:r>
      <w:r>
        <w:rPr>
          <w:rFonts w:ascii="Calibri" w:hAnsi="Calibri" w:eastAsia="宋体" w:cs="Times New Roman"/>
          <w:color w:val="000000"/>
          <w:kern w:val="2"/>
          <w:sz w:val="24"/>
          <w:szCs w:val="24"/>
          <w:lang w:val="en-US" w:eastAsia="zh-CN" w:bidi="ar"/>
        </w:rPr>
        <w:t>否变更意向中</w:t>
      </w:r>
      <w:r>
        <w:rPr>
          <w:rFonts w:hint="default" w:ascii="Calibri" w:hAnsi="Calibri" w:eastAsia="宋体" w:cs="Times New Roman"/>
          <w:color w:val="000000"/>
          <w:kern w:val="2"/>
          <w:sz w:val="24"/>
          <w:szCs w:val="24"/>
          <w:lang w:val="en-US" w:eastAsia="zh-CN" w:bidi="ar"/>
        </w:rPr>
        <w:t>标人</w:t>
      </w:r>
      <w:r>
        <w:rPr>
          <w:rFonts w:hint="eastAsia" w:ascii="Calibri" w:hAnsi="Calibri" w:eastAsia="宋体" w:cs="Times New Roman"/>
          <w:color w:val="000000"/>
          <w:kern w:val="2"/>
          <w:sz w:val="24"/>
          <w:szCs w:val="24"/>
          <w:lang w:val="en-US" w:eastAsia="zh-CN" w:bidi="ar"/>
        </w:rPr>
        <w:t>。</w:t>
      </w:r>
    </w:p>
    <w:p>
      <w:pPr>
        <w:keepNext w:val="0"/>
        <w:keepLines w:val="0"/>
        <w:widowControl/>
        <w:spacing w:line="360" w:lineRule="auto"/>
        <w:ind w:right="2" w:firstLine="482" w:firstLineChars="200"/>
        <w:jc w:val="left"/>
        <w:outlineLvl w:val="9"/>
        <w:rPr>
          <w:rFonts w:ascii="Arial" w:hAnsi="Arial" w:eastAsia="宋体" w:cs="Times New Roman"/>
          <w:b/>
          <w:bCs/>
          <w:sz w:val="24"/>
          <w:szCs w:val="24"/>
        </w:rPr>
      </w:pPr>
      <w:r>
        <w:rPr>
          <w:rFonts w:hint="eastAsia" w:ascii="Arial" w:hAnsi="Arial" w:eastAsia="宋体" w:cs="Times New Roman"/>
          <w:b/>
          <w:bCs/>
          <w:sz w:val="24"/>
          <w:szCs w:val="24"/>
        </w:rPr>
        <w:t>七、合同签订</w:t>
      </w:r>
    </w:p>
    <w:p>
      <w:pPr>
        <w:spacing w:line="360" w:lineRule="auto"/>
        <w:ind w:firstLine="480" w:firstLineChars="200"/>
        <w:rPr>
          <w:rFonts w:hint="eastAsia"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lang w:val="en-US" w:eastAsia="zh-CN"/>
        </w:rPr>
        <w:t>在中国</w:t>
      </w:r>
      <w:r>
        <w:rPr>
          <w:rFonts w:hint="default" w:ascii="Times New Roman" w:hAnsi="Times New Roman" w:eastAsia="宋体" w:cs="Times New Roman"/>
          <w:color w:val="000000"/>
          <w:sz w:val="24"/>
          <w:szCs w:val="24"/>
          <w:lang w:val="en-US" w:eastAsia="zh-CN"/>
        </w:rPr>
        <w:t>重汽e采通平台公布中标结果</w:t>
      </w:r>
      <w:r>
        <w:rPr>
          <w:rFonts w:hint="eastAsia" w:ascii="Times New Roman" w:hAnsi="Times New Roman" w:eastAsia="宋体" w:cs="Times New Roman"/>
          <w:color w:val="000000"/>
          <w:sz w:val="24"/>
          <w:szCs w:val="24"/>
          <w:lang w:val="en-US" w:eastAsia="zh-CN"/>
        </w:rPr>
        <w:t>，</w:t>
      </w:r>
      <w:r>
        <w:rPr>
          <w:rFonts w:hint="eastAsia" w:ascii="宋体" w:hAnsi="Courier New" w:eastAsia="宋体" w:cs="Times New Roman"/>
          <w:color w:val="000000"/>
          <w:sz w:val="24"/>
          <w:szCs w:val="24"/>
        </w:rPr>
        <w:t>并</w:t>
      </w:r>
      <w:r>
        <w:rPr>
          <w:rFonts w:hint="eastAsia" w:ascii="宋体" w:hAnsi="Courier New" w:eastAsia="宋体" w:cs="Times New Roman"/>
          <w:color w:val="000000"/>
          <w:sz w:val="24"/>
          <w:szCs w:val="24"/>
          <w:lang w:val="en-US" w:eastAsia="zh-CN"/>
        </w:rPr>
        <w:t>发送中标通知</w:t>
      </w:r>
      <w:r>
        <w:rPr>
          <w:rFonts w:hint="eastAsia" w:ascii="宋体" w:hAnsi="Courier New" w:eastAsia="宋体" w:cs="Times New Roman"/>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2.中标人应该在中标通知书规定的时间、地点与招标人签订采购合同，否则按照开标后撤回投标处理。</w:t>
      </w:r>
    </w:p>
    <w:p>
      <w:pPr>
        <w:keepNext w:val="0"/>
        <w:keepLines w:val="0"/>
        <w:spacing w:line="360" w:lineRule="auto"/>
        <w:ind w:firstLine="480" w:firstLineChars="200"/>
        <w:outlineLvl w:val="9"/>
        <w:rPr>
          <w:rFonts w:hint="eastAsia" w:ascii="宋体" w:hAnsi="Courier New" w:eastAsia="宋体" w:cs="Times New Roman"/>
          <w:b/>
          <w:sz w:val="24"/>
          <w:szCs w:val="20"/>
          <w:lang w:val="en-US" w:eastAsia="zh-CN"/>
        </w:rPr>
      </w:pPr>
      <w:r>
        <w:rPr>
          <w:rFonts w:hint="eastAsia" w:ascii="Times New Roman" w:hAnsi="Times New Roman" w:eastAsia="宋体" w:cs="Times New Roman"/>
          <w:color w:val="000000"/>
          <w:sz w:val="24"/>
          <w:szCs w:val="24"/>
          <w:lang w:val="en-US" w:eastAsia="zh-CN"/>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Courier New" w:eastAsia="宋体" w:cs="Times New Roman"/>
          <w:b/>
          <w:sz w:val="24"/>
          <w:szCs w:val="20"/>
        </w:rPr>
      </w:pPr>
      <w:r>
        <w:rPr>
          <w:rFonts w:hint="eastAsia" w:ascii="宋体" w:hAnsi="Courier New" w:eastAsia="宋体" w:cs="Times New Roman"/>
          <w:b/>
          <w:sz w:val="24"/>
          <w:szCs w:val="20"/>
          <w:lang w:val="en-US" w:eastAsia="zh-CN"/>
        </w:rPr>
        <w:t>4</w:t>
      </w:r>
      <w:r>
        <w:rPr>
          <w:rFonts w:hint="eastAsia" w:ascii="宋体" w:hAnsi="Courier New" w:eastAsia="宋体" w:cs="Times New Roman"/>
          <w:b/>
          <w:sz w:val="24"/>
          <w:szCs w:val="20"/>
        </w:rPr>
        <w:t>.中标人由于履行义务的能力或信用有严重缺陷，招标人有权取消其中标资格，招标人将从中标候选单位中依序重新确定中标人，或重新组织招标。</w:t>
      </w:r>
    </w:p>
    <w:p>
      <w:pPr>
        <w:pStyle w:val="11"/>
        <w:spacing w:line="360" w:lineRule="auto"/>
        <w:ind w:firstLine="482" w:firstLineChars="200"/>
        <w:rPr>
          <w:rFonts w:hint="eastAsia"/>
        </w:rPr>
      </w:pPr>
      <w:r>
        <w:rPr>
          <w:rFonts w:hint="eastAsia" w:ascii="宋体" w:hAnsi="Courier New" w:eastAsia="宋体" w:cs="Times New Roman"/>
          <w:b/>
          <w:sz w:val="24"/>
          <w:szCs w:val="20"/>
          <w:lang w:val="en-US" w:eastAsia="zh-CN"/>
        </w:rPr>
        <w:t>5.</w:t>
      </w:r>
      <w:r>
        <w:rPr>
          <w:rFonts w:hint="eastAsia" w:ascii="宋体" w:hAnsi="宋体" w:eastAsia="宋体" w:cs="宋体"/>
          <w:b/>
          <w:sz w:val="24"/>
          <w:szCs w:val="24"/>
          <w:lang w:val="en-US" w:eastAsia="zh-CN"/>
        </w:rPr>
        <w:t>合同以双方最终签署的版本为准</w:t>
      </w:r>
      <w:r>
        <w:rPr>
          <w:rFonts w:hint="eastAsia" w:ascii="宋体" w:hAnsi="宋体" w:eastAsia="宋体" w:cs="宋体"/>
          <w:b/>
          <w:sz w:val="24"/>
          <w:szCs w:val="24"/>
        </w:rPr>
        <w:t>。</w:t>
      </w:r>
    </w:p>
    <w:p>
      <w:pPr>
        <w:keepNext w:val="0"/>
        <w:keepLines w:val="0"/>
        <w:widowControl/>
        <w:spacing w:line="360" w:lineRule="auto"/>
        <w:ind w:right="2" w:firstLine="482" w:firstLineChars="200"/>
        <w:jc w:val="left"/>
        <w:outlineLvl w:val="9"/>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pPr>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Courier New" w:eastAsia="宋体" w:cs="Times New Roman"/>
          <w:color w:val="000000"/>
          <w:sz w:val="24"/>
          <w:szCs w:val="24"/>
        </w:rPr>
      </w:pPr>
      <w:r>
        <w:rPr>
          <w:rFonts w:hint="eastAsia" w:ascii="宋体" w:hAnsi="Courier New" w:eastAsia="宋体" w:cs="Times New Roman"/>
          <w:color w:val="000000"/>
          <w:sz w:val="24"/>
          <w:szCs w:val="24"/>
        </w:rPr>
        <w:t xml:space="preserve">    （</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pPr>
        <w:pStyle w:val="16"/>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w:t>
      </w:r>
      <w:r>
        <w:rPr>
          <w:rFonts w:hint="eastAsia" w:ascii="宋体" w:hAnsi="Courier New" w:eastAsia="宋体" w:cs="Times New Roman"/>
          <w:sz w:val="24"/>
          <w:szCs w:val="24"/>
          <w:highlight w:val="none"/>
        </w:rPr>
        <w:t>有效投标不足三家；</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pPr>
        <w:spacing w:line="360" w:lineRule="auto"/>
        <w:ind w:right="2" w:firstLine="480" w:firstLineChars="200"/>
        <w:rPr>
          <w:rFonts w:hint="eastAsia" w:ascii="宋体" w:hAnsi="Courier New" w:eastAsia="宋体" w:cs="Times New Roman"/>
          <w:color w:val="000000"/>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color w:val="auto"/>
          <w:sz w:val="24"/>
          <w:szCs w:val="24"/>
        </w:rPr>
        <w:t>1）</w:t>
      </w:r>
      <w:r>
        <w:rPr>
          <w:rFonts w:hint="eastAsia" w:ascii="宋体" w:hAnsi="Courier New" w:eastAsia="宋体" w:cs="Times New Roman"/>
          <w:b w:val="0"/>
          <w:bCs w:val="0"/>
          <w:spacing w:val="0"/>
          <w:sz w:val="24"/>
          <w:szCs w:val="24"/>
          <w:highlight w:val="none"/>
          <w:lang w:val="en-US" w:eastAsia="zh-CN"/>
        </w:rPr>
        <w:t>未</w:t>
      </w:r>
      <w:r>
        <w:rPr>
          <w:rFonts w:hint="eastAsia" w:ascii="宋体" w:hAnsi="Courier New" w:eastAsia="宋体" w:cs="Times New Roman"/>
          <w:b w:val="0"/>
          <w:bCs w:val="0"/>
          <w:spacing w:val="0"/>
          <w:sz w:val="24"/>
          <w:szCs w:val="24"/>
          <w:lang w:val="en-US" w:eastAsia="zh-CN"/>
        </w:rPr>
        <w:t>按照</w:t>
      </w:r>
      <w:r>
        <w:rPr>
          <w:rFonts w:hint="eastAsia" w:ascii="宋体" w:hAnsi="Courier New" w:eastAsia="宋体" w:cs="Times New Roman"/>
          <w:b w:val="0"/>
          <w:bCs w:val="0"/>
          <w:spacing w:val="0"/>
          <w:sz w:val="24"/>
          <w:szCs w:val="24"/>
          <w:highlight w:val="none"/>
          <w:lang w:val="en-US" w:eastAsia="zh-CN"/>
        </w:rPr>
        <w:t>招标人规定</w:t>
      </w:r>
      <w:r>
        <w:rPr>
          <w:rFonts w:hint="eastAsia" w:ascii="宋体" w:hAnsi="Courier New" w:eastAsia="宋体" w:cs="Times New Roman"/>
          <w:b w:val="0"/>
          <w:bCs w:val="0"/>
          <w:spacing w:val="0"/>
          <w:sz w:val="24"/>
          <w:szCs w:val="24"/>
          <w:lang w:val="en-US" w:eastAsia="zh-CN"/>
        </w:rPr>
        <w:t>的时间内</w:t>
      </w:r>
      <w:r>
        <w:rPr>
          <w:rFonts w:hint="eastAsia" w:ascii="宋体" w:hAnsi="Courier New" w:eastAsia="宋体" w:cs="Times New Roman"/>
          <w:b w:val="0"/>
          <w:bCs w:val="0"/>
          <w:spacing w:val="0"/>
          <w:sz w:val="24"/>
          <w:szCs w:val="24"/>
          <w:highlight w:val="none"/>
          <w:lang w:val="en-US" w:eastAsia="zh-CN"/>
        </w:rPr>
        <w:t>在中国重汽e采通完成</w:t>
      </w:r>
      <w:r>
        <w:rPr>
          <w:rFonts w:hint="eastAsia" w:ascii="宋体" w:hAnsi="Courier New" w:eastAsia="宋体" w:cs="Times New Roman"/>
          <w:b w:val="0"/>
          <w:bCs w:val="0"/>
          <w:spacing w:val="0"/>
          <w:sz w:val="24"/>
          <w:szCs w:val="24"/>
          <w:lang w:val="en-US" w:eastAsia="zh-CN"/>
        </w:rPr>
        <w:t>投标</w:t>
      </w:r>
      <w:r>
        <w:rPr>
          <w:rFonts w:hint="eastAsia" w:ascii="宋体" w:hAnsi="Courier New" w:eastAsia="宋体" w:cs="Times New Roman"/>
          <w:b w:val="0"/>
          <w:bCs w:val="0"/>
          <w:spacing w:val="0"/>
          <w:sz w:val="24"/>
          <w:szCs w:val="24"/>
          <w:highlight w:val="none"/>
          <w:lang w:val="en-US" w:eastAsia="zh-CN"/>
        </w:rPr>
        <w:t>的</w:t>
      </w:r>
      <w:r>
        <w:rPr>
          <w:rFonts w:hint="eastAsia" w:ascii="宋体" w:hAnsi="Courier New" w:eastAsia="宋体" w:cs="Times New Roman"/>
          <w:b w:val="0"/>
          <w:bCs w:val="0"/>
          <w:spacing w:val="0"/>
          <w:sz w:val="24"/>
          <w:szCs w:val="24"/>
          <w:lang w:val="en-US" w:eastAsia="zh-CN"/>
        </w:rPr>
        <w:t>；</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lang w:eastAsia="zh-CN"/>
        </w:rPr>
        <w:t>（</w:t>
      </w:r>
      <w:r>
        <w:rPr>
          <w:rFonts w:hint="eastAsia" w:ascii="宋体" w:hAnsi="Courier New" w:eastAsia="宋体" w:cs="Times New Roman"/>
          <w:color w:val="000000"/>
          <w:sz w:val="24"/>
          <w:szCs w:val="24"/>
          <w:lang w:val="en-US" w:eastAsia="zh-CN"/>
        </w:rPr>
        <w:t>12</w:t>
      </w:r>
      <w:r>
        <w:rPr>
          <w:rFonts w:hint="eastAsia" w:ascii="宋体" w:hAnsi="Courier New" w:eastAsia="宋体" w:cs="Times New Roman"/>
          <w:color w:val="000000"/>
          <w:sz w:val="24"/>
          <w:szCs w:val="24"/>
          <w:lang w:eastAsia="zh-CN"/>
        </w:rPr>
        <w:t>）</w:t>
      </w:r>
      <w:r>
        <w:rPr>
          <w:rFonts w:hint="eastAsia" w:ascii="宋体" w:hAnsi="Courier New" w:eastAsia="宋体" w:cs="Times New Roman"/>
          <w:color w:val="000000"/>
          <w:sz w:val="24"/>
          <w:szCs w:val="24"/>
        </w:rPr>
        <w:t>法律、法规规定的其他情况。</w:t>
      </w:r>
    </w:p>
    <w:p>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）符合条件的投标人或者对招标文件做实质响应的投标人不足三家的；</w:t>
      </w:r>
    </w:p>
    <w:p>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p>
    <w:p>
      <w:pPr>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pPr>
        <w:pStyle w:val="16"/>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pPr>
        <w:spacing w:line="360" w:lineRule="auto"/>
        <w:ind w:right="2"/>
        <w:rPr>
          <w:rFonts w:ascii="Calibri" w:hAnsi="Calibri" w:eastAsia="宋体" w:cs="Times New Roman"/>
          <w:color w:val="000000"/>
          <w:sz w:val="24"/>
          <w:szCs w:val="24"/>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420" w:lineRule="exact"/>
        <w:ind w:right="2" w:firstLine="482" w:firstLineChars="200"/>
        <w:rPr>
          <w:rFonts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归中国重汽集团济南动力有限公司。</w:t>
      </w:r>
    </w:p>
    <w:p>
      <w:pPr>
        <w:pStyle w:val="16"/>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7"/>
          <w:cols w:space="720" w:num="1"/>
          <w:docGrid w:linePitch="290" w:charSpace="-3931"/>
        </w:sectPr>
      </w:pPr>
    </w:p>
    <w:p>
      <w:pPr>
        <w:pStyle w:val="16"/>
        <w:numPr>
          <w:ilvl w:val="255"/>
          <w:numId w:val="0"/>
        </w:numPr>
        <w:jc w:val="center"/>
        <w:outlineLvl w:val="0"/>
        <w:rPr>
          <w:rFonts w:ascii="Calibri" w:hAnsi="Calibri" w:eastAsia="宋体" w:cs="Times New Roman"/>
          <w:b/>
          <w:bCs/>
          <w:kern w:val="44"/>
          <w:sz w:val="36"/>
          <w:szCs w:val="44"/>
        </w:rPr>
      </w:pPr>
      <w:bookmarkStart w:id="14" w:name="_Toc22879"/>
      <w:r>
        <w:rPr>
          <w:rFonts w:hint="eastAsia" w:ascii="Calibri" w:hAnsi="Calibri" w:eastAsia="宋体" w:cs="Times New Roman"/>
          <w:b/>
          <w:bCs/>
          <w:kern w:val="44"/>
          <w:sz w:val="36"/>
          <w:szCs w:val="44"/>
        </w:rPr>
        <w:t>第三部分 投标文件编制</w:t>
      </w:r>
      <w:bookmarkEnd w:id="14"/>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1投标人所投标设备详细技术资料清单，在标书中列示说明；</w:t>
      </w:r>
    </w:p>
    <w:p>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2投标人完整的技术支持与售后服务实施方案，在标书中列示说明，包含但不</w:t>
      </w:r>
      <w:r>
        <w:rPr>
          <w:rFonts w:hint="eastAsia" w:ascii="宋体" w:hAnsi="Courier New" w:eastAsia="宋体" w:cs="Times New Roman"/>
          <w:color w:val="000000"/>
          <w:sz w:val="24"/>
          <w:szCs w:val="24"/>
        </w:rPr>
        <w:t>限于以下内容：</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3投标人关于包装、运输、检验、交付、安装、调试、培训等方案，均需在标</w:t>
      </w:r>
      <w:r>
        <w:rPr>
          <w:rFonts w:hint="eastAsia" w:ascii="宋体" w:hAnsi="Courier New" w:eastAsia="宋体" w:cs="Times New Roman"/>
          <w:color w:val="000000"/>
          <w:sz w:val="24"/>
          <w:szCs w:val="24"/>
        </w:rPr>
        <w:t>书中列示说明。</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pPr>
        <w:spacing w:line="360" w:lineRule="auto"/>
        <w:ind w:firstLine="480" w:firstLineChars="200"/>
        <w:rPr>
          <w:rFonts w:hint="eastAsia" w:ascii="宋体" w:hAnsi="Courier New" w:eastAsia="宋体" w:cs="Times New Roman"/>
          <w:bCs/>
          <w:color w:val="000000"/>
          <w:sz w:val="24"/>
          <w:szCs w:val="24"/>
          <w:lang w:val="en-US" w:eastAsia="zh-CN"/>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Courier New" w:eastAsia="宋体" w:cs="Times New Roman"/>
          <w:bCs/>
          <w:color w:val="000000"/>
          <w:sz w:val="24"/>
          <w:szCs w:val="24"/>
        </w:rPr>
        <w:t>个</w:t>
      </w:r>
      <w:r>
        <w:rPr>
          <w:rFonts w:hint="eastAsia" w:ascii="宋体" w:hAnsi="Courier New" w:eastAsia="宋体" w:cs="Times New Roman"/>
          <w:bCs/>
          <w:color w:val="000000"/>
          <w:sz w:val="24"/>
          <w:szCs w:val="24"/>
          <w:lang w:val="en-US" w:eastAsia="zh-CN"/>
        </w:rPr>
        <w:t>文件。</w:t>
      </w:r>
    </w:p>
    <w:p>
      <w:pPr>
        <w:spacing w:line="360" w:lineRule="auto"/>
        <w:ind w:firstLine="482" w:firstLineChars="200"/>
        <w:rPr>
          <w:rFonts w:hint="default" w:ascii="宋体" w:hAnsi="Courier New" w:eastAsia="宋体" w:cs="Times New Roman"/>
          <w:bCs/>
          <w:color w:val="000000"/>
          <w:sz w:val="24"/>
          <w:szCs w:val="24"/>
          <w:lang w:val="en-US" w:eastAsia="zh-CN"/>
        </w:rPr>
      </w:pPr>
      <w:r>
        <w:rPr>
          <w:rFonts w:hint="eastAsia" w:ascii="宋体" w:hAnsi="Courier New" w:eastAsia="宋体" w:cs="Times New Roman"/>
          <w:b/>
          <w:bCs w:val="0"/>
          <w:color w:val="000000"/>
          <w:sz w:val="24"/>
          <w:szCs w:val="24"/>
          <w:lang w:val="en-US" w:eastAsia="zh-CN"/>
        </w:rPr>
        <w:t>投标文件的份数要求及投递方式</w:t>
      </w:r>
      <w:r>
        <w:rPr>
          <w:rFonts w:hint="eastAsia" w:ascii="宋体" w:hAnsi="Courier New" w:eastAsia="宋体" w:cs="Times New Roman"/>
          <w:bCs/>
          <w:color w:val="000000"/>
          <w:sz w:val="24"/>
          <w:szCs w:val="24"/>
          <w:lang w:val="en-US" w:eastAsia="zh-CN"/>
        </w:rPr>
        <w:t>，见《投标须知前附表》第3条。</w:t>
      </w:r>
    </w:p>
    <w:p>
      <w:pPr>
        <w:spacing w:line="360" w:lineRule="auto"/>
        <w:ind w:firstLine="480" w:firstLineChars="200"/>
        <w:rPr>
          <w:rFonts w:hint="eastAsia"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w:t>
      </w:r>
      <w:r>
        <w:rPr>
          <w:rFonts w:hint="eastAsia" w:ascii="宋体" w:hAnsi="Courier New" w:eastAsia="宋体" w:cs="Times New Roman"/>
          <w:bCs/>
          <w:color w:val="000000"/>
          <w:sz w:val="24"/>
          <w:szCs w:val="24"/>
          <w:lang w:val="en-US" w:eastAsia="zh-CN"/>
        </w:rPr>
        <w:t>4</w:t>
      </w:r>
      <w:r>
        <w:rPr>
          <w:rFonts w:hint="eastAsia" w:ascii="宋体" w:hAnsi="Courier New" w:eastAsia="宋体" w:cs="Times New Roman"/>
          <w:bCs/>
          <w:color w:val="000000"/>
          <w:sz w:val="24"/>
          <w:szCs w:val="24"/>
        </w:rPr>
        <w:t>，其余未尽事宜请按各单位习惯制定即可。</w:t>
      </w:r>
    </w:p>
    <w:p>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lang w:eastAsia="zh-CN"/>
        </w:rPr>
        <w:t>《</w:t>
      </w:r>
      <w:r>
        <w:rPr>
          <w:rFonts w:hint="eastAsia" w:ascii="宋体" w:hAnsi="宋体" w:eastAsia="宋体" w:cs="Times New Roman"/>
          <w:b/>
          <w:bCs/>
          <w:sz w:val="24"/>
          <w:szCs w:val="20"/>
          <w:lang w:val="en-US" w:eastAsia="zh-CN"/>
        </w:rPr>
        <w:t>投标文件（资质标）</w:t>
      </w:r>
      <w:r>
        <w:rPr>
          <w:rFonts w:hint="eastAsia" w:ascii="宋体" w:hAnsi="宋体" w:eastAsia="宋体" w:cs="Times New Roman"/>
          <w:b/>
          <w:bCs/>
          <w:sz w:val="24"/>
          <w:szCs w:val="20"/>
          <w:lang w:eastAsia="zh-CN"/>
        </w:rPr>
        <w:t>》</w:t>
      </w:r>
      <w:r>
        <w:rPr>
          <w:rFonts w:hint="eastAsia" w:ascii="宋体" w:hAnsi="宋体" w:eastAsia="宋体" w:cs="Times New Roman"/>
          <w:b/>
          <w:bCs/>
          <w:sz w:val="24"/>
          <w:szCs w:val="20"/>
        </w:rPr>
        <w:t>包括</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1.1营业执照副本复印件；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1.2投标函（附件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1.3法定代表人授权书（附件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w:t>
      </w:r>
      <w:r>
        <w:rPr>
          <w:rFonts w:hint="eastAsia" w:ascii="宋体" w:hAnsi="宋体" w:eastAsia="宋体" w:cs="Times New Roman"/>
          <w:color w:val="000000"/>
          <w:sz w:val="24"/>
          <w:szCs w:val="24"/>
          <w:lang w:val="en-US" w:eastAsia="zh-CN"/>
        </w:rPr>
        <w:t>被</w:t>
      </w:r>
      <w:r>
        <w:rPr>
          <w:rFonts w:hint="eastAsia" w:ascii="宋体" w:hAnsi="宋体" w:eastAsia="宋体" w:cs="Times New Roman"/>
          <w:color w:val="000000"/>
          <w:sz w:val="24"/>
          <w:szCs w:val="24"/>
        </w:rPr>
        <w:t>授权人参加投标的，需提供法定代表人授权委托书</w:t>
      </w:r>
      <w:r>
        <w:rPr>
          <w:rFonts w:hint="eastAsia" w:ascii="宋体" w:hAnsi="宋体" w:eastAsia="宋体" w:cs="Times New Roman"/>
          <w:b/>
          <w:color w:val="000000"/>
          <w:sz w:val="24"/>
          <w:szCs w:val="24"/>
        </w:rPr>
        <w:t>（含法人身份证和被授权人身份证</w:t>
      </w:r>
      <w:r>
        <w:rPr>
          <w:rFonts w:hint="eastAsia" w:ascii="宋体" w:hAnsi="宋体" w:eastAsia="宋体" w:cs="Times New Roman"/>
          <w:b/>
          <w:color w:val="000000"/>
          <w:sz w:val="24"/>
          <w:szCs w:val="24"/>
          <w:lang w:val="en-US" w:eastAsia="zh-CN"/>
        </w:rPr>
        <w:t>正反面复印件</w:t>
      </w:r>
      <w:r>
        <w:rPr>
          <w:rFonts w:hint="eastAsia" w:ascii="宋体" w:hAnsi="宋体" w:eastAsia="宋体" w:cs="Times New Roman"/>
          <w:b/>
          <w:color w:val="000000"/>
          <w:sz w:val="24"/>
          <w:szCs w:val="24"/>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1"/>
          <w:highlight w:val="none"/>
          <w:lang w:bidi="en-US"/>
        </w:rPr>
        <w:t>近</w:t>
      </w:r>
      <w:r>
        <w:rPr>
          <w:rFonts w:hint="eastAsia" w:ascii="宋体" w:hAnsi="宋体" w:eastAsia="宋体" w:cs="宋体"/>
          <w:kern w:val="0"/>
          <w:sz w:val="24"/>
          <w:szCs w:val="21"/>
          <w:highlight w:val="yellow"/>
          <w:u w:val="single"/>
          <w:lang w:val="en-US" w:eastAsia="zh-CN" w:bidi="en-US"/>
        </w:rPr>
        <w:t>6</w:t>
      </w:r>
      <w:r>
        <w:rPr>
          <w:rFonts w:hint="eastAsia" w:ascii="宋体" w:hAnsi="宋体" w:eastAsia="宋体" w:cs="宋体"/>
          <w:color w:val="auto"/>
          <w:kern w:val="0"/>
          <w:sz w:val="24"/>
          <w:szCs w:val="21"/>
          <w:highlight w:val="yellow"/>
          <w:u w:val="single"/>
          <w:lang w:bidi="en-US"/>
        </w:rPr>
        <w:t>个月</w:t>
      </w:r>
      <w:r>
        <w:rPr>
          <w:rFonts w:hint="eastAsia" w:ascii="宋体" w:hAnsi="宋体" w:eastAsia="宋体" w:cs="宋体"/>
          <w:color w:val="auto"/>
          <w:kern w:val="0"/>
          <w:sz w:val="24"/>
          <w:szCs w:val="21"/>
          <w:highlight w:val="yellow"/>
          <w:u w:val="single"/>
          <w:lang w:val="en-US" w:eastAsia="zh-CN" w:bidi="en-US"/>
        </w:rPr>
        <w:t>及以上</w:t>
      </w:r>
      <w:r>
        <w:rPr>
          <w:rFonts w:hint="eastAsia" w:ascii="宋体" w:hAnsi="宋体" w:eastAsia="宋体" w:cs="宋体"/>
          <w:kern w:val="0"/>
          <w:sz w:val="24"/>
          <w:szCs w:val="21"/>
          <w:highlight w:val="none"/>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Times New Roman"/>
          <w:color w:val="000000"/>
          <w:sz w:val="24"/>
          <w:szCs w:val="24"/>
          <w:highlight w:val="green"/>
        </w:rPr>
      </w:pPr>
      <w:r>
        <w:rPr>
          <w:rFonts w:hint="eastAsia" w:ascii="宋体" w:hAnsi="宋体" w:eastAsia="宋体" w:cs="Times New Roman"/>
          <w:color w:val="000000"/>
          <w:sz w:val="24"/>
          <w:szCs w:val="24"/>
        </w:rPr>
        <w:t>1.4近三年</w:t>
      </w:r>
      <w:r>
        <w:rPr>
          <w:rFonts w:hint="eastAsia" w:ascii="宋体" w:hAnsi="宋体" w:eastAsia="宋体" w:cs="Times New Roman"/>
          <w:b w:val="0"/>
          <w:bCs w:val="0"/>
          <w:color w:val="000000"/>
          <w:sz w:val="24"/>
          <w:szCs w:val="24"/>
        </w:rPr>
        <w:t>经第三方机构审计</w:t>
      </w:r>
      <w:r>
        <w:rPr>
          <w:rFonts w:hint="eastAsia" w:ascii="宋体" w:hAnsi="宋体" w:eastAsia="宋体" w:cs="Times New Roman"/>
          <w:color w:val="000000"/>
          <w:sz w:val="24"/>
          <w:szCs w:val="24"/>
        </w:rPr>
        <w:t>的财务报表（资产负债表、损益表、现金流量表）复印件，必须连续，同时填写投标人基本情况及资产情况汇总表（附件3）</w:t>
      </w:r>
      <w:r>
        <w:rPr>
          <w:rFonts w:hint="eastAsia" w:ascii="宋体" w:hAnsi="宋体" w:eastAsia="宋体" w:cs="Times New Roman"/>
          <w:b w:val="0"/>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1.5近三年内在经营活动中没有违法违纪行为的声明；</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1.6投标单位在国家企业信用信息公示系统中无与本项目有关的行政处罚、经营异常和失信信息的声明；</w:t>
      </w:r>
    </w:p>
    <w:p>
      <w:pPr>
        <w:spacing w:line="360" w:lineRule="auto"/>
        <w:ind w:firstLine="480"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1.7企业信用证明材料（中国人民银行信用代码证+征信报告）；</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1.</w:t>
      </w:r>
      <w:r>
        <w:rPr>
          <w:rFonts w:hint="eastAsia" w:ascii="宋体" w:hAnsi="宋体" w:eastAsia="宋体" w:cs="Times New Roman"/>
          <w:color w:val="000000"/>
          <w:sz w:val="24"/>
          <w:szCs w:val="24"/>
          <w:lang w:val="en-US" w:eastAsia="zh-CN"/>
        </w:rPr>
        <w:t>8</w:t>
      </w:r>
      <w:r>
        <w:rPr>
          <w:rFonts w:hint="eastAsia" w:ascii="宋体" w:hAnsi="宋体" w:eastAsia="宋体" w:cs="Times New Roman"/>
          <w:color w:val="000000"/>
          <w:sz w:val="24"/>
          <w:szCs w:val="24"/>
        </w:rPr>
        <w:t>代理商投标要携带生产商的授权书、原厂售后服务承诺书，</w:t>
      </w:r>
      <w:r>
        <w:rPr>
          <w:rFonts w:hint="eastAsia" w:ascii="宋体" w:hAnsi="宋体" w:eastAsia="宋体" w:cs="Times New Roman"/>
          <w:b/>
          <w:color w:val="000000"/>
          <w:sz w:val="24"/>
          <w:szCs w:val="24"/>
        </w:rPr>
        <w:t>根据实际情况提供即可，无格式限制；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w:t>
      </w:r>
      <w:r>
        <w:rPr>
          <w:rFonts w:hint="eastAsia" w:ascii="宋体" w:hAnsi="宋体" w:eastAsia="宋体" w:cs="Times New Roman"/>
          <w:color w:val="000000"/>
          <w:sz w:val="24"/>
          <w:szCs w:val="24"/>
          <w:lang w:val="en-US" w:eastAsia="zh-CN"/>
        </w:rPr>
        <w:t>9企业最近半年的完税证明；</w:t>
      </w:r>
    </w:p>
    <w:p>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1.</w:t>
      </w:r>
      <w:r>
        <w:rPr>
          <w:rFonts w:hint="eastAsia" w:ascii="宋体" w:hAnsi="宋体" w:eastAsia="宋体" w:cs="Times New Roman"/>
          <w:color w:val="000000"/>
          <w:sz w:val="24"/>
          <w:szCs w:val="24"/>
          <w:lang w:val="en-US" w:eastAsia="zh-CN"/>
        </w:rPr>
        <w:t>10</w:t>
      </w:r>
      <w:r>
        <w:rPr>
          <w:rFonts w:hint="eastAsia" w:ascii="宋体" w:hAnsi="宋体" w:eastAsia="宋体" w:cs="Times New Roman"/>
          <w:color w:val="000000"/>
          <w:sz w:val="24"/>
          <w:szCs w:val="24"/>
        </w:rPr>
        <w:t>保密承诺函（附件4）</w:t>
      </w:r>
      <w:r>
        <w:rPr>
          <w:rFonts w:hint="eastAsia" w:ascii="宋体" w:hAnsi="宋体" w:eastAsia="宋体" w:cs="Times New Roman"/>
          <w:color w:val="000000"/>
          <w:sz w:val="24"/>
          <w:szCs w:val="24"/>
          <w:lang w:eastAsia="zh-CN"/>
        </w:rPr>
        <w:t>；</w:t>
      </w:r>
    </w:p>
    <w:p>
      <w:pPr>
        <w:spacing w:line="360" w:lineRule="auto"/>
        <w:ind w:firstLine="480" w:firstLineChars="20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1.11企业</w:t>
      </w:r>
      <w:r>
        <w:rPr>
          <w:rFonts w:hint="eastAsia" w:ascii="宋体" w:hAnsi="宋体" w:eastAsia="宋体" w:cs="Times New Roman"/>
          <w:color w:val="000000"/>
          <w:sz w:val="24"/>
          <w:szCs w:val="24"/>
        </w:rPr>
        <w:t>近三年同类项目业绩</w:t>
      </w:r>
      <w:r>
        <w:rPr>
          <w:rFonts w:hint="eastAsia" w:ascii="宋体" w:hAnsi="宋体" w:eastAsia="宋体" w:cs="Times New Roman"/>
          <w:color w:val="000000"/>
          <w:sz w:val="24"/>
          <w:szCs w:val="24"/>
          <w:lang w:val="en-US" w:eastAsia="zh-CN"/>
        </w:rPr>
        <w:t>证明；</w:t>
      </w:r>
    </w:p>
    <w:p>
      <w:pPr>
        <w:spacing w:line="360" w:lineRule="auto"/>
        <w:ind w:firstLine="480" w:firstLineChars="20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1.12投标保证金缴纳凭证。</w:t>
      </w:r>
    </w:p>
    <w:p>
      <w:pPr>
        <w:spacing w:line="360" w:lineRule="auto"/>
        <w:ind w:firstLine="482" w:firstLineChars="200"/>
        <w:rPr>
          <w:rFonts w:ascii="宋体" w:hAnsi="Calibri" w:eastAsia="宋体" w:cs="Times New Roman"/>
          <w:b/>
          <w:bCs/>
          <w:sz w:val="24"/>
          <w:szCs w:val="20"/>
          <w:highlight w:val="none"/>
        </w:rPr>
      </w:pPr>
      <w:r>
        <w:rPr>
          <w:rFonts w:ascii="宋体" w:hAnsi="宋体" w:eastAsia="宋体" w:cs="Times New Roman"/>
          <w:b/>
          <w:bCs/>
          <w:sz w:val="24"/>
          <w:szCs w:val="20"/>
          <w:highlight w:val="none"/>
        </w:rPr>
        <w:t xml:space="preserve">2 </w:t>
      </w:r>
      <w:r>
        <w:rPr>
          <w:rFonts w:hint="eastAsia" w:eastAsia="宋体" w:cs="宋体"/>
          <w:b/>
          <w:color w:val="auto"/>
          <w:sz w:val="24"/>
          <w:szCs w:val="28"/>
          <w:highlight w:val="none"/>
        </w:rPr>
        <w:t>《投标文件（技术标）》</w:t>
      </w:r>
      <w:r>
        <w:rPr>
          <w:rFonts w:hint="eastAsia" w:ascii="宋体" w:hAnsi="宋体" w:eastAsia="宋体" w:cs="Times New Roman"/>
          <w:b/>
          <w:bCs/>
          <w:sz w:val="24"/>
          <w:szCs w:val="20"/>
          <w:highlight w:val="none"/>
        </w:rPr>
        <w:t>：</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2.1技术规格偏离表（附件5），</w:t>
      </w:r>
      <w:r>
        <w:rPr>
          <w:rFonts w:hint="eastAsia" w:ascii="宋体" w:hAnsi="宋体" w:eastAsia="宋体" w:cs="Times New Roman"/>
          <w:b/>
          <w:color w:val="000000"/>
          <w:sz w:val="24"/>
          <w:szCs w:val="24"/>
        </w:rPr>
        <w:t>必须先进行两列要求一一对照，不允许直接写无偏离；</w:t>
      </w:r>
    </w:p>
    <w:p>
      <w:pPr>
        <w:spacing w:line="360" w:lineRule="auto"/>
        <w:ind w:firstLine="480" w:firstLineChars="200"/>
        <w:rPr>
          <w:rFonts w:ascii="宋体" w:hAnsi="宋体" w:eastAsia="宋体" w:cs="Times New Roman"/>
          <w:b/>
          <w:color w:val="000000"/>
          <w:sz w:val="24"/>
          <w:szCs w:val="24"/>
          <w:highlight w:val="green"/>
        </w:rPr>
      </w:pPr>
      <w:r>
        <w:rPr>
          <w:rFonts w:hint="eastAsia" w:ascii="宋体" w:hAnsi="宋体" w:eastAsia="宋体" w:cs="Times New Roman"/>
          <w:bCs/>
          <w:color w:val="000000"/>
          <w:sz w:val="24"/>
          <w:szCs w:val="24"/>
        </w:rPr>
        <w:t>2.2</w:t>
      </w:r>
      <w:r>
        <w:rPr>
          <w:rFonts w:hint="eastAsia" w:ascii="宋体" w:hAnsi="宋体" w:eastAsia="宋体" w:cs="Times New Roman"/>
          <w:color w:val="000000"/>
          <w:sz w:val="24"/>
          <w:szCs w:val="24"/>
        </w:rPr>
        <w:t>近三年同类项目业绩一览表（附件6）及有效合同复印件</w:t>
      </w:r>
      <w:r>
        <w:rPr>
          <w:rFonts w:hint="eastAsia" w:ascii="宋体" w:hAnsi="宋体" w:eastAsia="宋体" w:cs="Times New Roman"/>
          <w:color w:val="000000"/>
          <w:sz w:val="24"/>
          <w:szCs w:val="24"/>
          <w:highlight w:val="green"/>
        </w:rPr>
        <w:t>，</w:t>
      </w:r>
      <w:r>
        <w:rPr>
          <w:rFonts w:hint="eastAsia" w:ascii="宋体" w:hAnsi="宋体" w:eastAsia="宋体" w:cs="Times New Roman"/>
          <w:b/>
          <w:color w:val="000000"/>
          <w:sz w:val="24"/>
          <w:szCs w:val="24"/>
          <w:highlight w:val="green"/>
        </w:rPr>
        <w:t>若</w:t>
      </w:r>
      <w:r>
        <w:rPr>
          <w:rFonts w:hint="eastAsia" w:ascii="宋体" w:hAnsi="宋体" w:eastAsia="宋体" w:cs="Times New Roman"/>
          <w:b/>
          <w:color w:val="000000"/>
          <w:sz w:val="24"/>
          <w:szCs w:val="24"/>
          <w:highlight w:val="green"/>
          <w:lang w:val="en-US" w:eastAsia="zh-CN"/>
        </w:rPr>
        <w:t>未</w:t>
      </w:r>
      <w:r>
        <w:rPr>
          <w:rFonts w:hint="eastAsia" w:ascii="宋体" w:hAnsi="宋体" w:eastAsia="宋体" w:cs="Times New Roman"/>
          <w:b/>
          <w:color w:val="000000"/>
          <w:sz w:val="24"/>
          <w:szCs w:val="24"/>
          <w:highlight w:val="green"/>
        </w:rPr>
        <w:t>提供相应业绩证明，</w:t>
      </w:r>
      <w:r>
        <w:rPr>
          <w:rFonts w:hint="eastAsia" w:ascii="宋体" w:hAnsi="宋体" w:eastAsia="宋体" w:cs="Times New Roman"/>
          <w:b/>
          <w:color w:val="000000"/>
          <w:sz w:val="24"/>
          <w:szCs w:val="24"/>
          <w:highlight w:val="green"/>
          <w:lang w:val="en-US" w:eastAsia="zh-CN"/>
        </w:rPr>
        <w:t>根据技术标评分规则，</w:t>
      </w:r>
      <w:r>
        <w:rPr>
          <w:rFonts w:hint="eastAsia" w:ascii="宋体" w:hAnsi="宋体" w:eastAsia="宋体" w:cs="Times New Roman"/>
          <w:b/>
          <w:color w:val="000000"/>
          <w:sz w:val="24"/>
          <w:szCs w:val="24"/>
          <w:highlight w:val="green"/>
        </w:rPr>
        <w:t>将影响现场评标专家组对投标单位业绩判定打分；</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2.3供货期及保证措施；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2.4产品的技术服务和售后服务内容及措施；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2.5交货进度及计划；</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2.6投标产品技术支持材料；</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2.7设备质量承诺函（附件7）；</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2.8投标人需提交的其它资料。</w:t>
      </w:r>
    </w:p>
    <w:p>
      <w:pPr>
        <w:spacing w:line="360" w:lineRule="auto"/>
        <w:ind w:firstLine="482" w:firstLineChars="200"/>
        <w:rPr>
          <w:rFonts w:ascii="宋体" w:hAnsi="Calibri" w:eastAsia="宋体" w:cs="Times New Roman"/>
          <w:b/>
          <w:bCs/>
          <w:sz w:val="24"/>
          <w:szCs w:val="20"/>
          <w:highlight w:val="none"/>
        </w:rPr>
      </w:pPr>
      <w:r>
        <w:rPr>
          <w:rFonts w:ascii="宋体" w:hAnsi="宋体" w:eastAsia="宋体" w:cs="Times New Roman"/>
          <w:b/>
          <w:bCs/>
          <w:sz w:val="24"/>
          <w:szCs w:val="20"/>
          <w:highlight w:val="none"/>
        </w:rPr>
        <w:t>3</w:t>
      </w:r>
      <w:r>
        <w:rPr>
          <w:rFonts w:hint="eastAsia" w:ascii="宋体" w:hAnsi="宋体" w:eastAsia="宋体" w:cs="Times New Roman"/>
          <w:b/>
          <w:bCs/>
          <w:sz w:val="24"/>
          <w:szCs w:val="20"/>
          <w:highlight w:val="none"/>
        </w:rPr>
        <w:t xml:space="preserve"> </w:t>
      </w:r>
      <w:r>
        <w:rPr>
          <w:rFonts w:hint="eastAsia" w:eastAsia="宋体" w:cs="宋体"/>
          <w:b/>
          <w:color w:val="auto"/>
          <w:sz w:val="24"/>
          <w:szCs w:val="28"/>
          <w:highlight w:val="none"/>
        </w:rPr>
        <w:t>《投标文件（商务标）》（开标一览表）</w:t>
      </w:r>
      <w:r>
        <w:rPr>
          <w:rFonts w:hint="eastAsia" w:ascii="宋体" w:hAnsi="宋体" w:eastAsia="宋体" w:cs="Times New Roman"/>
          <w:b/>
          <w:bCs/>
          <w:sz w:val="24"/>
          <w:szCs w:val="20"/>
          <w:highlight w:val="none"/>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3.1开标一览表（附件8）；</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3.2投标</w:t>
      </w:r>
      <w:r>
        <w:rPr>
          <w:rFonts w:hint="eastAsia" w:ascii="宋体" w:hAnsi="宋体" w:eastAsia="宋体" w:cs="Times New Roman"/>
          <w:color w:val="000000"/>
          <w:sz w:val="24"/>
          <w:szCs w:val="24"/>
          <w:highlight w:val="none"/>
        </w:rPr>
        <w:t>报价明细表（附件9</w:t>
      </w:r>
      <w:r>
        <w:rPr>
          <w:rFonts w:hint="eastAsia" w:ascii="宋体" w:hAnsi="宋体" w:eastAsia="宋体" w:cs="Times New Roman"/>
          <w:color w:val="000000"/>
          <w:sz w:val="24"/>
          <w:szCs w:val="24"/>
          <w:highlight w:val="none"/>
          <w:lang w:val="en-US" w:eastAsia="zh-CN"/>
        </w:rPr>
        <w:t>-1至9-5</w:t>
      </w:r>
      <w:r>
        <w:rPr>
          <w:rFonts w:hint="eastAsia" w:ascii="宋体" w:hAnsi="宋体" w:eastAsia="宋体" w:cs="Times New Roman"/>
          <w:color w:val="000000"/>
          <w:sz w:val="24"/>
          <w:szCs w:val="24"/>
          <w:highlight w:val="none"/>
        </w:rPr>
        <w:t>）</w:t>
      </w:r>
      <w:r>
        <w:rPr>
          <w:rFonts w:hint="eastAsia" w:ascii="宋体" w:hAnsi="宋体" w:eastAsia="宋体" w:cs="Times New Roman"/>
          <w:b/>
          <w:color w:val="000000"/>
          <w:sz w:val="24"/>
          <w:szCs w:val="24"/>
          <w:highlight w:val="none"/>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3.3商务条款偏离表（附件10）</w:t>
      </w:r>
      <w:r>
        <w:rPr>
          <w:rFonts w:hint="eastAsia" w:ascii="宋体" w:hAnsi="宋体" w:eastAsia="宋体" w:cs="Times New Roman"/>
          <w:b/>
          <w:color w:val="000000"/>
          <w:sz w:val="24"/>
          <w:szCs w:val="24"/>
        </w:rPr>
        <w:t>；</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rPr>
        <w:t>需写明质保期以外服务费用情况；</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3.5服务承诺函（附件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p>
    <w:p>
      <w:pPr>
        <w:keepNext/>
        <w:keepLines/>
        <w:spacing w:line="360" w:lineRule="auto"/>
        <w:ind w:firstLine="480" w:firstLineChars="200"/>
        <w:outlineLvl w:val="1"/>
        <w:rPr>
          <w:rFonts w:hint="eastAsia" w:ascii="Arial" w:hAnsi="Arial" w:eastAsia="宋体" w:cs="Times New Roman"/>
          <w:b/>
          <w:bCs/>
          <w:sz w:val="24"/>
          <w:szCs w:val="24"/>
        </w:rPr>
      </w:pPr>
      <w:r>
        <w:rPr>
          <w:rFonts w:hint="eastAsia" w:ascii="宋体" w:hAnsi="宋体" w:eastAsia="宋体" w:cs="Times New Roman"/>
          <w:color w:val="000000"/>
          <w:sz w:val="24"/>
          <w:szCs w:val="24"/>
        </w:rPr>
        <w:t>3.6按招标文件投标人须知和技术规格书中要求提供的有关文件。</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详见第六部分投标文件附件格式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rPr>
        <w:t>4</w:t>
      </w:r>
      <w:r>
        <w:rPr>
          <w:rFonts w:hint="eastAsia" w:ascii="宋体" w:hAnsi="宋体" w:eastAsia="宋体" w:cs="Times New Roman"/>
          <w:color w:val="000000"/>
          <w:sz w:val="24"/>
          <w:szCs w:val="24"/>
        </w:rPr>
        <w:t>，其余未尽事宜请按各单位习惯制定即可。</w:t>
      </w:r>
    </w:p>
    <w:p>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15" w:name="_Toc9849"/>
      <w:r>
        <w:rPr>
          <w:rFonts w:hint="eastAsia" w:ascii="Calibri" w:hAnsi="Calibri" w:eastAsia="宋体" w:cs="Times New Roman"/>
          <w:b/>
          <w:bCs/>
          <w:kern w:val="44"/>
          <w:sz w:val="36"/>
          <w:szCs w:val="44"/>
        </w:rPr>
        <w:t>第四部分 技术标书</w:t>
      </w:r>
      <w:bookmarkEnd w:id="15"/>
    </w:p>
    <w:p>
      <w:pPr>
        <w:pStyle w:val="16"/>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整车道路性能测试系统</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6"/>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84"/>
          <w:szCs w:val="84"/>
        </w:rPr>
      </w:pPr>
      <w:r>
        <w:rPr>
          <w:rFonts w:hint="eastAsia" w:ascii="黑体" w:hAnsi="宋体" w:eastAsia="黑体" w:cs="Times New Roman"/>
          <w:color w:val="000000"/>
          <w:sz w:val="72"/>
          <w:szCs w:val="72"/>
        </w:rPr>
        <w:t>书</w:t>
      </w:r>
    </w:p>
    <w:p>
      <w:pPr>
        <w:pStyle w:val="16"/>
      </w:pPr>
    </w:p>
    <w:p>
      <w:pPr>
        <w:pStyle w:val="16"/>
        <w:rPr>
          <w:rFonts w:ascii="黑体" w:hAnsi="宋体" w:eastAsia="黑体" w:cs="Times New Roman"/>
          <w:color w:val="000000"/>
          <w:sz w:val="72"/>
          <w:szCs w:val="72"/>
        </w:rPr>
      </w:pPr>
    </w:p>
    <w:p>
      <w:pPr>
        <w:pStyle w:val="16"/>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4月</w:t>
      </w:r>
    </w:p>
    <w:bookmarkEnd w:id="0"/>
    <w:bookmarkEnd w:id="1"/>
    <w:p>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bookmarkStart w:id="16"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16"/>
    </w:p>
    <w:p>
      <w:pPr>
        <w:keepNext/>
        <w:keepLines/>
        <w:spacing w:before="120" w:after="120" w:line="480" w:lineRule="exact"/>
        <w:jc w:val="center"/>
        <w:outlineLvl w:val="2"/>
        <w:rPr>
          <w:rFonts w:ascii="Arial" w:hAnsi="Arial" w:eastAsia="宋体" w:cs="Times New Roman"/>
          <w:b/>
          <w:bCs/>
          <w:sz w:val="24"/>
          <w:szCs w:val="24"/>
        </w:rPr>
      </w:pPr>
      <w:bookmarkStart w:id="17"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17"/>
    </w:p>
    <w:p>
      <w:pPr>
        <w:spacing w:line="360" w:lineRule="auto"/>
        <w:outlineLvl w:val="3"/>
        <w:rPr>
          <w:rFonts w:hint="eastAsia" w:ascii="宋体" w:hAnsi="宋体" w:eastAsia="宋体" w:cs="宋体"/>
          <w:color w:val="auto"/>
          <w:sz w:val="24"/>
          <w:szCs w:val="24"/>
          <w:highlight w:val="none"/>
          <w:u w:val="single"/>
          <w:shd w:val="pct10" w:color="auto" w:fill="FFFFFF"/>
          <w:lang w:eastAsia="zh-CN"/>
        </w:rPr>
      </w:pPr>
      <w:r>
        <w:rPr>
          <w:rFonts w:hint="eastAsia" w:ascii="宋体" w:hAnsi="宋体" w:eastAsia="宋体" w:cs="宋体"/>
          <w:sz w:val="24"/>
          <w:szCs w:val="24"/>
        </w:rPr>
        <w:t>一、项目名称：</w:t>
      </w:r>
      <w:r>
        <w:rPr>
          <w:rFonts w:hint="eastAsia" w:ascii="宋体" w:hAnsi="宋体" w:eastAsia="宋体" w:cs="宋体"/>
          <w:color w:val="auto"/>
          <w:sz w:val="24"/>
          <w:szCs w:val="24"/>
          <w:highlight w:val="none"/>
          <w:u w:val="single"/>
          <w:lang w:eastAsia="zh-CN"/>
        </w:rPr>
        <w:t>整车道路性能测试系统采购项目</w:t>
      </w:r>
    </w:p>
    <w:p>
      <w:pPr>
        <w:spacing w:line="360" w:lineRule="auto"/>
        <w:outlineLvl w:val="3"/>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二、建设地点：济南市高新区华奥路777号重汽科技园</w:t>
      </w:r>
    </w:p>
    <w:p>
      <w:pPr>
        <w:spacing w:line="360" w:lineRule="auto"/>
        <w:outlineLvl w:val="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三、使用地点：</w:t>
      </w:r>
      <w:r>
        <w:rPr>
          <w:rFonts w:hint="eastAsia" w:ascii="宋体" w:hAnsi="宋体" w:eastAsia="宋体" w:cs="宋体"/>
          <w:color w:val="000000"/>
          <w:sz w:val="24"/>
          <w:szCs w:val="24"/>
          <w:highlight w:val="none"/>
          <w:u w:val="single"/>
        </w:rPr>
        <w:t>济南市高新区华奥路777号重汽科技园</w:t>
      </w:r>
    </w:p>
    <w:p>
      <w:pPr>
        <w:spacing w:line="360" w:lineRule="auto"/>
        <w:outlineLvl w:val="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四、工作制度：全年工作</w:t>
      </w:r>
      <w:r>
        <w:rPr>
          <w:rFonts w:hint="eastAsia" w:ascii="宋体" w:hAnsi="宋体" w:eastAsia="宋体" w:cs="宋体"/>
          <w:color w:val="auto"/>
          <w:sz w:val="24"/>
          <w:szCs w:val="24"/>
          <w:highlight w:val="none"/>
          <w:u w:val="single"/>
          <w:shd w:val="pct10" w:color="auto" w:fill="FFFFFF"/>
          <w:lang w:val="en-US" w:eastAsia="zh-CN"/>
        </w:rPr>
        <w:t>200</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u w:val="single"/>
          <w:shd w:val="pct10" w:color="auto" w:fill="FFFFFF"/>
        </w:rPr>
        <w:t xml:space="preserve"> 一 </w:t>
      </w:r>
      <w:r>
        <w:rPr>
          <w:rFonts w:hint="eastAsia" w:ascii="宋体" w:hAnsi="宋体" w:eastAsia="宋体" w:cs="宋体"/>
          <w:color w:val="auto"/>
          <w:sz w:val="24"/>
          <w:szCs w:val="24"/>
          <w:highlight w:val="none"/>
        </w:rPr>
        <w:t>班制、设备年时基数</w:t>
      </w:r>
      <w:r>
        <w:rPr>
          <w:rFonts w:hint="eastAsia" w:ascii="宋体" w:hAnsi="宋体" w:eastAsia="宋体" w:cs="宋体"/>
          <w:color w:val="auto"/>
          <w:sz w:val="24"/>
          <w:szCs w:val="24"/>
          <w:highlight w:val="none"/>
          <w:u w:val="single"/>
          <w:shd w:val="pct10" w:color="auto" w:fill="FFFFFF"/>
          <w:lang w:val="en-US" w:eastAsia="zh-CN"/>
        </w:rPr>
        <w:t>100</w:t>
      </w:r>
      <w:r>
        <w:rPr>
          <w:rFonts w:hint="eastAsia" w:ascii="宋体" w:hAnsi="宋体" w:eastAsia="宋体" w:cs="宋体"/>
          <w:color w:val="auto"/>
          <w:sz w:val="24"/>
          <w:szCs w:val="24"/>
          <w:highlight w:val="none"/>
          <w:u w:val="single"/>
          <w:shd w:val="pct10" w:color="auto" w:fill="FFFFFF"/>
        </w:rPr>
        <w:t>0</w:t>
      </w:r>
      <w:r>
        <w:rPr>
          <w:rFonts w:hint="eastAsia" w:ascii="宋体" w:hAnsi="宋体" w:eastAsia="宋体" w:cs="宋体"/>
          <w:color w:val="auto"/>
          <w:sz w:val="24"/>
          <w:szCs w:val="24"/>
          <w:highlight w:val="none"/>
        </w:rPr>
        <w:t>小时</w:t>
      </w:r>
    </w:p>
    <w:p>
      <w:pPr>
        <w:spacing w:line="360" w:lineRule="auto"/>
        <w:outlineLvl w:val="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五、使用地点区域自然环境：</w:t>
      </w:r>
    </w:p>
    <w:p>
      <w:pPr>
        <w:spacing w:line="360" w:lineRule="auto"/>
        <w:ind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海拔高度：4000m以下</w:t>
      </w:r>
      <w:r>
        <w:rPr>
          <w:rFonts w:hint="eastAsia" w:ascii="宋体" w:hAnsi="宋体" w:cs="宋体"/>
          <w:bCs/>
          <w:color w:val="auto"/>
          <w:sz w:val="24"/>
          <w:szCs w:val="24"/>
          <w:highlight w:val="none"/>
          <w:lang w:eastAsia="zh-CN"/>
        </w:rPr>
        <w:t>；</w:t>
      </w:r>
    </w:p>
    <w:p>
      <w:pPr>
        <w:spacing w:line="360" w:lineRule="auto"/>
        <w:ind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环境温度：极端最低温度-</w:t>
      </w:r>
      <w:r>
        <w:rPr>
          <w:rFonts w:hint="eastAsia" w:ascii="宋体" w:hAnsi="宋体" w:cs="宋体"/>
          <w:bCs/>
          <w:color w:val="auto"/>
          <w:sz w:val="24"/>
          <w:szCs w:val="24"/>
          <w:highlight w:val="none"/>
          <w:lang w:val="en-US" w:eastAsia="zh-CN"/>
        </w:rPr>
        <w:t>40</w:t>
      </w:r>
      <w:r>
        <w:rPr>
          <w:rFonts w:hint="eastAsia" w:ascii="宋体" w:hAnsi="宋体" w:eastAsia="宋体" w:cs="宋体"/>
          <w:bCs/>
          <w:color w:val="auto"/>
          <w:sz w:val="24"/>
          <w:szCs w:val="24"/>
          <w:highlight w:val="none"/>
        </w:rPr>
        <w:t>℃、极端最高温度</w:t>
      </w:r>
      <w:r>
        <w:rPr>
          <w:rFonts w:hint="eastAsia" w:ascii="宋体" w:hAnsi="宋体" w:cs="宋体"/>
          <w:bCs/>
          <w:color w:val="auto"/>
          <w:sz w:val="24"/>
          <w:szCs w:val="24"/>
          <w:highlight w:val="none"/>
          <w:lang w:val="en-US" w:eastAsia="zh-CN"/>
        </w:rPr>
        <w:t>50</w:t>
      </w:r>
      <w:r>
        <w:rPr>
          <w:rFonts w:hint="eastAsia" w:ascii="宋体" w:hAnsi="宋体" w:eastAsia="宋体" w:cs="宋体"/>
          <w:bCs/>
          <w:color w:val="auto"/>
          <w:sz w:val="24"/>
          <w:szCs w:val="24"/>
          <w:highlight w:val="none"/>
        </w:rPr>
        <w:t>℃</w:t>
      </w:r>
      <w:r>
        <w:rPr>
          <w:rFonts w:hint="eastAsia" w:ascii="宋体" w:hAnsi="宋体" w:cs="宋体"/>
          <w:bCs/>
          <w:color w:val="auto"/>
          <w:sz w:val="24"/>
          <w:szCs w:val="24"/>
          <w:highlight w:val="none"/>
          <w:lang w:eastAsia="zh-CN"/>
        </w:rPr>
        <w:t>；</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相对湿度：最大</w:t>
      </w:r>
      <w:r>
        <w:rPr>
          <w:rFonts w:hint="eastAsia" w:ascii="宋体" w:hAnsi="宋体" w:cs="宋体"/>
          <w:bCs/>
          <w:color w:val="auto"/>
          <w:sz w:val="24"/>
          <w:szCs w:val="24"/>
          <w:highlight w:val="none"/>
          <w:lang w:val="en-US" w:eastAsia="zh-CN"/>
        </w:rPr>
        <w:t>95</w:t>
      </w:r>
      <w:r>
        <w:rPr>
          <w:rFonts w:hint="eastAsia" w:ascii="宋体" w:hAnsi="宋体" w:eastAsia="宋体" w:cs="宋体"/>
          <w:bCs/>
          <w:color w:val="auto"/>
          <w:sz w:val="24"/>
          <w:szCs w:val="24"/>
          <w:highlight w:val="none"/>
        </w:rPr>
        <w:t>%、最小</w:t>
      </w:r>
      <w:r>
        <w:rPr>
          <w:rFonts w:hint="eastAsia" w:ascii="宋体" w:hAnsi="宋体" w:cs="宋体"/>
          <w:bCs/>
          <w:color w:val="auto"/>
          <w:sz w:val="24"/>
          <w:szCs w:val="24"/>
          <w:highlight w:val="none"/>
          <w:lang w:val="en-US" w:eastAsia="zh-CN"/>
        </w:rPr>
        <w:t>20</w:t>
      </w:r>
      <w:r>
        <w:rPr>
          <w:rFonts w:hint="eastAsia" w:ascii="宋体" w:hAnsi="宋体" w:eastAsia="宋体" w:cs="宋体"/>
          <w:bCs/>
          <w:color w:val="auto"/>
          <w:sz w:val="24"/>
          <w:szCs w:val="24"/>
          <w:highlight w:val="none"/>
        </w:rPr>
        <w:t>%</w:t>
      </w:r>
      <w:r>
        <w:rPr>
          <w:rFonts w:hint="eastAsia" w:ascii="宋体" w:hAnsi="宋体" w:eastAsia="宋体" w:cs="宋体"/>
          <w:bCs/>
          <w:sz w:val="24"/>
          <w:szCs w:val="24"/>
          <w:highlight w:val="none"/>
        </w:rPr>
        <w:t>。</w:t>
      </w:r>
    </w:p>
    <w:p>
      <w:pPr>
        <w:keepNext/>
        <w:keepLines/>
        <w:spacing w:before="120" w:after="120" w:line="360" w:lineRule="auto"/>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sz w:val="24"/>
          <w:szCs w:val="24"/>
          <w:u w:val="single"/>
          <w:lang w:eastAsia="zh-CN"/>
        </w:rPr>
        <w:t>整车道路性能测试系统</w:t>
      </w:r>
      <w:r>
        <w:rPr>
          <w:rFonts w:hint="eastAsia" w:ascii="宋体" w:hAnsi="宋体" w:eastAsia="宋体" w:cs="宋体"/>
          <w:sz w:val="24"/>
          <w:szCs w:val="24"/>
        </w:rPr>
        <w:t>（详见下表）</w:t>
      </w:r>
    </w:p>
    <w:p>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u w:val="single"/>
          <w:shd w:val="pct10" w:color="auto" w:fill="FFFFFF"/>
          <w:lang w:val="en-US" w:eastAsia="zh-CN"/>
        </w:rPr>
        <w:t>套</w:t>
      </w:r>
      <w:r>
        <w:rPr>
          <w:rFonts w:hint="eastAsia" w:ascii="宋体" w:hAnsi="宋体" w:eastAsia="宋体" w:cs="宋体"/>
          <w:sz w:val="24"/>
          <w:szCs w:val="24"/>
        </w:rPr>
        <w:t>（详见下表）</w:t>
      </w:r>
    </w:p>
    <w:p>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p>
      <w:pPr>
        <w:pStyle w:val="2"/>
        <w:rPr>
          <w:rFonts w:hint="default" w:eastAsia="宋体"/>
          <w:lang w:val="en-US" w:eastAsia="zh-CN"/>
        </w:rPr>
      </w:pPr>
      <w:r>
        <w:rPr>
          <w:rFonts w:hint="eastAsia" w:ascii="宋体" w:hAnsi="宋体" w:cs="宋体"/>
          <w:sz w:val="24"/>
          <w:szCs w:val="24"/>
          <w:lang w:val="en-US" w:eastAsia="zh-CN"/>
        </w:rPr>
        <w:t>数采部分：</w:t>
      </w:r>
    </w:p>
    <w:tbl>
      <w:tblPr>
        <w:tblStyle w:val="127"/>
        <w:tblW w:w="890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4"/>
        <w:gridCol w:w="2806"/>
        <w:gridCol w:w="1442"/>
        <w:gridCol w:w="1436"/>
        <w:gridCol w:w="16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44" w:type="dxa"/>
            <w:tcBorders>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26" w:lineRule="auto"/>
              <w:ind w:left="0"/>
              <w:jc w:val="center"/>
              <w:textAlignment w:val="baseline"/>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序号</w:t>
            </w:r>
          </w:p>
        </w:tc>
        <w:tc>
          <w:tcPr>
            <w:tcW w:w="2806" w:type="dxa"/>
            <w:tcBorders>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26" w:lineRule="auto"/>
              <w:ind w:left="0"/>
              <w:jc w:val="center"/>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名</w:t>
            </w:r>
            <w:r>
              <w:rPr>
                <w:rFonts w:hint="eastAsia" w:ascii="宋体" w:hAnsi="宋体" w:eastAsia="宋体" w:cs="宋体"/>
                <w:color w:val="auto"/>
                <w:spacing w:val="3"/>
                <w:sz w:val="24"/>
                <w:szCs w:val="24"/>
                <w:highlight w:val="none"/>
              </w:rPr>
              <w:t>称</w:t>
            </w:r>
          </w:p>
        </w:tc>
        <w:tc>
          <w:tcPr>
            <w:tcW w:w="1442" w:type="dxa"/>
            <w:tcBorders>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26" w:lineRule="auto"/>
              <w:ind w:left="0" w:leftChars="0"/>
              <w:jc w:val="center"/>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4"/>
                <w:sz w:val="24"/>
                <w:szCs w:val="24"/>
                <w:highlight w:val="none"/>
              </w:rPr>
              <w:t>单位</w:t>
            </w:r>
          </w:p>
        </w:tc>
        <w:tc>
          <w:tcPr>
            <w:tcW w:w="1436" w:type="dxa"/>
            <w:tcBorders>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26" w:lineRule="auto"/>
              <w:ind w:left="0" w:leftChars="0"/>
              <w:jc w:val="center"/>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数量</w:t>
            </w:r>
          </w:p>
        </w:tc>
        <w:tc>
          <w:tcPr>
            <w:tcW w:w="1665" w:type="dxa"/>
            <w:tcBorders>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26" w:lineRule="auto"/>
              <w:ind w:left="0" w:leftChars="0"/>
              <w:jc w:val="center"/>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1044"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806"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数据采集器部分</w:t>
            </w:r>
          </w:p>
        </w:tc>
        <w:tc>
          <w:tcPr>
            <w:tcW w:w="1442"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套</w:t>
            </w:r>
          </w:p>
        </w:tc>
        <w:tc>
          <w:tcPr>
            <w:tcW w:w="1436"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665"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提供</w:t>
            </w:r>
            <w:r>
              <w:rPr>
                <w:rFonts w:hint="eastAsia" w:ascii="宋体" w:hAnsi="宋体" w:eastAsia="宋体" w:cs="宋体"/>
                <w:b/>
                <w:bCs/>
                <w:color w:val="auto"/>
                <w:kern w:val="2"/>
                <w:sz w:val="24"/>
                <w:szCs w:val="24"/>
                <w:highlight w:val="none"/>
                <w:lang w:val="en-US" w:eastAsia="zh-CN" w:bidi="ar-SA"/>
              </w:rPr>
              <w:t>5套</w:t>
            </w:r>
            <w:r>
              <w:rPr>
                <w:rFonts w:hint="eastAsia" w:ascii="宋体" w:hAnsi="宋体" w:eastAsia="宋体" w:cs="宋体"/>
                <w:color w:val="auto"/>
                <w:kern w:val="2"/>
                <w:sz w:val="24"/>
                <w:szCs w:val="24"/>
                <w:highlight w:val="none"/>
                <w:lang w:val="en-US" w:eastAsia="zh-CN" w:bidi="ar-SA"/>
              </w:rPr>
              <w:t>功能完整的数据采集器及其附属连接线缆等器件，采集器各个部件具体数量及配置要求详见第二章。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1044"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1.1</w:t>
            </w:r>
          </w:p>
        </w:tc>
        <w:tc>
          <w:tcPr>
            <w:tcW w:w="2806"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主机箱</w:t>
            </w:r>
          </w:p>
        </w:tc>
        <w:tc>
          <w:tcPr>
            <w:tcW w:w="144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套</w:t>
            </w:r>
          </w:p>
        </w:tc>
        <w:tc>
          <w:tcPr>
            <w:tcW w:w="1436"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66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color w:val="auto"/>
                <w:kern w:val="2"/>
                <w:sz w:val="24"/>
                <w:szCs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1044"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1.2</w:t>
            </w:r>
          </w:p>
        </w:tc>
        <w:tc>
          <w:tcPr>
            <w:tcW w:w="280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驾驶员用显示器</w:t>
            </w:r>
          </w:p>
        </w:tc>
        <w:tc>
          <w:tcPr>
            <w:tcW w:w="1442"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143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66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92" w:lineRule="auto"/>
              <w:ind w:left="0" w:leftChars="0"/>
              <w:jc w:val="center"/>
              <w:textAlignment w:val="auto"/>
              <w:rPr>
                <w:rFonts w:hint="eastAsia" w:ascii="宋体" w:hAnsi="宋体" w:eastAsia="宋体" w:cs="宋体"/>
                <w:color w:val="auto"/>
                <w:sz w:val="24"/>
                <w:szCs w:val="24"/>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1044"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1.3</w:t>
            </w:r>
          </w:p>
        </w:tc>
        <w:tc>
          <w:tcPr>
            <w:tcW w:w="280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模拟量输入模块</w:t>
            </w:r>
          </w:p>
        </w:tc>
        <w:tc>
          <w:tcPr>
            <w:tcW w:w="1442"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通道</w:t>
            </w:r>
          </w:p>
        </w:tc>
        <w:tc>
          <w:tcPr>
            <w:tcW w:w="1436" w:type="dxa"/>
            <w:tcBorders>
              <w:lef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80</w:t>
            </w:r>
          </w:p>
        </w:tc>
        <w:tc>
          <w:tcPr>
            <w:tcW w:w="166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92" w:lineRule="auto"/>
              <w:ind w:left="0" w:leftChars="0"/>
              <w:jc w:val="center"/>
              <w:textAlignment w:val="auto"/>
              <w:rPr>
                <w:rFonts w:hint="eastAsia" w:ascii="宋体" w:hAnsi="宋体" w:eastAsia="宋体" w:cs="宋体"/>
                <w:color w:val="auto"/>
                <w:sz w:val="24"/>
                <w:szCs w:val="24"/>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9" w:hRule="atLeast"/>
          <w:jc w:val="center"/>
        </w:trPr>
        <w:tc>
          <w:tcPr>
            <w:tcW w:w="1044"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1.4</w:t>
            </w:r>
          </w:p>
        </w:tc>
        <w:tc>
          <w:tcPr>
            <w:tcW w:w="280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频率（脉冲）输入模块</w:t>
            </w:r>
          </w:p>
        </w:tc>
        <w:tc>
          <w:tcPr>
            <w:tcW w:w="1442"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通道</w:t>
            </w:r>
          </w:p>
        </w:tc>
        <w:tc>
          <w:tcPr>
            <w:tcW w:w="1436" w:type="dxa"/>
            <w:tcBorders>
              <w:lef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p>
        </w:tc>
        <w:tc>
          <w:tcPr>
            <w:tcW w:w="166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92" w:lineRule="auto"/>
              <w:ind w:left="0" w:leftChars="0"/>
              <w:jc w:val="center"/>
              <w:textAlignment w:val="auto"/>
              <w:rPr>
                <w:rFonts w:hint="eastAsia" w:ascii="宋体" w:hAnsi="宋体" w:eastAsia="宋体" w:cs="宋体"/>
                <w:color w:val="auto"/>
                <w:sz w:val="24"/>
                <w:szCs w:val="24"/>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9" w:hRule="atLeast"/>
          <w:jc w:val="center"/>
        </w:trPr>
        <w:tc>
          <w:tcPr>
            <w:tcW w:w="1044"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1.5</w:t>
            </w:r>
          </w:p>
        </w:tc>
        <w:tc>
          <w:tcPr>
            <w:tcW w:w="280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CAN模块</w:t>
            </w:r>
          </w:p>
        </w:tc>
        <w:tc>
          <w:tcPr>
            <w:tcW w:w="1442"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通道</w:t>
            </w:r>
          </w:p>
        </w:tc>
        <w:tc>
          <w:tcPr>
            <w:tcW w:w="1436" w:type="dxa"/>
            <w:tcBorders>
              <w:lef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p>
        </w:tc>
        <w:tc>
          <w:tcPr>
            <w:tcW w:w="166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92" w:lineRule="auto"/>
              <w:ind w:left="0" w:leftChars="0"/>
              <w:jc w:val="center"/>
              <w:textAlignment w:val="auto"/>
              <w:rPr>
                <w:rFonts w:hint="eastAsia" w:ascii="宋体" w:hAnsi="宋体" w:eastAsia="宋体" w:cs="宋体"/>
                <w:color w:val="auto"/>
                <w:sz w:val="24"/>
                <w:szCs w:val="24"/>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1044"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1.6</w:t>
            </w:r>
          </w:p>
        </w:tc>
        <w:tc>
          <w:tcPr>
            <w:tcW w:w="280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GNSS速度模块</w:t>
            </w:r>
          </w:p>
        </w:tc>
        <w:tc>
          <w:tcPr>
            <w:tcW w:w="1442"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块</w:t>
            </w:r>
          </w:p>
        </w:tc>
        <w:tc>
          <w:tcPr>
            <w:tcW w:w="143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66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92" w:lineRule="auto"/>
              <w:ind w:left="0" w:leftChars="0"/>
              <w:jc w:val="center"/>
              <w:textAlignment w:val="auto"/>
              <w:rPr>
                <w:rFonts w:hint="eastAsia" w:ascii="宋体" w:hAnsi="宋体" w:eastAsia="宋体" w:cs="宋体"/>
                <w:color w:val="auto"/>
                <w:sz w:val="24"/>
                <w:szCs w:val="24"/>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1044"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1.7</w:t>
            </w:r>
          </w:p>
        </w:tc>
        <w:tc>
          <w:tcPr>
            <w:tcW w:w="280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无线通讯模块</w:t>
            </w:r>
          </w:p>
        </w:tc>
        <w:tc>
          <w:tcPr>
            <w:tcW w:w="1442"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个</w:t>
            </w:r>
          </w:p>
        </w:tc>
        <w:tc>
          <w:tcPr>
            <w:tcW w:w="143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66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92" w:lineRule="auto"/>
              <w:ind w:left="0" w:leftChars="0"/>
              <w:jc w:val="center"/>
              <w:textAlignment w:val="auto"/>
              <w:rPr>
                <w:rFonts w:hint="eastAsia" w:ascii="宋体" w:hAnsi="宋体" w:eastAsia="宋体" w:cs="宋体"/>
                <w:color w:val="auto"/>
                <w:sz w:val="24"/>
                <w:szCs w:val="24"/>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1044"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1.8</w:t>
            </w:r>
          </w:p>
        </w:tc>
        <w:tc>
          <w:tcPr>
            <w:tcW w:w="280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触发器模块</w:t>
            </w:r>
          </w:p>
        </w:tc>
        <w:tc>
          <w:tcPr>
            <w:tcW w:w="1442"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块</w:t>
            </w:r>
          </w:p>
        </w:tc>
        <w:tc>
          <w:tcPr>
            <w:tcW w:w="143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66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92" w:lineRule="auto"/>
              <w:ind w:left="0" w:leftChars="0"/>
              <w:jc w:val="center"/>
              <w:textAlignment w:val="auto"/>
              <w:rPr>
                <w:rFonts w:hint="eastAsia" w:ascii="宋体" w:hAnsi="宋体" w:eastAsia="宋体" w:cs="宋体"/>
                <w:color w:val="auto"/>
                <w:sz w:val="24"/>
                <w:szCs w:val="24"/>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1044"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1.9</w:t>
            </w:r>
          </w:p>
        </w:tc>
        <w:tc>
          <w:tcPr>
            <w:tcW w:w="280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数据处理器</w:t>
            </w:r>
          </w:p>
        </w:tc>
        <w:tc>
          <w:tcPr>
            <w:tcW w:w="1442"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143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66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92" w:lineRule="auto"/>
              <w:ind w:left="0" w:leftChars="0"/>
              <w:jc w:val="center"/>
              <w:textAlignment w:val="auto"/>
              <w:rPr>
                <w:rFonts w:hint="eastAsia" w:ascii="宋体" w:hAnsi="宋体" w:eastAsia="宋体" w:cs="宋体"/>
                <w:color w:val="auto"/>
                <w:sz w:val="24"/>
                <w:szCs w:val="24"/>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9" w:hRule="atLeast"/>
          <w:jc w:val="center"/>
        </w:trPr>
        <w:tc>
          <w:tcPr>
            <w:tcW w:w="1044"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1.10</w:t>
            </w:r>
          </w:p>
        </w:tc>
        <w:tc>
          <w:tcPr>
            <w:tcW w:w="280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车载电源调配模块</w:t>
            </w:r>
          </w:p>
        </w:tc>
        <w:tc>
          <w:tcPr>
            <w:tcW w:w="1442"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143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66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92" w:lineRule="auto"/>
              <w:ind w:left="0" w:leftChars="0"/>
              <w:jc w:val="center"/>
              <w:textAlignment w:val="auto"/>
              <w:rPr>
                <w:rFonts w:hint="eastAsia" w:ascii="宋体" w:hAnsi="宋体" w:eastAsia="宋体" w:cs="宋体"/>
                <w:color w:val="auto"/>
                <w:sz w:val="24"/>
                <w:szCs w:val="24"/>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1044"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1.11</w:t>
            </w:r>
          </w:p>
        </w:tc>
        <w:tc>
          <w:tcPr>
            <w:tcW w:w="280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采集及分析软件</w:t>
            </w:r>
          </w:p>
        </w:tc>
        <w:tc>
          <w:tcPr>
            <w:tcW w:w="1442"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143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66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92" w:lineRule="auto"/>
              <w:ind w:left="0" w:leftChars="0"/>
              <w:jc w:val="center"/>
              <w:textAlignment w:val="auto"/>
              <w:rPr>
                <w:rFonts w:hint="eastAsia" w:ascii="宋体" w:hAnsi="宋体" w:eastAsia="宋体" w:cs="宋体"/>
                <w:color w:val="auto"/>
                <w:sz w:val="24"/>
                <w:szCs w:val="24"/>
                <w:highlight w:val="none"/>
                <w:lang w:val="en-US" w:eastAsia="zh-CN"/>
              </w:rPr>
            </w:pPr>
          </w:p>
        </w:tc>
      </w:tr>
    </w:tbl>
    <w:p>
      <w:pPr>
        <w:spacing w:line="360" w:lineRule="auto"/>
        <w:rPr>
          <w:rFonts w:ascii="宋体" w:hAnsi="宋体" w:eastAsia="宋体" w:cs="宋体"/>
          <w:bCs/>
          <w:sz w:val="24"/>
          <w:szCs w:val="24"/>
        </w:rPr>
      </w:pPr>
    </w:p>
    <w:p>
      <w:pPr>
        <w:pStyle w:val="2"/>
        <w:rPr>
          <w:rFonts w:hint="default" w:eastAsia="宋体"/>
          <w:lang w:val="en-US" w:eastAsia="zh-CN"/>
        </w:rPr>
      </w:pPr>
      <w:r>
        <w:rPr>
          <w:rFonts w:hint="eastAsia" w:ascii="宋体" w:hAnsi="宋体" w:cs="宋体"/>
          <w:bCs/>
          <w:sz w:val="24"/>
          <w:szCs w:val="24"/>
          <w:lang w:val="en-US" w:eastAsia="zh-CN"/>
        </w:rPr>
        <w:t>传感器部分：</w:t>
      </w:r>
    </w:p>
    <w:tbl>
      <w:tblPr>
        <w:tblStyle w:val="127"/>
        <w:tblW w:w="471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23"/>
        <w:gridCol w:w="3000"/>
        <w:gridCol w:w="1583"/>
        <w:gridCol w:w="1569"/>
        <w:gridCol w:w="15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3" w:hRule="atLeast"/>
          <w:jc w:val="center"/>
        </w:trPr>
        <w:tc>
          <w:tcPr>
            <w:tcW w:w="480" w:type="pct"/>
            <w:tcBorders>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26" w:lineRule="auto"/>
              <w:ind w:left="0"/>
              <w:jc w:val="center"/>
              <w:textAlignment w:val="baseline"/>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序号</w:t>
            </w:r>
          </w:p>
        </w:tc>
        <w:tc>
          <w:tcPr>
            <w:tcW w:w="1749" w:type="pct"/>
            <w:tcBorders>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26" w:lineRule="auto"/>
              <w:ind w:left="0"/>
              <w:jc w:val="center"/>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名</w:t>
            </w:r>
            <w:r>
              <w:rPr>
                <w:rFonts w:hint="eastAsia" w:ascii="宋体" w:hAnsi="宋体" w:eastAsia="宋体" w:cs="宋体"/>
                <w:color w:val="auto"/>
                <w:spacing w:val="3"/>
                <w:sz w:val="24"/>
                <w:szCs w:val="24"/>
                <w:highlight w:val="none"/>
              </w:rPr>
              <w:t>称</w:t>
            </w:r>
          </w:p>
        </w:tc>
        <w:tc>
          <w:tcPr>
            <w:tcW w:w="923" w:type="pct"/>
            <w:tcBorders>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26" w:lineRule="auto"/>
              <w:ind w:left="0" w:leftChars="0"/>
              <w:jc w:val="center"/>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4"/>
                <w:sz w:val="24"/>
                <w:szCs w:val="24"/>
                <w:highlight w:val="none"/>
              </w:rPr>
              <w:t>单位</w:t>
            </w:r>
          </w:p>
        </w:tc>
        <w:tc>
          <w:tcPr>
            <w:tcW w:w="915" w:type="pct"/>
            <w:tcBorders>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26" w:lineRule="auto"/>
              <w:ind w:left="0" w:leftChars="0"/>
              <w:jc w:val="center"/>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4"/>
                <w:sz w:val="24"/>
                <w:szCs w:val="24"/>
                <w:highlight w:val="none"/>
              </w:rPr>
              <w:t>数量</w:t>
            </w:r>
          </w:p>
        </w:tc>
        <w:tc>
          <w:tcPr>
            <w:tcW w:w="930" w:type="pct"/>
            <w:tcBorders>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26" w:lineRule="auto"/>
              <w:ind w:left="0" w:leftChars="0"/>
              <w:jc w:val="center"/>
              <w:textAlignment w:val="baseline"/>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480"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2</w:t>
            </w:r>
          </w:p>
        </w:tc>
        <w:tc>
          <w:tcPr>
            <w:tcW w:w="1749"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left"/>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传感器配件部分</w:t>
            </w:r>
          </w:p>
        </w:tc>
        <w:tc>
          <w:tcPr>
            <w:tcW w:w="923"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w:t>
            </w:r>
          </w:p>
        </w:tc>
        <w:tc>
          <w:tcPr>
            <w:tcW w:w="915"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w:t>
            </w:r>
          </w:p>
        </w:tc>
        <w:tc>
          <w:tcPr>
            <w:tcW w:w="930"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jc w:val="center"/>
        </w:trPr>
        <w:tc>
          <w:tcPr>
            <w:tcW w:w="480"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left"/>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2.1</w:t>
            </w:r>
          </w:p>
        </w:tc>
        <w:tc>
          <w:tcPr>
            <w:tcW w:w="1749"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left"/>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超级惯导</w:t>
            </w:r>
          </w:p>
        </w:tc>
        <w:tc>
          <w:tcPr>
            <w:tcW w:w="923"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套</w:t>
            </w:r>
          </w:p>
        </w:tc>
        <w:tc>
          <w:tcPr>
            <w:tcW w:w="915"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w:t>
            </w:r>
          </w:p>
        </w:tc>
        <w:tc>
          <w:tcPr>
            <w:tcW w:w="930"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480"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left"/>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2.2</w:t>
            </w:r>
          </w:p>
        </w:tc>
        <w:tc>
          <w:tcPr>
            <w:tcW w:w="1749"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left"/>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测力方向盘</w:t>
            </w:r>
          </w:p>
        </w:tc>
        <w:tc>
          <w:tcPr>
            <w:tcW w:w="923"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套</w:t>
            </w:r>
          </w:p>
        </w:tc>
        <w:tc>
          <w:tcPr>
            <w:tcW w:w="915"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w:t>
            </w:r>
          </w:p>
        </w:tc>
        <w:tc>
          <w:tcPr>
            <w:tcW w:w="930"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480" w:type="pct"/>
            <w:tcBorders>
              <w:right w:val="single" w:color="auto"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2.3</w:t>
            </w:r>
          </w:p>
        </w:tc>
        <w:tc>
          <w:tcPr>
            <w:tcW w:w="1749" w:type="pct"/>
            <w:tcBorders>
              <w:left w:val="single" w:color="auto" w:sz="4" w:space="0"/>
              <w:right w:val="single" w:color="auto"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踏板力计</w:t>
            </w:r>
          </w:p>
        </w:tc>
        <w:tc>
          <w:tcPr>
            <w:tcW w:w="923" w:type="pct"/>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个</w:t>
            </w:r>
          </w:p>
        </w:tc>
        <w:tc>
          <w:tcPr>
            <w:tcW w:w="915"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930"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480" w:type="pct"/>
            <w:tcBorders>
              <w:right w:val="single" w:color="auto"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2.4</w:t>
            </w:r>
          </w:p>
        </w:tc>
        <w:tc>
          <w:tcPr>
            <w:tcW w:w="1749" w:type="pct"/>
            <w:tcBorders>
              <w:left w:val="single" w:color="auto"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制动管路压力传感器</w:t>
            </w:r>
          </w:p>
        </w:tc>
        <w:tc>
          <w:tcPr>
            <w:tcW w:w="923" w:type="pct"/>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个</w:t>
            </w:r>
          </w:p>
        </w:tc>
        <w:tc>
          <w:tcPr>
            <w:tcW w:w="915"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90" w:lineRule="auto"/>
              <w:ind w:left="0" w:lef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2"/>
                <w:sz w:val="24"/>
                <w:szCs w:val="24"/>
                <w:highlight w:val="none"/>
              </w:rPr>
              <w:t>2</w:t>
            </w:r>
            <w:r>
              <w:rPr>
                <w:rFonts w:hint="eastAsia" w:ascii="宋体" w:hAnsi="宋体" w:eastAsia="宋体" w:cs="宋体"/>
                <w:color w:val="auto"/>
                <w:spacing w:val="-1"/>
                <w:sz w:val="24"/>
                <w:szCs w:val="24"/>
                <w:highlight w:val="none"/>
              </w:rPr>
              <w:t>0</w:t>
            </w:r>
          </w:p>
        </w:tc>
        <w:tc>
          <w:tcPr>
            <w:tcW w:w="930"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90" w:lineRule="auto"/>
              <w:ind w:left="0" w:leftChars="0"/>
              <w:jc w:val="center"/>
              <w:textAlignment w:val="auto"/>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480" w:type="pct"/>
            <w:tcBorders>
              <w:right w:val="single" w:color="auto"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2.5</w:t>
            </w:r>
          </w:p>
        </w:tc>
        <w:tc>
          <w:tcPr>
            <w:tcW w:w="1749" w:type="pct"/>
            <w:tcBorders>
              <w:left w:val="single" w:color="auto"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拉线位移传感器</w:t>
            </w:r>
          </w:p>
        </w:tc>
        <w:tc>
          <w:tcPr>
            <w:tcW w:w="923" w:type="pct"/>
            <w:vAlign w:val="center"/>
          </w:tcPr>
          <w:p>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个</w:t>
            </w:r>
          </w:p>
        </w:tc>
        <w:tc>
          <w:tcPr>
            <w:tcW w:w="915"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91" w:lineRule="auto"/>
              <w:ind w:left="0" w:lef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10"/>
                <w:sz w:val="24"/>
                <w:szCs w:val="24"/>
                <w:highlight w:val="none"/>
                <w:lang w:val="en-US" w:eastAsia="zh-CN"/>
              </w:rPr>
              <w:t>3</w:t>
            </w:r>
          </w:p>
        </w:tc>
        <w:tc>
          <w:tcPr>
            <w:tcW w:w="930"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91" w:lineRule="auto"/>
              <w:ind w:left="0" w:leftChars="0"/>
              <w:jc w:val="center"/>
              <w:textAlignment w:val="auto"/>
              <w:rPr>
                <w:rFonts w:hint="eastAsia" w:ascii="宋体" w:hAnsi="宋体" w:eastAsia="宋体" w:cs="宋体"/>
                <w:color w:val="auto"/>
                <w:spacing w:val="-10"/>
                <w:sz w:val="24"/>
                <w:szCs w:val="24"/>
                <w:highlight w:val="none"/>
                <w:lang w:val="en-US" w:eastAsia="zh-CN"/>
              </w:rPr>
            </w:pPr>
            <w:r>
              <w:rPr>
                <w:rFonts w:hint="eastAsia" w:ascii="宋体" w:hAnsi="宋体" w:eastAsia="宋体" w:cs="宋体"/>
                <w:color w:val="auto"/>
                <w:spacing w:val="-10"/>
                <w:sz w:val="24"/>
                <w:szCs w:val="24"/>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480" w:type="pct"/>
            <w:tcBorders>
              <w:right w:val="single" w:color="auto"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2.6</w:t>
            </w:r>
          </w:p>
        </w:tc>
        <w:tc>
          <w:tcPr>
            <w:tcW w:w="1749" w:type="pct"/>
            <w:tcBorders>
              <w:left w:val="single" w:color="auto"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拉压力计</w:t>
            </w:r>
          </w:p>
        </w:tc>
        <w:tc>
          <w:tcPr>
            <w:tcW w:w="923" w:type="pct"/>
            <w:vAlign w:val="center"/>
          </w:tcPr>
          <w:p>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个</w:t>
            </w:r>
          </w:p>
        </w:tc>
        <w:tc>
          <w:tcPr>
            <w:tcW w:w="915"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91" w:lineRule="auto"/>
              <w:ind w:left="0" w:leftChars="0"/>
              <w:jc w:val="center"/>
              <w:textAlignment w:val="auto"/>
              <w:rPr>
                <w:rFonts w:hint="eastAsia" w:ascii="宋体" w:hAnsi="宋体" w:eastAsia="宋体" w:cs="宋体"/>
                <w:color w:val="auto"/>
                <w:spacing w:val="-10"/>
                <w:kern w:val="2"/>
                <w:sz w:val="24"/>
                <w:szCs w:val="24"/>
                <w:highlight w:val="none"/>
                <w:lang w:val="en-US" w:eastAsia="zh-CN" w:bidi="ar-SA"/>
              </w:rPr>
            </w:pPr>
            <w:r>
              <w:rPr>
                <w:rFonts w:hint="eastAsia" w:ascii="宋体" w:hAnsi="宋体" w:eastAsia="宋体" w:cs="宋体"/>
                <w:color w:val="auto"/>
                <w:spacing w:val="-10"/>
                <w:kern w:val="2"/>
                <w:sz w:val="24"/>
                <w:szCs w:val="24"/>
                <w:highlight w:val="none"/>
                <w:lang w:val="en-US" w:eastAsia="zh-CN" w:bidi="ar-SA"/>
              </w:rPr>
              <w:t>3</w:t>
            </w:r>
          </w:p>
        </w:tc>
        <w:tc>
          <w:tcPr>
            <w:tcW w:w="930"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91" w:lineRule="auto"/>
              <w:ind w:left="0" w:leftChars="0"/>
              <w:jc w:val="center"/>
              <w:textAlignment w:val="auto"/>
              <w:rPr>
                <w:rFonts w:hint="eastAsia" w:ascii="宋体" w:hAnsi="宋体" w:eastAsia="宋体" w:cs="宋体"/>
                <w:color w:val="auto"/>
                <w:spacing w:val="-10"/>
                <w:kern w:val="2"/>
                <w:sz w:val="24"/>
                <w:szCs w:val="24"/>
                <w:highlight w:val="none"/>
                <w:lang w:val="en-US" w:eastAsia="zh-CN" w:bidi="ar-SA"/>
              </w:rPr>
            </w:pPr>
            <w:r>
              <w:rPr>
                <w:rFonts w:hint="eastAsia" w:ascii="宋体" w:hAnsi="宋体" w:eastAsia="宋体" w:cs="宋体"/>
                <w:color w:val="auto"/>
                <w:spacing w:val="-10"/>
                <w:kern w:val="2"/>
                <w:sz w:val="24"/>
                <w:szCs w:val="24"/>
                <w:highlight w:val="none"/>
                <w:lang w:val="en-US" w:eastAsia="zh-CN" w:bidi="ar-SA"/>
              </w:rPr>
              <w:t>/</w:t>
            </w:r>
          </w:p>
        </w:tc>
      </w:tr>
    </w:tbl>
    <w:p>
      <w:pPr>
        <w:pStyle w:val="2"/>
      </w:pP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numPr>
          <w:ilvl w:val="0"/>
          <w:numId w:val="9"/>
        </w:num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本表“供货方式”指：交钥匙方式——包括制造、运输、定点卸货、安装、调试和协助验收以及约定培训等。</w:t>
      </w:r>
    </w:p>
    <w:p>
      <w:pPr>
        <w:pStyle w:val="16"/>
        <w:jc w:val="center"/>
        <w:rPr>
          <w:rFonts w:hint="eastAsia" w:hAnsi="宋体" w:eastAsia="宋体" w:cs="宋体"/>
          <w:bCs/>
          <w:sz w:val="24"/>
          <w:szCs w:val="24"/>
          <w:highlight w:val="none"/>
          <w:lang w:eastAsia="zh-CN"/>
        </w:rPr>
      </w:pPr>
      <w:r>
        <w:rPr>
          <w:rFonts w:hint="eastAsia" w:hAnsi="宋体" w:eastAsia="宋体" w:cs="宋体"/>
          <w:bCs/>
          <w:sz w:val="24"/>
          <w:szCs w:val="24"/>
          <w:highlight w:val="none"/>
        </w:rPr>
        <w:t>主要器件品牌表（可选同等或更优质量品牌</w:t>
      </w:r>
      <w:r>
        <w:rPr>
          <w:rFonts w:hint="eastAsia" w:hAnsi="宋体" w:eastAsia="宋体" w:cs="宋体"/>
          <w:bCs/>
          <w:sz w:val="24"/>
          <w:szCs w:val="24"/>
          <w:highlight w:val="none"/>
          <w:lang w:eastAsia="zh-CN"/>
        </w:rPr>
        <w:t>）</w:t>
      </w:r>
    </w:p>
    <w:p>
      <w:pPr>
        <w:pStyle w:val="16"/>
        <w:rPr>
          <w:rFonts w:hAnsi="宋体" w:eastAsia="宋体" w:cs="宋体"/>
          <w:bCs/>
          <w:sz w:val="24"/>
          <w:szCs w:val="24"/>
          <w:highlight w:val="red"/>
        </w:rPr>
      </w:pP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2972"/>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s="宋体"/>
                <w:color w:val="000000"/>
                <w:sz w:val="24"/>
                <w:szCs w:val="24"/>
              </w:rPr>
            </w:pPr>
            <w:r>
              <w:rPr>
                <w:rFonts w:hint="eastAsia" w:ascii="宋体" w:hAnsi="宋体" w:eastAsia="宋体" w:cs="宋体"/>
                <w:kern w:val="0"/>
                <w:sz w:val="24"/>
                <w:szCs w:val="24"/>
              </w:rPr>
              <w:t>序号</w:t>
            </w:r>
          </w:p>
        </w:tc>
        <w:tc>
          <w:tcPr>
            <w:tcW w:w="2835" w:type="dxa"/>
          </w:tcPr>
          <w:p>
            <w:pPr>
              <w:spacing w:line="420" w:lineRule="exact"/>
              <w:jc w:val="center"/>
              <w:rPr>
                <w:rFonts w:hint="eastAsia" w:ascii="宋体" w:hAnsi="宋体" w:eastAsia="宋体" w:cs="宋体"/>
                <w:color w:val="000000"/>
                <w:sz w:val="24"/>
                <w:szCs w:val="24"/>
              </w:rPr>
            </w:pPr>
            <w:r>
              <w:rPr>
                <w:rFonts w:hint="eastAsia" w:ascii="宋体" w:hAnsi="宋体" w:eastAsia="宋体" w:cs="宋体"/>
                <w:kern w:val="0"/>
                <w:sz w:val="24"/>
                <w:szCs w:val="24"/>
              </w:rPr>
              <w:t>器件名称</w:t>
            </w:r>
          </w:p>
        </w:tc>
        <w:tc>
          <w:tcPr>
            <w:tcW w:w="2972" w:type="dxa"/>
          </w:tcPr>
          <w:p>
            <w:pPr>
              <w:spacing w:line="420" w:lineRule="exact"/>
              <w:jc w:val="center"/>
              <w:rPr>
                <w:rFonts w:hint="eastAsia" w:ascii="宋体" w:hAnsi="宋体" w:eastAsia="宋体" w:cs="宋体"/>
                <w:color w:val="000000"/>
                <w:sz w:val="24"/>
                <w:szCs w:val="24"/>
              </w:rPr>
            </w:pPr>
            <w:r>
              <w:rPr>
                <w:rFonts w:hint="eastAsia" w:ascii="宋体" w:hAnsi="宋体" w:eastAsia="宋体" w:cs="宋体"/>
                <w:kern w:val="0"/>
                <w:sz w:val="24"/>
                <w:szCs w:val="24"/>
              </w:rPr>
              <w:t>品牌</w:t>
            </w:r>
          </w:p>
        </w:tc>
        <w:tc>
          <w:tcPr>
            <w:tcW w:w="2265" w:type="dxa"/>
          </w:tcPr>
          <w:p>
            <w:pPr>
              <w:spacing w:line="420" w:lineRule="exact"/>
              <w:jc w:val="center"/>
              <w:rPr>
                <w:rFonts w:hint="eastAsia" w:ascii="宋体" w:hAnsi="宋体" w:eastAsia="宋体" w:cs="宋体"/>
                <w:color w:val="000000"/>
                <w:sz w:val="24"/>
                <w:szCs w:val="24"/>
              </w:rPr>
            </w:pPr>
            <w:r>
              <w:rPr>
                <w:rFonts w:hint="eastAsia" w:ascii="宋体" w:hAnsi="宋体" w:eastAsia="宋体" w:cs="宋体"/>
                <w:kern w:val="0"/>
                <w:sz w:val="24"/>
                <w:szCs w:val="24"/>
              </w:rPr>
              <w:t>品牌原产地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2835" w:type="dxa"/>
          </w:tcPr>
          <w:p>
            <w:pPr>
              <w:spacing w:line="42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超级惯导</w:t>
            </w:r>
          </w:p>
        </w:tc>
        <w:tc>
          <w:tcPr>
            <w:tcW w:w="2972" w:type="dxa"/>
          </w:tcPr>
          <w:p>
            <w:pPr>
              <w:spacing w:line="42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OXTS</w:t>
            </w:r>
          </w:p>
        </w:tc>
        <w:tc>
          <w:tcPr>
            <w:tcW w:w="2265" w:type="dxa"/>
          </w:tcPr>
          <w:p>
            <w:pPr>
              <w:spacing w:line="42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英国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2835" w:type="dxa"/>
          </w:tcPr>
          <w:p>
            <w:pPr>
              <w:spacing w:line="420" w:lineRule="exact"/>
              <w:jc w:val="center"/>
              <w:rPr>
                <w:rFonts w:hint="eastAsia" w:ascii="宋体" w:hAnsi="宋体" w:eastAsia="宋体" w:cs="宋体"/>
                <w:color w:val="000000"/>
                <w:sz w:val="24"/>
                <w:szCs w:val="24"/>
              </w:rPr>
            </w:pPr>
          </w:p>
        </w:tc>
        <w:tc>
          <w:tcPr>
            <w:tcW w:w="2972" w:type="dxa"/>
          </w:tcPr>
          <w:p>
            <w:pPr>
              <w:spacing w:line="420" w:lineRule="exact"/>
              <w:jc w:val="center"/>
              <w:rPr>
                <w:rFonts w:hint="eastAsia" w:ascii="宋体" w:hAnsi="宋体" w:eastAsia="宋体" w:cs="宋体"/>
                <w:color w:val="000000"/>
                <w:sz w:val="24"/>
                <w:szCs w:val="24"/>
              </w:rPr>
            </w:pPr>
          </w:p>
        </w:tc>
        <w:tc>
          <w:tcPr>
            <w:tcW w:w="2265" w:type="dxa"/>
          </w:tcPr>
          <w:p>
            <w:pPr>
              <w:spacing w:line="420" w:lineRule="exact"/>
              <w:jc w:val="center"/>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tcPr>
          <w:p>
            <w:pPr>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2835" w:type="dxa"/>
          </w:tcPr>
          <w:p>
            <w:pPr>
              <w:spacing w:line="420" w:lineRule="exact"/>
              <w:jc w:val="center"/>
              <w:rPr>
                <w:rFonts w:hint="eastAsia" w:ascii="宋体" w:hAnsi="宋体" w:eastAsia="宋体" w:cs="宋体"/>
                <w:color w:val="000000"/>
                <w:sz w:val="24"/>
                <w:szCs w:val="24"/>
              </w:rPr>
            </w:pPr>
          </w:p>
        </w:tc>
        <w:tc>
          <w:tcPr>
            <w:tcW w:w="2972" w:type="dxa"/>
          </w:tcPr>
          <w:p>
            <w:pPr>
              <w:spacing w:line="420" w:lineRule="exact"/>
              <w:jc w:val="center"/>
              <w:rPr>
                <w:rFonts w:hint="eastAsia" w:ascii="宋体" w:hAnsi="宋体" w:eastAsia="宋体" w:cs="宋体"/>
                <w:color w:val="000000"/>
                <w:sz w:val="24"/>
                <w:szCs w:val="24"/>
              </w:rPr>
            </w:pPr>
          </w:p>
        </w:tc>
        <w:tc>
          <w:tcPr>
            <w:tcW w:w="2265" w:type="dxa"/>
          </w:tcPr>
          <w:p>
            <w:pPr>
              <w:spacing w:line="420" w:lineRule="exact"/>
              <w:jc w:val="center"/>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tcPr>
          <w:p>
            <w:pPr>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2835" w:type="dxa"/>
          </w:tcPr>
          <w:p>
            <w:pPr>
              <w:spacing w:line="420" w:lineRule="exact"/>
              <w:jc w:val="center"/>
              <w:rPr>
                <w:rFonts w:hint="eastAsia" w:ascii="宋体" w:hAnsi="宋体" w:eastAsia="宋体" w:cs="宋体"/>
                <w:color w:val="000000"/>
                <w:sz w:val="24"/>
                <w:szCs w:val="24"/>
              </w:rPr>
            </w:pPr>
          </w:p>
        </w:tc>
        <w:tc>
          <w:tcPr>
            <w:tcW w:w="2972" w:type="dxa"/>
          </w:tcPr>
          <w:p>
            <w:pPr>
              <w:spacing w:line="420" w:lineRule="exact"/>
              <w:jc w:val="center"/>
              <w:rPr>
                <w:rFonts w:hint="eastAsia" w:ascii="宋体" w:hAnsi="宋体" w:eastAsia="宋体" w:cs="宋体"/>
                <w:color w:val="000000"/>
                <w:sz w:val="24"/>
                <w:szCs w:val="24"/>
              </w:rPr>
            </w:pPr>
          </w:p>
        </w:tc>
        <w:tc>
          <w:tcPr>
            <w:tcW w:w="2265" w:type="dxa"/>
          </w:tcPr>
          <w:p>
            <w:pPr>
              <w:spacing w:line="420" w:lineRule="exact"/>
              <w:jc w:val="center"/>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2835" w:type="dxa"/>
          </w:tcPr>
          <w:p>
            <w:pPr>
              <w:spacing w:line="420" w:lineRule="exact"/>
              <w:jc w:val="center"/>
              <w:rPr>
                <w:rFonts w:hint="eastAsia" w:ascii="宋体" w:hAnsi="宋体" w:eastAsia="宋体" w:cs="宋体"/>
                <w:color w:val="000000"/>
                <w:sz w:val="24"/>
                <w:szCs w:val="24"/>
              </w:rPr>
            </w:pPr>
          </w:p>
        </w:tc>
        <w:tc>
          <w:tcPr>
            <w:tcW w:w="2972" w:type="dxa"/>
          </w:tcPr>
          <w:p>
            <w:pPr>
              <w:spacing w:line="420" w:lineRule="exact"/>
              <w:jc w:val="center"/>
              <w:rPr>
                <w:rFonts w:hint="eastAsia" w:ascii="宋体" w:hAnsi="宋体" w:eastAsia="宋体" w:cs="宋体"/>
                <w:color w:val="000000"/>
                <w:sz w:val="24"/>
                <w:szCs w:val="24"/>
              </w:rPr>
            </w:pPr>
          </w:p>
        </w:tc>
        <w:tc>
          <w:tcPr>
            <w:tcW w:w="2265" w:type="dxa"/>
          </w:tcPr>
          <w:p>
            <w:pPr>
              <w:spacing w:line="420" w:lineRule="exact"/>
              <w:jc w:val="center"/>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6</w:t>
            </w:r>
          </w:p>
        </w:tc>
        <w:tc>
          <w:tcPr>
            <w:tcW w:w="2835" w:type="dxa"/>
          </w:tcPr>
          <w:p>
            <w:pPr>
              <w:spacing w:line="420" w:lineRule="exact"/>
              <w:jc w:val="center"/>
              <w:rPr>
                <w:rFonts w:hint="eastAsia" w:ascii="宋体" w:hAnsi="宋体" w:eastAsia="宋体" w:cs="宋体"/>
                <w:color w:val="000000"/>
                <w:sz w:val="24"/>
                <w:szCs w:val="24"/>
              </w:rPr>
            </w:pPr>
          </w:p>
        </w:tc>
        <w:tc>
          <w:tcPr>
            <w:tcW w:w="2972" w:type="dxa"/>
          </w:tcPr>
          <w:p>
            <w:pPr>
              <w:spacing w:line="420" w:lineRule="exact"/>
              <w:jc w:val="center"/>
              <w:rPr>
                <w:rFonts w:hint="eastAsia" w:ascii="宋体" w:hAnsi="宋体" w:eastAsia="宋体" w:cs="宋体"/>
                <w:color w:val="000000"/>
                <w:sz w:val="24"/>
                <w:szCs w:val="24"/>
              </w:rPr>
            </w:pPr>
          </w:p>
          <w:p>
            <w:pPr>
              <w:rPr>
                <w:rFonts w:hint="eastAsia" w:ascii="宋体" w:hAnsi="宋体" w:eastAsia="宋体" w:cs="宋体"/>
                <w:sz w:val="24"/>
                <w:szCs w:val="24"/>
              </w:rPr>
            </w:pPr>
          </w:p>
        </w:tc>
        <w:tc>
          <w:tcPr>
            <w:tcW w:w="2265" w:type="dxa"/>
          </w:tcPr>
          <w:p>
            <w:pPr>
              <w:spacing w:line="420" w:lineRule="exact"/>
              <w:jc w:val="center"/>
              <w:rPr>
                <w:rFonts w:hint="eastAsia" w:ascii="宋体" w:hAnsi="宋体" w:eastAsia="宋体" w:cs="宋体"/>
                <w:color w:val="000000"/>
                <w:sz w:val="24"/>
                <w:szCs w:val="24"/>
              </w:rPr>
            </w:pPr>
          </w:p>
        </w:tc>
      </w:tr>
    </w:tbl>
    <w:p>
      <w:pPr>
        <w:pStyle w:val="11"/>
        <w:numPr>
          <w:ilvl w:val="-1"/>
          <w:numId w:val="0"/>
        </w:numPr>
        <w:jc w:val="center"/>
      </w:pP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18"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18"/>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1、本章技术要求，仅对功能、设计、结构、性能、安装和试验检验等方面，提出了最低和一般性的技术要求，并未对一切技术细节做出规定。</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2、本技术要求所使用的标准、规范等，如与投标方所执行的标准、规范不一致时，应按高于本技术要求所列的标准、规范执行。</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3、投标方认为所供货物必需由招标方配备、解决或提供的其它要求，如设备基础隔振和减振设施、软化水、洁净气源等，均应在投标文件“技术偏离”中予以充分说明。</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投标方应根据招投标货物具体要求，提出对厂房、设备基础（或安装平台）、公用设施、消防、环保等超出招标文件、投标文件、答疑文件、技术交流文件、技术协议书和合同等规定的、有特殊需要的解释、说明和要求。</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5、无论是否有技术偏离，投标方均应在投标文件“技术偏离”中明确做出有无说明。若有异议，不管是多么微小，投标方必须予以明确和详细的说明或澄清。</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6、为避免投标方优势在招标评审时漏项，质保期超出本技术标书要求的，应当在投标文件“技术偏离”中特别注明。</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7、投标文件中，针对“特别提示”条款所做的回应，将作为投标方能否中标的重要依据之一。</w:t>
      </w:r>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Times New Roman"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、投标方所供的货物，必须符合中国最新版的法律、法规和相关标准、规范的要求，符合项目所在地政府有关特殊要求。</w:t>
      </w:r>
    </w:p>
    <w:p>
      <w:pPr>
        <w:spacing w:line="360" w:lineRule="auto"/>
        <w:ind w:firstLine="480" w:firstLineChars="200"/>
        <w:rPr>
          <w:rFonts w:ascii="宋体" w:hAnsi="Times New Roman"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、投标方所供货物涉及的专利权技术以及知识产权保护的其它技术等，应保证招标方不因此受到任何侵权指控以及实际损失。</w:t>
      </w:r>
    </w:p>
    <w:p>
      <w:pPr>
        <w:spacing w:line="360" w:lineRule="auto"/>
        <w:ind w:firstLine="480" w:firstLineChars="200"/>
        <w:rPr>
          <w:rFonts w:ascii="宋体" w:hAnsi="Times New Roman"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、投标方应保证所供货物的先进性、可靠性、经济性和实用性，并为全新货物（或设备）。</w:t>
      </w:r>
    </w:p>
    <w:p>
      <w:pPr>
        <w:spacing w:line="360" w:lineRule="auto"/>
        <w:ind w:firstLine="480" w:firstLineChars="200"/>
        <w:rPr>
          <w:rFonts w:ascii="宋体" w:hAnsi="Times New Roman"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、投标方应满足招标方提出的各项技术要求，必要时应当免费提供技术承诺或担保。</w:t>
      </w:r>
    </w:p>
    <w:p>
      <w:pPr>
        <w:spacing w:line="360" w:lineRule="auto"/>
        <w:ind w:firstLine="480" w:firstLineChars="200"/>
        <w:rPr>
          <w:rFonts w:ascii="宋体" w:hAnsi="Times New Roman"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Times New Roman"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、投标方应保证所供货物的完整性和成套性，能保证货物的正常运行、使用。</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、投标方应对招标方采购的货物所涉及的技术、产能等信息负有保密义务，招标方拥有追究投标方泄密责任的权利；招标方如有需要，投标方应无条件签署保密协议。</w:t>
      </w:r>
    </w:p>
    <w:p>
      <w:pPr>
        <w:spacing w:line="360" w:lineRule="auto"/>
        <w:ind w:firstLine="480" w:firstLineChars="200"/>
      </w:pPr>
      <w:r>
        <w:rPr>
          <w:rFonts w:hint="default" w:ascii="宋体" w:hAnsi="宋体" w:eastAsia="宋体" w:cs="Times New Roman"/>
          <w:sz w:val="24"/>
          <w:szCs w:val="24"/>
          <w:lang w:val="en-US" w:eastAsia="zh-CN"/>
        </w:rPr>
        <w:t>8、投标方所有设备通讯协议需在技术协议评审时一并免费提交给招标方，并协助招标方开展设备集成工作。</w:t>
      </w:r>
    </w:p>
    <w:p>
      <w:pPr>
        <w:pStyle w:val="112"/>
        <w:spacing w:line="360" w:lineRule="auto"/>
        <w:ind w:firstLine="482" w:firstLineChars="200"/>
        <w:outlineLvl w:val="2"/>
        <w:rPr>
          <w:rFonts w:hint="eastAsia" w:eastAsia="宋体" w:cs="宋体"/>
          <w:b/>
          <w:bCs w:val="0"/>
          <w:sz w:val="24"/>
          <w:szCs w:val="24"/>
          <w:highlight w:val="none"/>
        </w:rPr>
      </w:pPr>
      <w:r>
        <w:rPr>
          <w:rFonts w:hint="eastAsia" w:eastAsia="宋体" w:cs="宋体"/>
          <w:b/>
          <w:bCs w:val="0"/>
          <w:sz w:val="24"/>
          <w:szCs w:val="24"/>
          <w:highlight w:val="none"/>
        </w:rPr>
        <w:t>三、执行标准</w:t>
      </w:r>
    </w:p>
    <w:p>
      <w:pPr>
        <w:spacing w:line="360" w:lineRule="auto"/>
        <w:ind w:firstLine="480" w:firstLineChars="200"/>
        <w:rPr>
          <w:rFonts w:ascii="宋体" w:hAnsi="Times New Roman"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、招标方此处所列标准仅为涉及的主要标准，而且不保证其为最新版执行标准；投标方应当在投标文件中认真予以填写、补充和修改完善。</w:t>
      </w:r>
    </w:p>
    <w:p>
      <w:pPr>
        <w:spacing w:line="360" w:lineRule="auto"/>
        <w:ind w:firstLine="480" w:firstLineChars="200"/>
        <w:rPr>
          <w:rFonts w:ascii="宋体" w:hAnsi="Times New Roman"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、投标方需要执行的标准，应当采用所供货物通过买方组织的最终验收之日已经开始执行的最新标准。</w:t>
      </w:r>
    </w:p>
    <w:p>
      <w:pPr>
        <w:spacing w:line="360" w:lineRule="auto"/>
        <w:ind w:firstLine="480" w:firstLineChars="200"/>
        <w:rPr>
          <w:rFonts w:ascii="宋体" w:hAnsi="Times New Roman"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Times New Roman"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、采购货物没有国家或专业（部）标准的，按企业标准执行时，卖方应在合同签署之前，将所涉及的企业标准提供给买方确认。</w:t>
      </w:r>
    </w:p>
    <w:p>
      <w:pPr>
        <w:spacing w:line="360" w:lineRule="auto"/>
        <w:ind w:firstLine="480" w:firstLineChars="200"/>
        <w:rPr>
          <w:rFonts w:ascii="宋体" w:hAnsi="Times New Roman"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、采购货物如果采用国际标准，其执行标准由投标方提供、招标方确认。</w:t>
      </w:r>
    </w:p>
    <w:p>
      <w:pPr>
        <w:spacing w:line="360" w:lineRule="auto"/>
        <w:ind w:firstLine="480" w:firstLineChars="200"/>
        <w:rPr>
          <w:rFonts w:ascii="宋体" w:hAnsi="Times New Roman"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、采购货物所涉及的标准不统一时，原则上按照最严格标准执行。</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4362"/>
        <w:gridCol w:w="2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8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序号</w:t>
            </w:r>
          </w:p>
        </w:tc>
        <w:tc>
          <w:tcPr>
            <w:tcW w:w="436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标准名称</w:t>
            </w:r>
          </w:p>
        </w:tc>
        <w:tc>
          <w:tcPr>
            <w:tcW w:w="295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982"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1</w:t>
            </w:r>
          </w:p>
        </w:tc>
        <w:tc>
          <w:tcPr>
            <w:tcW w:w="4362"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000000"/>
                <w:sz w:val="24"/>
                <w:szCs w:val="24"/>
                <w:highlight w:val="none"/>
              </w:rPr>
            </w:pPr>
            <w:r>
              <w:rPr>
                <w:rFonts w:hint="eastAsia" w:ascii="宋体" w:hAnsi="宋体" w:eastAsia="宋体" w:cs="宋体"/>
                <w:color w:val="auto"/>
                <w:sz w:val="24"/>
                <w:szCs w:val="24"/>
                <w:highlight w:val="none"/>
              </w:rPr>
              <w:t>投标方提供行业内的推荐性、企业、国家标准</w:t>
            </w:r>
          </w:p>
        </w:tc>
        <w:tc>
          <w:tcPr>
            <w:tcW w:w="295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82"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2</w:t>
            </w:r>
          </w:p>
        </w:tc>
        <w:tc>
          <w:tcPr>
            <w:tcW w:w="4362" w:type="dxa"/>
            <w:noWrap w:val="0"/>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汽车滑行试验方法</w:t>
            </w:r>
          </w:p>
        </w:tc>
        <w:tc>
          <w:tcPr>
            <w:tcW w:w="2955" w:type="dxa"/>
            <w:noWrap w:val="0"/>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GB/T 12536-2017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82"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3</w:t>
            </w:r>
          </w:p>
        </w:tc>
        <w:tc>
          <w:tcPr>
            <w:tcW w:w="4362" w:type="dxa"/>
            <w:noWrap w:val="0"/>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汽车最高车速试验方法</w:t>
            </w:r>
          </w:p>
        </w:tc>
        <w:tc>
          <w:tcPr>
            <w:tcW w:w="2955" w:type="dxa"/>
            <w:noWrap w:val="0"/>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bCs w:val="0"/>
                <w:kern w:val="2"/>
                <w:sz w:val="24"/>
                <w:szCs w:val="24"/>
                <w:highlight w:val="none"/>
                <w:lang w:val="en-US" w:eastAsia="zh-CN" w:bidi="ar-SA"/>
              </w:rPr>
            </w:pPr>
            <w:r>
              <w:rPr>
                <w:rFonts w:hint="eastAsia" w:ascii="宋体" w:hAnsi="宋体" w:eastAsia="宋体" w:cs="宋体"/>
                <w:sz w:val="24"/>
                <w:szCs w:val="24"/>
                <w:highlight w:val="none"/>
              </w:rPr>
              <w:t>GB/T 12544-2012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82"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4</w:t>
            </w:r>
          </w:p>
        </w:tc>
        <w:tc>
          <w:tcPr>
            <w:tcW w:w="4362" w:type="dxa"/>
            <w:noWrap w:val="0"/>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bCs w:val="0"/>
                <w:kern w:val="2"/>
                <w:sz w:val="24"/>
                <w:szCs w:val="24"/>
                <w:highlight w:val="none"/>
                <w:lang w:val="en-US" w:eastAsia="zh-CN" w:bidi="ar-SA"/>
              </w:rPr>
            </w:pPr>
            <w:r>
              <w:rPr>
                <w:rFonts w:hint="eastAsia" w:ascii="宋体" w:hAnsi="宋体" w:eastAsia="宋体" w:cs="宋体"/>
                <w:sz w:val="24"/>
                <w:szCs w:val="24"/>
                <w:highlight w:val="none"/>
              </w:rPr>
              <w:t>汽车加速性能试验方法</w:t>
            </w:r>
          </w:p>
        </w:tc>
        <w:tc>
          <w:tcPr>
            <w:tcW w:w="2955" w:type="dxa"/>
            <w:noWrap w:val="0"/>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bCs w:val="0"/>
                <w:kern w:val="2"/>
                <w:sz w:val="24"/>
                <w:szCs w:val="24"/>
                <w:highlight w:val="none"/>
                <w:lang w:val="en-US" w:eastAsia="zh-CN" w:bidi="ar-SA"/>
              </w:rPr>
            </w:pPr>
            <w:r>
              <w:rPr>
                <w:rFonts w:hint="eastAsia" w:ascii="宋体" w:hAnsi="宋体" w:eastAsia="宋体" w:cs="宋体"/>
                <w:sz w:val="24"/>
                <w:szCs w:val="24"/>
                <w:highlight w:val="none"/>
              </w:rPr>
              <w:t>GB/T 12543-2009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82"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5</w:t>
            </w:r>
          </w:p>
        </w:tc>
        <w:tc>
          <w:tcPr>
            <w:tcW w:w="4362" w:type="dxa"/>
            <w:noWrap w:val="0"/>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汽车起动性能试验方法</w:t>
            </w:r>
          </w:p>
        </w:tc>
        <w:tc>
          <w:tcPr>
            <w:tcW w:w="2955" w:type="dxa"/>
            <w:noWrap w:val="0"/>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GB/T 125</w:t>
            </w:r>
            <w:r>
              <w:rPr>
                <w:rFonts w:hint="eastAsia" w:ascii="宋体" w:hAnsi="宋体" w:eastAsia="宋体" w:cs="宋体"/>
                <w:sz w:val="24"/>
                <w:szCs w:val="24"/>
                <w:highlight w:val="none"/>
                <w:lang w:val="en-US" w:eastAsia="zh-CN"/>
              </w:rPr>
              <w:t>35</w:t>
            </w:r>
            <w:r>
              <w:rPr>
                <w:rFonts w:hint="eastAsia" w:ascii="宋体" w:hAnsi="宋体" w:eastAsia="宋体" w:cs="宋体"/>
                <w:sz w:val="24"/>
                <w:szCs w:val="24"/>
                <w:highlight w:val="none"/>
              </w:rPr>
              <w:t>-20</w:t>
            </w:r>
            <w:r>
              <w:rPr>
                <w:rFonts w:hint="eastAsia" w:ascii="宋体" w:hAnsi="宋体" w:eastAsia="宋体" w:cs="宋体"/>
                <w:sz w:val="24"/>
                <w:szCs w:val="24"/>
                <w:highlight w:val="no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82"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6</w:t>
            </w:r>
          </w:p>
        </w:tc>
        <w:tc>
          <w:tcPr>
            <w:tcW w:w="4362" w:type="dxa"/>
            <w:noWrap w:val="0"/>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汽车爬陡坡试验方法</w:t>
            </w:r>
          </w:p>
        </w:tc>
        <w:tc>
          <w:tcPr>
            <w:tcW w:w="2955" w:type="dxa"/>
            <w:noWrap w:val="0"/>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GB/T 12539</w:t>
            </w:r>
            <w:r>
              <w:rPr>
                <w:rFonts w:hint="eastAsia" w:ascii="宋体" w:hAnsi="宋体" w:eastAsia="宋体" w:cs="宋体"/>
                <w:sz w:val="24"/>
                <w:szCs w:val="24"/>
                <w:highlight w:val="none"/>
                <w:lang w:val="en-US" w:eastAsia="zh-CN"/>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82"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7</w:t>
            </w:r>
          </w:p>
        </w:tc>
        <w:tc>
          <w:tcPr>
            <w:tcW w:w="4362" w:type="dxa"/>
            <w:noWrap w:val="0"/>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汽车最低稳定车速试验方法</w:t>
            </w:r>
          </w:p>
        </w:tc>
        <w:tc>
          <w:tcPr>
            <w:tcW w:w="2955" w:type="dxa"/>
            <w:noWrap w:val="0"/>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GB/T 12547</w:t>
            </w:r>
            <w:r>
              <w:rPr>
                <w:rFonts w:hint="eastAsia" w:ascii="宋体" w:hAnsi="宋体" w:eastAsia="宋体" w:cs="宋体"/>
                <w:sz w:val="24"/>
                <w:szCs w:val="24"/>
                <w:highlight w:val="none"/>
                <w:lang w:val="en-US" w:eastAsia="zh-CN"/>
              </w:rPr>
              <w:t>-2009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82"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8</w:t>
            </w:r>
          </w:p>
        </w:tc>
        <w:tc>
          <w:tcPr>
            <w:tcW w:w="4362" w:type="dxa"/>
            <w:noWrap w:val="0"/>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商用车辆燃料消耗量试验方法</w:t>
            </w:r>
          </w:p>
        </w:tc>
        <w:tc>
          <w:tcPr>
            <w:tcW w:w="2955" w:type="dxa"/>
            <w:noWrap w:val="0"/>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GB/T 12545.2-2001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982"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9</w:t>
            </w:r>
          </w:p>
        </w:tc>
        <w:tc>
          <w:tcPr>
            <w:tcW w:w="4362" w:type="dxa"/>
            <w:noWrap w:val="0"/>
            <w:vAlign w:val="center"/>
          </w:tcPr>
          <w:p>
            <w:pPr>
              <w:keepNext w:val="0"/>
              <w:keepLines w:val="0"/>
              <w:suppressLineNumbers w:val="0"/>
              <w:spacing w:before="0" w:beforeAutospacing="0" w:after="0" w:afterAutospacing="0" w:line="240" w:lineRule="atLeast"/>
              <w:ind w:left="0" w:leftChars="0" w:right="0" w:righ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商用车辆和挂车制动系统技术要求及试验方法</w:t>
            </w:r>
          </w:p>
        </w:tc>
        <w:tc>
          <w:tcPr>
            <w:tcW w:w="2955" w:type="dxa"/>
            <w:noWrap w:val="0"/>
            <w:vAlign w:val="center"/>
          </w:tcPr>
          <w:p>
            <w:pPr>
              <w:keepNext w:val="0"/>
              <w:keepLines w:val="0"/>
              <w:suppressLineNumbers w:val="0"/>
              <w:spacing w:before="0" w:beforeAutospacing="0" w:after="0" w:afterAutospacing="0" w:line="240" w:lineRule="atLeast"/>
              <w:ind w:left="0" w:leftChars="0" w:right="0" w:righ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GB 12676-2014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8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p>
        </w:tc>
        <w:tc>
          <w:tcPr>
            <w:tcW w:w="4362" w:type="dxa"/>
            <w:noWrap w:val="0"/>
            <w:vAlign w:val="center"/>
          </w:tcPr>
          <w:p>
            <w:pPr>
              <w:keepNext w:val="0"/>
              <w:keepLines w:val="0"/>
              <w:suppressLineNumbers w:val="0"/>
              <w:spacing w:before="0" w:beforeAutospacing="0" w:after="0" w:afterAutospacing="0" w:line="240" w:lineRule="atLeast"/>
              <w:ind w:left="0" w:leftChars="0" w:right="0" w:righ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汽车操纵稳定性试验方法</w:t>
            </w:r>
          </w:p>
        </w:tc>
        <w:tc>
          <w:tcPr>
            <w:tcW w:w="2955" w:type="dxa"/>
            <w:noWrap w:val="0"/>
            <w:vAlign w:val="center"/>
          </w:tcPr>
          <w:p>
            <w:pPr>
              <w:keepNext w:val="0"/>
              <w:keepLines w:val="0"/>
              <w:suppressLineNumbers w:val="0"/>
              <w:spacing w:before="0" w:beforeAutospacing="0" w:after="0" w:afterAutospacing="0" w:line="240" w:lineRule="atLeast"/>
              <w:ind w:left="0" w:leftChars="0" w:right="0" w:righ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GB/T 6323-2014</w:t>
            </w:r>
          </w:p>
        </w:tc>
      </w:tr>
    </w:tbl>
    <w:p>
      <w:pPr>
        <w:pStyle w:val="16"/>
      </w:pPr>
    </w:p>
    <w:p>
      <w:pPr>
        <w:pStyle w:val="112"/>
        <w:spacing w:line="360" w:lineRule="auto"/>
        <w:rPr>
          <w:rFonts w:hint="eastAsia" w:ascii="宋体" w:hAnsi="宋体" w:eastAsia="宋体" w:cs="宋体"/>
          <w:color w:val="000000"/>
          <w:sz w:val="24"/>
          <w:szCs w:val="24"/>
          <w:highlight w:val="none"/>
          <w:lang w:eastAsia="zh-CN"/>
        </w:rPr>
      </w:pPr>
      <w:r>
        <w:rPr>
          <w:rFonts w:hint="eastAsia" w:ascii="宋体" w:hAnsi="宋体" w:eastAsia="宋体" w:cs="宋体"/>
          <w:b/>
          <w:bCs w:val="0"/>
          <w:color w:val="auto"/>
          <w:sz w:val="24"/>
          <w:szCs w:val="24"/>
          <w:highlight w:val="none"/>
        </w:rPr>
        <w:t>四、</w:t>
      </w:r>
      <w:r>
        <w:rPr>
          <w:rFonts w:hint="eastAsia" w:ascii="宋体" w:hAnsi="宋体" w:eastAsia="宋体" w:cs="宋体"/>
          <w:b/>
          <w:bCs w:val="0"/>
          <w:sz w:val="24"/>
          <w:szCs w:val="24"/>
          <w:highlight w:val="none"/>
        </w:rPr>
        <w:t>技术要求</w:t>
      </w:r>
      <w:r>
        <w:rPr>
          <w:rFonts w:hint="eastAsia" w:ascii="宋体" w:hAnsi="宋体" w:eastAsia="宋体" w:cs="宋体"/>
          <w:b/>
          <w:bCs w:val="0"/>
          <w:color w:val="000000"/>
          <w:sz w:val="24"/>
          <w:szCs w:val="24"/>
          <w:highlight w:val="none"/>
        </w:rPr>
        <w:t>：</w:t>
      </w:r>
      <w:r>
        <w:rPr>
          <w:rFonts w:hint="eastAsia" w:ascii="宋体" w:hAnsi="宋体" w:eastAsia="宋体" w:cs="宋体"/>
          <w:b/>
          <w:bCs w:val="0"/>
          <w:color w:val="000000"/>
          <w:sz w:val="24"/>
          <w:szCs w:val="24"/>
          <w:highlight w:val="none"/>
          <w:lang w:eastAsia="zh-CN"/>
        </w:rPr>
        <w:t>（</w:t>
      </w:r>
      <w:r>
        <w:rPr>
          <w:rFonts w:hint="eastAsia" w:ascii="宋体" w:hAnsi="宋体" w:eastAsia="宋体" w:cs="宋体"/>
          <w:b/>
          <w:bCs w:val="0"/>
          <w:color w:val="000000"/>
          <w:sz w:val="24"/>
          <w:szCs w:val="24"/>
          <w:highlight w:val="none"/>
          <w:lang w:val="en-US" w:eastAsia="zh-CN"/>
        </w:rPr>
        <w:t>星号项为重要技术参数，若其中一项不满足则投标将被淘汰</w:t>
      </w:r>
      <w:r>
        <w:rPr>
          <w:rFonts w:hint="eastAsia" w:ascii="宋体" w:hAnsi="宋体" w:eastAsia="宋体" w:cs="宋体"/>
          <w:b/>
          <w:bCs w:val="0"/>
          <w:color w:val="000000"/>
          <w:sz w:val="24"/>
          <w:szCs w:val="24"/>
          <w:highlight w:val="none"/>
          <w:lang w:eastAsia="zh-CN"/>
        </w:rPr>
        <w:t>）</w:t>
      </w:r>
    </w:p>
    <w:p>
      <w:pPr>
        <w:pStyle w:val="111"/>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总体</w:t>
      </w:r>
      <w:r>
        <w:rPr>
          <w:rFonts w:hint="eastAsia" w:ascii="宋体" w:hAnsi="宋体" w:eastAsia="宋体" w:cs="宋体"/>
          <w:b/>
          <w:bCs/>
          <w:color w:val="auto"/>
          <w:sz w:val="24"/>
          <w:szCs w:val="24"/>
          <w:highlight w:val="none"/>
          <w:lang w:val="en-US" w:eastAsia="zh-CN"/>
        </w:rPr>
        <w:t>技术</w:t>
      </w:r>
      <w:r>
        <w:rPr>
          <w:rFonts w:hint="eastAsia" w:ascii="宋体" w:hAnsi="宋体" w:eastAsia="宋体" w:cs="宋体"/>
          <w:b/>
          <w:bCs/>
          <w:color w:val="auto"/>
          <w:sz w:val="24"/>
          <w:szCs w:val="24"/>
          <w:highlight w:val="none"/>
        </w:rPr>
        <w:t>要求</w:t>
      </w:r>
    </w:p>
    <w:p>
      <w:pPr>
        <w:pStyle w:val="111"/>
        <w:keepNext w:val="0"/>
        <w:keepLines w:val="0"/>
        <w:pageBreakBefore w:val="0"/>
        <w:widowControl w:val="0"/>
        <w:numPr>
          <w:ilvl w:val="0"/>
          <w:numId w:val="11"/>
        </w:numPr>
        <w:tabs>
          <w:tab w:val="left" w:pos="0"/>
          <w:tab w:val="clear" w:pos="420"/>
        </w:tabs>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整</w:t>
      </w:r>
      <w:r>
        <w:rPr>
          <w:rFonts w:hint="eastAsia" w:ascii="宋体" w:hAnsi="宋体" w:eastAsia="宋体" w:cs="宋体"/>
          <w:color w:val="auto"/>
          <w:sz w:val="24"/>
          <w:szCs w:val="24"/>
          <w:highlight w:val="none"/>
          <w:lang w:val="en-US" w:eastAsia="zh-CN"/>
        </w:rPr>
        <w:t>套</w:t>
      </w:r>
      <w:r>
        <w:rPr>
          <w:rFonts w:hint="eastAsia" w:ascii="宋体" w:hAnsi="宋体" w:eastAsia="宋体" w:cs="宋体"/>
          <w:color w:val="auto"/>
          <w:sz w:val="24"/>
          <w:szCs w:val="24"/>
          <w:highlight w:val="none"/>
          <w:lang w:val="en-US"/>
        </w:rPr>
        <w:t>系统除车载电源调配模块外，其余</w:t>
      </w:r>
      <w:r>
        <w:rPr>
          <w:rFonts w:hint="eastAsia" w:ascii="宋体" w:hAnsi="宋体" w:eastAsia="宋体" w:cs="宋体"/>
          <w:color w:val="auto"/>
          <w:sz w:val="24"/>
          <w:szCs w:val="24"/>
          <w:highlight w:val="none"/>
        </w:rPr>
        <w:t>模块及附属配件应为</w:t>
      </w:r>
      <w:r>
        <w:rPr>
          <w:rFonts w:hint="eastAsia" w:ascii="宋体" w:hAnsi="宋体" w:eastAsia="宋体" w:cs="宋体"/>
          <w:color w:val="auto"/>
          <w:sz w:val="24"/>
          <w:szCs w:val="24"/>
          <w:highlight w:val="none"/>
          <w:lang w:val="en-US" w:eastAsia="zh-CN"/>
        </w:rPr>
        <w:t>Dewetron、Dewesoft、Kistler、Oxts及Racelogic等</w:t>
      </w:r>
      <w:r>
        <w:rPr>
          <w:rFonts w:hint="eastAsia" w:ascii="宋体" w:hAnsi="宋体" w:eastAsia="宋体" w:cs="宋体"/>
          <w:b w:val="0"/>
          <w:bCs/>
          <w:color w:val="auto"/>
          <w:sz w:val="24"/>
          <w:szCs w:val="24"/>
          <w:highlight w:val="none"/>
        </w:rPr>
        <w:t>国际知名大品牌原厂产品</w:t>
      </w: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系统应是全新的、未使用过的、功能完整、可正常运转的完整设备，包括没有提到的每个详细构件或特殊部件及特殊功能，若</w:t>
      </w:r>
      <w:r>
        <w:rPr>
          <w:rFonts w:hint="eastAsia" w:ascii="宋体" w:hAnsi="宋体" w:eastAsia="宋体" w:cs="宋体"/>
          <w:color w:val="auto"/>
          <w:sz w:val="24"/>
          <w:szCs w:val="24"/>
          <w:highlight w:val="none"/>
          <w:shd w:val="clear" w:color="auto" w:fill="FFFFFF"/>
        </w:rPr>
        <w:t>整机进口，应能通过产品型号查询来源确定生产商和产地。</w:t>
      </w:r>
    </w:p>
    <w:p>
      <w:pPr>
        <w:pStyle w:val="111"/>
        <w:keepNext w:val="0"/>
        <w:keepLines w:val="0"/>
        <w:pageBreakBefore w:val="0"/>
        <w:widowControl w:val="0"/>
        <w:numPr>
          <w:ilvl w:val="0"/>
          <w:numId w:val="11"/>
        </w:numPr>
        <w:tabs>
          <w:tab w:val="left" w:pos="0"/>
          <w:tab w:val="clear" w:pos="420"/>
        </w:tabs>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auto"/>
          <w:spacing w:val="-4"/>
          <w:sz w:val="24"/>
          <w:szCs w:val="24"/>
          <w:highlight w:val="none"/>
        </w:rPr>
      </w:pP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整车道路性能测试系统</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pacing w:val="-7"/>
          <w:sz w:val="24"/>
          <w:szCs w:val="24"/>
          <w:highlight w:val="none"/>
        </w:rPr>
        <w:t>能</w:t>
      </w:r>
      <w:r>
        <w:rPr>
          <w:rFonts w:hint="eastAsia" w:ascii="宋体" w:hAnsi="宋体" w:eastAsia="宋体" w:cs="宋体"/>
          <w:color w:val="auto"/>
          <w:sz w:val="24"/>
          <w:szCs w:val="24"/>
          <w:highlight w:val="none"/>
        </w:rPr>
        <w:t>完成车辆动力性、操纵稳定性（转向、弯道、直线行驶等）</w:t>
      </w:r>
      <w:r>
        <w:rPr>
          <w:rFonts w:hint="eastAsia" w:ascii="宋体" w:hAnsi="宋体" w:eastAsia="宋体" w:cs="宋体"/>
          <w:color w:val="auto"/>
          <w:spacing w:val="-7"/>
          <w:sz w:val="24"/>
          <w:szCs w:val="24"/>
          <w:highlight w:val="none"/>
        </w:rPr>
        <w:t>、制动</w:t>
      </w:r>
      <w:r>
        <w:rPr>
          <w:rFonts w:hint="eastAsia" w:ascii="宋体" w:hAnsi="宋体" w:eastAsia="宋体" w:cs="宋体"/>
          <w:color w:val="auto"/>
          <w:spacing w:val="-7"/>
          <w:sz w:val="24"/>
          <w:szCs w:val="24"/>
          <w:highlight w:val="none"/>
          <w:lang w:eastAsia="zh-CN"/>
        </w:rPr>
        <w:t>、</w:t>
      </w:r>
      <w:r>
        <w:rPr>
          <w:rFonts w:hint="eastAsia" w:ascii="宋体" w:hAnsi="宋体" w:eastAsia="宋体" w:cs="宋体"/>
          <w:color w:val="auto"/>
          <w:spacing w:val="-7"/>
          <w:sz w:val="24"/>
          <w:szCs w:val="24"/>
          <w:highlight w:val="none"/>
          <w:lang w:val="en-US" w:eastAsia="zh-CN"/>
        </w:rPr>
        <w:t>平顺性</w:t>
      </w:r>
      <w:r>
        <w:rPr>
          <w:rFonts w:hint="eastAsia" w:ascii="宋体" w:hAnsi="宋体" w:eastAsia="宋体" w:cs="宋体"/>
          <w:color w:val="auto"/>
          <w:spacing w:val="-7"/>
          <w:sz w:val="24"/>
          <w:szCs w:val="24"/>
          <w:highlight w:val="none"/>
        </w:rPr>
        <w:t>等</w:t>
      </w:r>
      <w:r>
        <w:rPr>
          <w:rFonts w:hint="eastAsia" w:ascii="宋体" w:hAnsi="宋体" w:eastAsia="宋体" w:cs="宋体"/>
          <w:color w:val="auto"/>
          <w:spacing w:val="-7"/>
          <w:sz w:val="24"/>
          <w:szCs w:val="24"/>
          <w:highlight w:val="none"/>
          <w:lang w:val="en-US" w:eastAsia="zh-CN"/>
        </w:rPr>
        <w:t>车辆动力学</w:t>
      </w:r>
      <w:r>
        <w:rPr>
          <w:rFonts w:hint="eastAsia" w:ascii="宋体" w:hAnsi="宋体" w:eastAsia="宋体" w:cs="宋体"/>
          <w:color w:val="auto"/>
          <w:spacing w:val="-7"/>
          <w:sz w:val="24"/>
          <w:szCs w:val="24"/>
          <w:highlight w:val="none"/>
        </w:rPr>
        <w:t>性能试验测试数据</w:t>
      </w:r>
      <w:r>
        <w:rPr>
          <w:rFonts w:hint="eastAsia" w:ascii="宋体" w:hAnsi="宋体" w:eastAsia="宋体" w:cs="宋体"/>
          <w:color w:val="auto"/>
          <w:spacing w:val="-4"/>
          <w:sz w:val="24"/>
          <w:szCs w:val="24"/>
          <w:highlight w:val="none"/>
        </w:rPr>
        <w:t>的采集和</w:t>
      </w:r>
      <w:r>
        <w:rPr>
          <w:rFonts w:hint="eastAsia" w:ascii="宋体" w:hAnsi="宋体" w:eastAsia="宋体" w:cs="宋体"/>
          <w:color w:val="auto"/>
          <w:spacing w:val="-4"/>
          <w:sz w:val="24"/>
          <w:szCs w:val="24"/>
          <w:highlight w:val="none"/>
          <w:lang w:val="en-US" w:eastAsia="zh-CN"/>
        </w:rPr>
        <w:t>分析</w:t>
      </w:r>
      <w:r>
        <w:rPr>
          <w:rFonts w:hint="eastAsia" w:ascii="宋体" w:hAnsi="宋体" w:eastAsia="宋体" w:cs="宋体"/>
          <w:color w:val="auto"/>
          <w:spacing w:val="-4"/>
          <w:sz w:val="24"/>
          <w:szCs w:val="24"/>
          <w:highlight w:val="none"/>
        </w:rPr>
        <w:t>处理，满足相关国家</w:t>
      </w:r>
      <w:r>
        <w:rPr>
          <w:rFonts w:hint="eastAsia" w:ascii="宋体" w:hAnsi="宋体" w:eastAsia="宋体" w:cs="宋体"/>
          <w:color w:val="auto"/>
          <w:spacing w:val="-4"/>
          <w:sz w:val="24"/>
          <w:szCs w:val="24"/>
          <w:highlight w:val="none"/>
          <w:lang w:eastAsia="zh-CN"/>
        </w:rPr>
        <w:t>、</w:t>
      </w:r>
      <w:r>
        <w:rPr>
          <w:rFonts w:hint="eastAsia" w:ascii="宋体" w:hAnsi="宋体" w:eastAsia="宋体" w:cs="宋体"/>
          <w:color w:val="auto"/>
          <w:spacing w:val="-4"/>
          <w:sz w:val="24"/>
          <w:szCs w:val="24"/>
          <w:highlight w:val="none"/>
          <w:lang w:val="en-US" w:eastAsia="zh-CN"/>
        </w:rPr>
        <w:t>行业</w:t>
      </w:r>
      <w:r>
        <w:rPr>
          <w:rFonts w:hint="eastAsia" w:ascii="宋体" w:hAnsi="宋体" w:eastAsia="宋体" w:cs="宋体"/>
          <w:color w:val="auto"/>
          <w:spacing w:val="-4"/>
          <w:sz w:val="24"/>
          <w:szCs w:val="24"/>
          <w:highlight w:val="none"/>
        </w:rPr>
        <w:t>标准的要求。</w:t>
      </w:r>
    </w:p>
    <w:p>
      <w:pPr>
        <w:pStyle w:val="111"/>
        <w:keepNext w:val="0"/>
        <w:keepLines w:val="0"/>
        <w:pageBreakBefore w:val="0"/>
        <w:widowControl w:val="0"/>
        <w:numPr>
          <w:ilvl w:val="0"/>
          <w:numId w:val="11"/>
        </w:numPr>
        <w:tabs>
          <w:tab w:val="left" w:pos="0"/>
          <w:tab w:val="clear" w:pos="420"/>
        </w:tabs>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设备应具有高度的稳定性、可靠性和可维护性。设备必须是在国内主要汽车</w:t>
      </w:r>
      <w:r>
        <w:rPr>
          <w:rFonts w:hint="eastAsia" w:ascii="宋体" w:hAnsi="宋体" w:eastAsia="宋体" w:cs="宋体"/>
          <w:b w:val="0"/>
          <w:bCs/>
          <w:color w:val="auto"/>
          <w:sz w:val="24"/>
          <w:szCs w:val="24"/>
          <w:highlight w:val="none"/>
        </w:rPr>
        <w:t>生产厂</w:t>
      </w:r>
      <w:r>
        <w:rPr>
          <w:rFonts w:hint="eastAsia" w:ascii="宋体" w:hAnsi="宋体" w:eastAsia="宋体" w:cs="宋体"/>
          <w:b w:val="0"/>
          <w:bCs/>
          <w:color w:val="auto"/>
          <w:sz w:val="24"/>
          <w:szCs w:val="24"/>
          <w:highlight w:val="none"/>
          <w:lang w:eastAsia="zh-CN"/>
        </w:rPr>
        <w:t>、</w:t>
      </w:r>
      <w:r>
        <w:rPr>
          <w:rFonts w:hint="eastAsia" w:ascii="宋体" w:hAnsi="宋体" w:eastAsia="宋体" w:cs="宋体"/>
          <w:color w:val="auto"/>
          <w:spacing w:val="-5"/>
          <w:sz w:val="24"/>
          <w:szCs w:val="24"/>
          <w:highlight w:val="none"/>
        </w:rPr>
        <w:t>零部件生产厂和汽车研发与检测机构广泛使用过的成熟型产品</w:t>
      </w:r>
      <w:r>
        <w:rPr>
          <w:rFonts w:hint="eastAsia" w:ascii="宋体" w:hAnsi="宋体" w:eastAsia="宋体" w:cs="宋体"/>
          <w:color w:val="auto"/>
          <w:spacing w:val="-5"/>
          <w:sz w:val="24"/>
          <w:szCs w:val="24"/>
          <w:highlight w:val="none"/>
          <w:lang w:eastAsia="zh-CN"/>
        </w:rPr>
        <w:t>。</w:t>
      </w:r>
    </w:p>
    <w:p>
      <w:pPr>
        <w:pStyle w:val="111"/>
        <w:keepNext w:val="0"/>
        <w:keepLines w:val="0"/>
        <w:pageBreakBefore w:val="0"/>
        <w:widowControl w:val="0"/>
        <w:numPr>
          <w:ilvl w:val="0"/>
          <w:numId w:val="11"/>
        </w:numPr>
        <w:tabs>
          <w:tab w:val="left" w:pos="0"/>
          <w:tab w:val="clear" w:pos="420"/>
        </w:tabs>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系统应坚固耐用、运行稳定、故障率低、易于维护，若有易损件，请在备件清单列表中列出，并提供不低于</w:t>
      </w:r>
      <w:r>
        <w:rPr>
          <w:rFonts w:hint="eastAsia" w:ascii="宋体" w:hAnsi="宋体" w:eastAsia="宋体" w:cs="宋体"/>
          <w:b/>
          <w:bCs w:val="0"/>
          <w:color w:val="auto"/>
          <w:sz w:val="24"/>
          <w:szCs w:val="24"/>
          <w:highlight w:val="none"/>
          <w:lang w:val="en-US" w:eastAsia="zh-CN"/>
        </w:rPr>
        <w:t>一年</w:t>
      </w:r>
      <w:r>
        <w:rPr>
          <w:rFonts w:hint="eastAsia" w:ascii="宋体" w:hAnsi="宋体" w:eastAsia="宋体" w:cs="宋体"/>
          <w:color w:val="auto"/>
          <w:sz w:val="24"/>
          <w:szCs w:val="24"/>
          <w:highlight w:val="none"/>
        </w:rPr>
        <w:t>的易损备件。</w:t>
      </w:r>
    </w:p>
    <w:p>
      <w:pPr>
        <w:pStyle w:val="111"/>
        <w:keepNext w:val="0"/>
        <w:keepLines w:val="0"/>
        <w:pageBreakBefore w:val="0"/>
        <w:widowControl w:val="0"/>
        <w:numPr>
          <w:ilvl w:val="0"/>
          <w:numId w:val="11"/>
        </w:numPr>
        <w:tabs>
          <w:tab w:val="left" w:pos="0"/>
          <w:tab w:val="clear" w:pos="420"/>
        </w:tabs>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系统</w:t>
      </w:r>
      <w:r>
        <w:rPr>
          <w:rFonts w:hint="eastAsia" w:ascii="宋体" w:hAnsi="宋体" w:eastAsia="宋体" w:cs="宋体"/>
          <w:color w:val="auto"/>
          <w:sz w:val="24"/>
          <w:szCs w:val="24"/>
          <w:highlight w:val="none"/>
        </w:rPr>
        <w:t>供电</w:t>
      </w:r>
      <w:r>
        <w:rPr>
          <w:rFonts w:hint="eastAsia" w:ascii="宋体" w:hAnsi="宋体" w:eastAsia="宋体" w:cs="宋体"/>
          <w:sz w:val="24"/>
          <w:szCs w:val="24"/>
          <w:highlight w:val="none"/>
        </w:rPr>
        <w:t>（带隔离）</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要求</w:t>
      </w:r>
      <w:r>
        <w:rPr>
          <w:rFonts w:hint="eastAsia" w:ascii="宋体" w:hAnsi="宋体" w:eastAsia="宋体" w:cs="宋体"/>
          <w:sz w:val="24"/>
          <w:szCs w:val="24"/>
          <w:highlight w:val="none"/>
          <w:lang w:val="en-US" w:eastAsia="zh-CN"/>
        </w:rPr>
        <w:t>数据采集器（</w:t>
      </w:r>
      <w:r>
        <w:rPr>
          <w:rFonts w:hint="eastAsia" w:ascii="宋体" w:hAnsi="宋体" w:eastAsia="宋体" w:cs="宋体"/>
          <w:sz w:val="24"/>
          <w:szCs w:val="24"/>
          <w:highlight w:val="none"/>
        </w:rPr>
        <w:t>系统主机</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满足至少10～30VDC宽频供电，具有电源超限安全保护，并配备220VAC电源适配器。原则上要求只需要提供一路外部供电线缆至系统主机，所有模块或者外置附加设备尽量采取由系统主机统一供电。如果有模块或者外置附加设备采用其他供电方式，投标文件中需注明，并提供明确供电方案。</w:t>
      </w:r>
    </w:p>
    <w:p>
      <w:pPr>
        <w:pStyle w:val="111"/>
        <w:keepNext w:val="0"/>
        <w:keepLines w:val="0"/>
        <w:pageBreakBefore w:val="0"/>
        <w:widowControl w:val="0"/>
        <w:numPr>
          <w:ilvl w:val="0"/>
          <w:numId w:val="11"/>
        </w:numPr>
        <w:tabs>
          <w:tab w:val="left" w:pos="0"/>
          <w:tab w:val="clear" w:pos="420"/>
        </w:tabs>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本招标书中涉及到的所有设备，不论大小，都需要配备存放及周转专用箱，专用箱应为轻质材料，能够密封、锁止，安全方便，并在</w:t>
      </w:r>
      <w:r>
        <w:rPr>
          <w:rFonts w:hint="eastAsia" w:ascii="宋体" w:hAnsi="宋体" w:eastAsia="宋体" w:cs="宋体"/>
          <w:color w:val="auto"/>
          <w:sz w:val="24"/>
          <w:szCs w:val="24"/>
          <w:highlight w:val="none"/>
          <w:lang w:val="en-US" w:eastAsia="zh-CN"/>
        </w:rPr>
        <w:t>设备</w:t>
      </w:r>
      <w:r>
        <w:rPr>
          <w:rFonts w:hint="eastAsia" w:ascii="宋体" w:hAnsi="宋体" w:eastAsia="宋体" w:cs="宋体"/>
          <w:color w:val="auto"/>
          <w:sz w:val="24"/>
          <w:szCs w:val="24"/>
          <w:highlight w:val="none"/>
        </w:rPr>
        <w:t>专用箱外表面张贴可长期留存的设备明细清单。</w:t>
      </w:r>
    </w:p>
    <w:p>
      <w:pPr>
        <w:pStyle w:val="111"/>
        <w:keepNext w:val="0"/>
        <w:keepLines w:val="0"/>
        <w:pageBreakBefore w:val="0"/>
        <w:widowControl w:val="0"/>
        <w:numPr>
          <w:ilvl w:val="0"/>
          <w:numId w:val="11"/>
        </w:numPr>
        <w:tabs>
          <w:tab w:val="left" w:pos="0"/>
          <w:tab w:val="clear" w:pos="420"/>
        </w:tabs>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需</w:t>
      </w:r>
      <w:r>
        <w:rPr>
          <w:rFonts w:hint="eastAsia" w:ascii="宋体" w:hAnsi="宋体" w:eastAsia="宋体" w:cs="宋体"/>
          <w:color w:val="auto"/>
          <w:sz w:val="24"/>
          <w:szCs w:val="24"/>
          <w:highlight w:val="none"/>
        </w:rPr>
        <w:t>提供解决方案，以保证</w:t>
      </w:r>
      <w:r>
        <w:rPr>
          <w:rFonts w:hint="eastAsia" w:ascii="宋体" w:hAnsi="宋体" w:eastAsia="宋体" w:cs="宋体"/>
          <w:color w:val="auto"/>
          <w:sz w:val="24"/>
          <w:szCs w:val="24"/>
          <w:highlight w:val="none"/>
          <w:lang w:val="en-US" w:eastAsia="zh-CN"/>
        </w:rPr>
        <w:t>投标单位提供的数据</w:t>
      </w:r>
      <w:r>
        <w:rPr>
          <w:rFonts w:hint="eastAsia" w:ascii="宋体" w:hAnsi="宋体" w:eastAsia="宋体" w:cs="宋体"/>
          <w:color w:val="auto"/>
          <w:sz w:val="24"/>
          <w:szCs w:val="24"/>
          <w:highlight w:val="none"/>
        </w:rPr>
        <w:t>采集器</w:t>
      </w:r>
      <w:r>
        <w:rPr>
          <w:rFonts w:hint="eastAsia" w:ascii="宋体" w:hAnsi="宋体" w:eastAsia="宋体" w:cs="宋体"/>
          <w:color w:val="auto"/>
          <w:sz w:val="24"/>
          <w:szCs w:val="24"/>
          <w:highlight w:val="none"/>
          <w:lang w:val="en-US" w:eastAsia="zh-CN"/>
        </w:rPr>
        <w:t>能</w:t>
      </w:r>
      <w:r>
        <w:rPr>
          <w:rFonts w:hint="eastAsia" w:ascii="宋体" w:hAnsi="宋体" w:eastAsia="宋体" w:cs="宋体"/>
          <w:color w:val="auto"/>
          <w:sz w:val="24"/>
          <w:szCs w:val="24"/>
          <w:highlight w:val="none"/>
        </w:rPr>
        <w:t>与招标方已有</w:t>
      </w:r>
      <w:r>
        <w:rPr>
          <w:rFonts w:hint="eastAsia" w:ascii="宋体" w:hAnsi="宋体" w:eastAsia="宋体" w:cs="宋体"/>
          <w:color w:val="auto"/>
          <w:sz w:val="24"/>
          <w:szCs w:val="24"/>
          <w:highlight w:val="none"/>
          <w:lang w:val="en-US" w:eastAsia="zh-CN"/>
        </w:rPr>
        <w:t>传感器</w:t>
      </w:r>
      <w:r>
        <w:rPr>
          <w:rFonts w:hint="eastAsia" w:ascii="宋体" w:hAnsi="宋体" w:eastAsia="宋体" w:cs="宋体"/>
          <w:color w:val="auto"/>
          <w:sz w:val="24"/>
          <w:szCs w:val="24"/>
          <w:highlight w:val="none"/>
        </w:rPr>
        <w:t>设备</w:t>
      </w:r>
      <w:r>
        <w:rPr>
          <w:rFonts w:hint="eastAsia" w:ascii="宋体" w:hAnsi="宋体" w:eastAsia="宋体" w:cs="宋体"/>
          <w:b/>
          <w:bCs/>
          <w:color w:val="auto"/>
          <w:sz w:val="24"/>
          <w:szCs w:val="24"/>
          <w:highlight w:val="none"/>
        </w:rPr>
        <w:t>兼容</w:t>
      </w:r>
      <w:r>
        <w:rPr>
          <w:rFonts w:hint="eastAsia" w:ascii="宋体" w:hAnsi="宋体" w:eastAsia="宋体" w:cs="宋体"/>
          <w:color w:val="auto"/>
          <w:sz w:val="24"/>
          <w:szCs w:val="24"/>
          <w:highlight w:val="none"/>
        </w:rPr>
        <w:t>。需要</w:t>
      </w:r>
      <w:r>
        <w:rPr>
          <w:rFonts w:hint="eastAsia" w:ascii="宋体" w:hAnsi="宋体" w:eastAsia="宋体" w:cs="宋体"/>
          <w:b w:val="0"/>
          <w:bCs/>
          <w:color w:val="auto"/>
          <w:sz w:val="24"/>
          <w:szCs w:val="24"/>
          <w:highlight w:val="none"/>
        </w:rPr>
        <w:t>兼容</w:t>
      </w:r>
      <w:r>
        <w:rPr>
          <w:rFonts w:hint="eastAsia" w:ascii="宋体" w:hAnsi="宋体" w:eastAsia="宋体" w:cs="宋体"/>
          <w:color w:val="auto"/>
          <w:sz w:val="24"/>
          <w:szCs w:val="24"/>
          <w:highlight w:val="none"/>
        </w:rPr>
        <w:t>的传感器设备</w:t>
      </w:r>
      <w:r>
        <w:rPr>
          <w:rFonts w:hint="eastAsia" w:ascii="宋体" w:hAnsi="宋体" w:eastAsia="宋体" w:cs="宋体"/>
          <w:color w:val="auto"/>
          <w:sz w:val="24"/>
          <w:szCs w:val="24"/>
          <w:highlight w:val="none"/>
          <w:lang w:val="en-US" w:eastAsia="zh-CN"/>
        </w:rPr>
        <w:t>及信号接口定义见下表，</w:t>
      </w:r>
      <w:r>
        <w:rPr>
          <w:rFonts w:hint="eastAsia" w:ascii="宋体" w:hAnsi="宋体" w:eastAsia="宋体" w:cs="宋体"/>
          <w:color w:val="auto"/>
          <w:sz w:val="24"/>
          <w:szCs w:val="24"/>
          <w:highlight w:val="none"/>
        </w:rPr>
        <w:t>投标单位须提供传感器适配时所需配件</w:t>
      </w:r>
      <w:r>
        <w:rPr>
          <w:rFonts w:hint="eastAsia" w:ascii="宋体" w:hAnsi="宋体" w:eastAsia="宋体" w:cs="宋体"/>
          <w:color w:val="auto"/>
          <w:sz w:val="24"/>
          <w:szCs w:val="24"/>
          <w:highlight w:val="none"/>
          <w:lang w:val="en-US" w:eastAsia="zh-CN"/>
        </w:rPr>
        <w:t>5套</w:t>
      </w:r>
      <w:r>
        <w:rPr>
          <w:rFonts w:hint="eastAsia" w:ascii="宋体" w:hAnsi="宋体" w:eastAsia="宋体" w:cs="宋体"/>
          <w:color w:val="auto"/>
          <w:sz w:val="24"/>
          <w:szCs w:val="24"/>
          <w:highlight w:val="none"/>
        </w:rPr>
        <w:t>。</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br w:type="page"/>
      </w:r>
    </w:p>
    <w:p>
      <w:pPr>
        <w:keepNext w:val="0"/>
        <w:keepLines w:val="0"/>
        <w:pageBreakBefore w:val="0"/>
        <w:widowControl w:val="0"/>
        <w:numPr>
          <w:ilvl w:val="-1"/>
          <w:numId w:val="0"/>
        </w:numPr>
        <w:tabs>
          <w:tab w:val="left" w:pos="420"/>
        </w:tabs>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1.8</w:t>
      </w:r>
      <w:r>
        <w:rPr>
          <w:rFonts w:hint="eastAsia" w:ascii="宋体" w:hAnsi="宋体" w:eastAsia="宋体" w:cs="宋体"/>
          <w:color w:val="auto"/>
          <w:sz w:val="24"/>
          <w:szCs w:val="24"/>
          <w:highlight w:val="none"/>
        </w:rPr>
        <w:t>传感器设备</w:t>
      </w:r>
      <w:r>
        <w:rPr>
          <w:rFonts w:hint="eastAsia" w:ascii="宋体" w:hAnsi="宋体" w:eastAsia="宋体" w:cs="宋体"/>
          <w:color w:val="auto"/>
          <w:sz w:val="24"/>
          <w:szCs w:val="24"/>
          <w:highlight w:val="none"/>
          <w:lang w:val="en-US" w:eastAsia="zh-CN"/>
        </w:rPr>
        <w:t>及信号接口定义一览表</w:t>
      </w:r>
    </w:p>
    <w:tbl>
      <w:tblPr>
        <w:tblStyle w:val="35"/>
        <w:tblW w:w="85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28"/>
        <w:gridCol w:w="1173"/>
        <w:gridCol w:w="1095"/>
        <w:gridCol w:w="1014"/>
        <w:gridCol w:w="2550"/>
        <w:gridCol w:w="16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jc w:val="center"/>
        </w:trPr>
        <w:tc>
          <w:tcPr>
            <w:tcW w:w="112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传感器名称</w:t>
            </w:r>
          </w:p>
        </w:tc>
        <w:tc>
          <w:tcPr>
            <w:tcW w:w="117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型号</w:t>
            </w:r>
          </w:p>
        </w:tc>
        <w:tc>
          <w:tcPr>
            <w:tcW w:w="109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厂家</w:t>
            </w:r>
          </w:p>
        </w:tc>
        <w:tc>
          <w:tcPr>
            <w:tcW w:w="10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000000"/>
                <w:sz w:val="24"/>
                <w:szCs w:val="24"/>
                <w:highlight w:val="none"/>
                <w:u w:val="none"/>
                <w:lang w:val="en-US"/>
              </w:rPr>
            </w:pPr>
            <w:r>
              <w:rPr>
                <w:rFonts w:hint="eastAsia" w:ascii="宋体" w:hAnsi="宋体" w:eastAsia="宋体" w:cs="宋体"/>
                <w:b w:val="0"/>
                <w:bCs w:val="0"/>
                <w:i w:val="0"/>
                <w:iCs w:val="0"/>
                <w:color w:val="000000"/>
                <w:kern w:val="0"/>
                <w:sz w:val="24"/>
                <w:szCs w:val="24"/>
                <w:highlight w:val="none"/>
                <w:u w:val="none"/>
                <w:lang w:val="en-US" w:eastAsia="zh-CN" w:bidi="ar"/>
              </w:rPr>
              <w:t>信号输出形式</w:t>
            </w:r>
          </w:p>
        </w:tc>
        <w:tc>
          <w:tcPr>
            <w:tcW w:w="25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信号输出接口定义</w:t>
            </w:r>
          </w:p>
        </w:tc>
        <w:tc>
          <w:tcPr>
            <w:tcW w:w="161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对应接头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jc w:val="center"/>
        </w:trPr>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踏板力计</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PKH2.0</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HKM</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模拟量</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Pin 2： 信号正极，Pin 3 ：信号负极</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M16 4芯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jc w:val="center"/>
        </w:trPr>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位移传感器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SENST2-631</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ISAAC</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模拟量</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Pin 1：信号正极，Pin 2 &amp; Pin 3：信号负极和电源负极，Pin 4：电源正极</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LEMO FGG.1B.304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燃油流量计</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FCS-D-570</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GREGORY</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脉冲</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芯: 正极，外壳：负极</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BNC 母座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jc w:val="center"/>
        </w:trPr>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轮速传感器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MT1000/e</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Peisler</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脉冲</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Pin 1：电源负极和信号负极，Pin 3：信号正极，Pin 5：电源正极</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M16 5芯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jc w:val="center"/>
        </w:trPr>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压力传感器</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PHE167</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EFE</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模拟量</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Pin A ：电源正极，Pin B：信号正极，Pin C &amp; Pin D：电源负极和信号负极</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MIL-C26482-6 Pins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jc w:val="center"/>
        </w:trPr>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center"/>
              <w:rPr>
                <w:rFonts w:hint="eastAsia" w:ascii="宋体" w:hAnsi="宋体" w:eastAsia="宋体" w:cs="宋体"/>
                <w:b w:val="0"/>
                <w:bCs w:val="0"/>
                <w:i w:val="0"/>
                <w:iCs w:val="0"/>
                <w:color w:val="000000"/>
                <w:kern w:val="2"/>
                <w:sz w:val="24"/>
                <w:szCs w:val="24"/>
                <w:highlight w:val="none"/>
                <w:u w:val="none"/>
                <w:lang w:val="en-US" w:eastAsia="zh-CN" w:bidi="ar-SA"/>
              </w:rPr>
            </w:pPr>
            <w:r>
              <w:rPr>
                <w:rFonts w:hint="eastAsia" w:ascii="宋体" w:hAnsi="宋体" w:eastAsia="宋体" w:cs="宋体"/>
                <w:b w:val="0"/>
                <w:bCs w:val="0"/>
                <w:i w:val="0"/>
                <w:iCs w:val="0"/>
                <w:color w:val="000000"/>
                <w:kern w:val="0"/>
                <w:sz w:val="24"/>
                <w:szCs w:val="24"/>
                <w:highlight w:val="none"/>
                <w:u w:val="none"/>
                <w:lang w:val="en-US" w:eastAsia="zh-CN" w:bidi="ar"/>
              </w:rPr>
              <w:t>测力方向盘</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center"/>
              <w:rPr>
                <w:rFonts w:hint="eastAsia" w:ascii="宋体" w:hAnsi="宋体" w:eastAsia="宋体" w:cs="宋体"/>
                <w:b w:val="0"/>
                <w:bCs w:val="0"/>
                <w:i w:val="0"/>
                <w:iCs w:val="0"/>
                <w:color w:val="000000"/>
                <w:kern w:val="2"/>
                <w:sz w:val="24"/>
                <w:szCs w:val="24"/>
                <w:highlight w:val="none"/>
                <w:u w:val="none"/>
                <w:lang w:val="en-US" w:eastAsia="zh-CN" w:bidi="ar-SA"/>
              </w:rPr>
            </w:pPr>
            <w:r>
              <w:rPr>
                <w:rFonts w:hint="eastAsia" w:ascii="宋体" w:hAnsi="宋体" w:eastAsia="宋体" w:cs="宋体"/>
                <w:b w:val="0"/>
                <w:bCs w:val="0"/>
                <w:i w:val="0"/>
                <w:iCs w:val="0"/>
                <w:color w:val="000000"/>
                <w:kern w:val="0"/>
                <w:sz w:val="24"/>
                <w:szCs w:val="24"/>
                <w:highlight w:val="none"/>
                <w:u w:val="none"/>
                <w:lang w:val="en-US" w:eastAsia="zh-CN" w:bidi="ar"/>
              </w:rPr>
              <w:t>SENMSW</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center"/>
              <w:rPr>
                <w:rFonts w:hint="eastAsia" w:ascii="宋体" w:hAnsi="宋体" w:eastAsia="宋体" w:cs="宋体"/>
                <w:b w:val="0"/>
                <w:bCs w:val="0"/>
                <w:i w:val="0"/>
                <w:iCs w:val="0"/>
                <w:color w:val="000000"/>
                <w:kern w:val="2"/>
                <w:sz w:val="24"/>
                <w:szCs w:val="24"/>
                <w:highlight w:val="none"/>
                <w:u w:val="none"/>
                <w:lang w:val="en-US" w:eastAsia="zh-CN" w:bidi="ar-SA"/>
              </w:rPr>
            </w:pPr>
            <w:r>
              <w:rPr>
                <w:rFonts w:hint="eastAsia" w:ascii="宋体" w:hAnsi="宋体" w:eastAsia="宋体" w:cs="宋体"/>
                <w:b w:val="0"/>
                <w:bCs w:val="0"/>
                <w:i w:val="0"/>
                <w:iCs w:val="0"/>
                <w:color w:val="000000"/>
                <w:kern w:val="0"/>
                <w:sz w:val="24"/>
                <w:szCs w:val="24"/>
                <w:highlight w:val="none"/>
                <w:u w:val="none"/>
                <w:lang w:val="en-US" w:eastAsia="zh-CN" w:bidi="ar"/>
              </w:rPr>
              <w:t>Racelogic</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center"/>
              <w:rPr>
                <w:rFonts w:hint="eastAsia" w:ascii="宋体" w:hAnsi="宋体" w:eastAsia="宋体" w:cs="宋体"/>
                <w:b w:val="0"/>
                <w:bCs w:val="0"/>
                <w:i w:val="0"/>
                <w:iCs w:val="0"/>
                <w:color w:val="000000"/>
                <w:kern w:val="2"/>
                <w:sz w:val="24"/>
                <w:szCs w:val="24"/>
                <w:highlight w:val="none"/>
                <w:u w:val="none"/>
                <w:lang w:val="en-US" w:eastAsia="zh-CN" w:bidi="ar-SA"/>
              </w:rPr>
            </w:pPr>
            <w:r>
              <w:rPr>
                <w:rFonts w:hint="eastAsia" w:ascii="宋体" w:hAnsi="宋体" w:eastAsia="宋体" w:cs="宋体"/>
                <w:b w:val="0"/>
                <w:bCs w:val="0"/>
                <w:i w:val="0"/>
                <w:iCs w:val="0"/>
                <w:color w:val="000000"/>
                <w:kern w:val="0"/>
                <w:sz w:val="24"/>
                <w:szCs w:val="24"/>
                <w:highlight w:val="none"/>
                <w:u w:val="none"/>
                <w:lang w:val="en-US" w:eastAsia="zh-CN" w:bidi="ar"/>
              </w:rPr>
              <w:t>CAN</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center"/>
              <w:rPr>
                <w:rFonts w:hint="eastAsia" w:ascii="宋体" w:hAnsi="宋体" w:eastAsia="宋体" w:cs="宋体"/>
                <w:b w:val="0"/>
                <w:bCs w:val="0"/>
                <w:i w:val="0"/>
                <w:iCs w:val="0"/>
                <w:color w:val="000000"/>
                <w:kern w:val="2"/>
                <w:sz w:val="24"/>
                <w:szCs w:val="24"/>
                <w:highlight w:val="none"/>
                <w:u w:val="none"/>
                <w:lang w:val="en-US" w:eastAsia="zh-CN" w:bidi="ar-SA"/>
              </w:rPr>
            </w:pPr>
            <w:r>
              <w:rPr>
                <w:rFonts w:hint="eastAsia" w:ascii="宋体" w:hAnsi="宋体" w:eastAsia="宋体" w:cs="宋体"/>
                <w:b w:val="0"/>
                <w:bCs w:val="0"/>
                <w:i w:val="0"/>
                <w:iCs w:val="0"/>
                <w:color w:val="000000"/>
                <w:kern w:val="0"/>
                <w:sz w:val="24"/>
                <w:szCs w:val="24"/>
                <w:highlight w:val="none"/>
                <w:u w:val="none"/>
                <w:lang w:val="en-US" w:eastAsia="zh-CN" w:bidi="ar"/>
              </w:rPr>
              <w:t>Pin 3: CAN-H; Pin 4: CAN_L</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center"/>
              <w:rPr>
                <w:rFonts w:hint="eastAsia" w:ascii="宋体" w:hAnsi="宋体" w:eastAsia="宋体" w:cs="宋体"/>
                <w:b w:val="0"/>
                <w:bCs w:val="0"/>
                <w:i w:val="0"/>
                <w:iCs w:val="0"/>
                <w:color w:val="000000"/>
                <w:kern w:val="2"/>
                <w:sz w:val="24"/>
                <w:szCs w:val="24"/>
                <w:highlight w:val="none"/>
                <w:u w:val="none"/>
                <w:lang w:val="en-US" w:eastAsia="zh-CN" w:bidi="ar-SA"/>
              </w:rPr>
            </w:pPr>
            <w:r>
              <w:rPr>
                <w:rFonts w:hint="eastAsia" w:ascii="宋体" w:hAnsi="宋体" w:eastAsia="宋体" w:cs="宋体"/>
                <w:b w:val="0"/>
                <w:bCs w:val="0"/>
                <w:i w:val="0"/>
                <w:iCs w:val="0"/>
                <w:color w:val="000000"/>
                <w:kern w:val="0"/>
                <w:sz w:val="24"/>
                <w:szCs w:val="24"/>
                <w:highlight w:val="none"/>
                <w:u w:val="none"/>
                <w:lang w:val="en-US" w:eastAsia="zh-CN" w:bidi="ar"/>
              </w:rPr>
              <w:t>LEMO EGG.0B.304</w:t>
            </w:r>
          </w:p>
        </w:tc>
      </w:tr>
    </w:tbl>
    <w:p>
      <w:pPr>
        <w:pStyle w:val="111"/>
        <w:keepNext w:val="0"/>
        <w:keepLines w:val="0"/>
        <w:pageBreakBefore w:val="0"/>
        <w:widowControl w:val="0"/>
        <w:numPr>
          <w:ilvl w:val="0"/>
          <w:numId w:val="11"/>
        </w:numPr>
        <w:tabs>
          <w:tab w:val="left" w:pos="0"/>
          <w:tab w:val="clear" w:pos="420"/>
        </w:tabs>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lang w:val="en-US" w:eastAsia="zh-CN"/>
        </w:rPr>
        <w:t>终</w:t>
      </w:r>
      <w:r>
        <w:rPr>
          <w:rFonts w:hint="eastAsia" w:ascii="宋体" w:hAnsi="宋体" w:eastAsia="宋体" w:cs="宋体"/>
          <w:color w:val="auto"/>
          <w:kern w:val="2"/>
          <w:sz w:val="24"/>
          <w:szCs w:val="24"/>
          <w:highlight w:val="none"/>
          <w:lang w:val="en-US" w:eastAsia="zh-CN"/>
        </w:rPr>
        <w:t>验收</w:t>
      </w:r>
      <w:r>
        <w:rPr>
          <w:rFonts w:hint="eastAsia" w:ascii="宋体" w:hAnsi="宋体" w:eastAsia="宋体" w:cs="宋体"/>
          <w:color w:val="auto"/>
          <w:sz w:val="24"/>
          <w:szCs w:val="24"/>
          <w:highlight w:val="none"/>
          <w:lang w:val="en-US" w:eastAsia="zh-CN"/>
        </w:rPr>
        <w:t>前，本项目所涉及的数据采集器主机及各种传感器都需要提供CNAS认可的第三方机构出具的检测报告，保证测量范围及精度指标满足招标技术要求。</w:t>
      </w:r>
    </w:p>
    <w:p>
      <w:pPr>
        <w:pStyle w:val="111"/>
        <w:keepNext w:val="0"/>
        <w:keepLines w:val="0"/>
        <w:pageBreakBefore w:val="0"/>
        <w:widowControl w:val="0"/>
        <w:numPr>
          <w:ilvl w:val="0"/>
          <w:numId w:val="11"/>
        </w:numPr>
        <w:tabs>
          <w:tab w:val="left" w:pos="0"/>
          <w:tab w:val="clear" w:pos="420"/>
        </w:tabs>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投标文件须以中文为主，不能提供中英文以外其他语言资料。投标技术资料如果翻译出现差异，以中文为准。</w:t>
      </w:r>
    </w:p>
    <w:p>
      <w:pPr>
        <w:pStyle w:val="111"/>
        <w:keepNext w:val="0"/>
        <w:keepLines w:val="0"/>
        <w:pageBreakBefore w:val="0"/>
        <w:widowControl w:val="0"/>
        <w:numPr>
          <w:ilvl w:val="0"/>
          <w:numId w:val="11"/>
        </w:numPr>
        <w:tabs>
          <w:tab w:val="left" w:pos="0"/>
          <w:tab w:val="clear" w:pos="420"/>
        </w:tabs>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于各投标方的技术响应，如招标方对具体条款存疑，招标方有权要求进行实测验证。投标方在参与本项目时需提前做好测试准备，一旦收到招标方提出要求，需在3日内于招标方指定地点完成现场验证，无法完成验证则判定不具备响应能力甚至判定虚假应标。</w:t>
      </w:r>
    </w:p>
    <w:p>
      <w:pPr>
        <w:pStyle w:val="111"/>
        <w:keepNext w:val="0"/>
        <w:keepLines w:val="0"/>
        <w:pageBreakBefore w:val="0"/>
        <w:widowControl w:val="0"/>
        <w:numPr>
          <w:ilvl w:val="0"/>
          <w:numId w:val="11"/>
        </w:numPr>
        <w:tabs>
          <w:tab w:val="left" w:pos="0"/>
          <w:tab w:val="clear" w:pos="420"/>
        </w:tabs>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若具有独有技术或需要补充说明内容，请详细列出。</w:t>
      </w:r>
    </w:p>
    <w:p>
      <w:pPr>
        <w:pStyle w:val="111"/>
        <w:keepNext w:val="0"/>
        <w:keepLines w:val="0"/>
        <w:pageBreakBefore w:val="0"/>
        <w:widowControl w:val="0"/>
        <w:numPr>
          <w:ilvl w:val="0"/>
          <w:numId w:val="11"/>
        </w:numPr>
        <w:tabs>
          <w:tab w:val="left" w:pos="0"/>
          <w:tab w:val="clear" w:pos="420"/>
        </w:tabs>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招标方对该技术要求具有最终解释权。</w:t>
      </w:r>
    </w:p>
    <w:p>
      <w:pPr>
        <w:pStyle w:val="111"/>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rPr>
        <w:t>数据采集器</w:t>
      </w:r>
      <w:r>
        <w:rPr>
          <w:rFonts w:hint="eastAsia" w:ascii="宋体" w:hAnsi="宋体" w:eastAsia="宋体" w:cs="宋体"/>
          <w:b/>
          <w:bCs/>
          <w:color w:val="auto"/>
          <w:sz w:val="24"/>
          <w:szCs w:val="24"/>
          <w:highlight w:val="none"/>
          <w:lang w:val="en-US" w:eastAsia="zh-CN"/>
        </w:rPr>
        <w:t>技术要求</w:t>
      </w:r>
    </w:p>
    <w:p>
      <w:pPr>
        <w:pStyle w:val="111"/>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数据采集器总体配置要求</w:t>
      </w:r>
    </w:p>
    <w:p>
      <w:pPr>
        <w:pStyle w:val="111"/>
        <w:keepNext w:val="0"/>
        <w:keepLines w:val="0"/>
        <w:pageBreakBefore w:val="0"/>
        <w:widowControl w:val="0"/>
        <w:numPr>
          <w:ilvl w:val="0"/>
          <w:numId w:val="13"/>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数量：5套；</w:t>
      </w:r>
    </w:p>
    <w:p>
      <w:pPr>
        <w:pStyle w:val="111"/>
        <w:keepNext w:val="0"/>
        <w:keepLines w:val="0"/>
        <w:pageBreakBefore w:val="0"/>
        <w:widowControl w:val="0"/>
        <w:numPr>
          <w:ilvl w:val="0"/>
          <w:numId w:val="13"/>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工作温度范围：-30～50℃；</w:t>
      </w:r>
    </w:p>
    <w:p>
      <w:pPr>
        <w:pStyle w:val="111"/>
        <w:keepNext w:val="0"/>
        <w:keepLines w:val="0"/>
        <w:pageBreakBefore w:val="0"/>
        <w:widowControl w:val="0"/>
        <w:numPr>
          <w:ilvl w:val="0"/>
          <w:numId w:val="13"/>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套采集器需至少配备：1个主机箱、1台驾驶员车速显示器、16路模拟量通道、4路频率（脉冲）通道、4路CAN通道、1个RTK差分技术速度模块、无线通讯模块1个、触发器1个、数据处理器1台、车载电源调配模块1个、软件1套及各种连接线缆等。</w:t>
      </w:r>
    </w:p>
    <w:p>
      <w:pPr>
        <w:pStyle w:val="111"/>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主机箱</w:t>
      </w:r>
    </w:p>
    <w:p>
      <w:pPr>
        <w:pStyle w:val="111"/>
        <w:keepNext w:val="0"/>
        <w:keepLines w:val="0"/>
        <w:pageBreakBefore w:val="0"/>
        <w:widowControl w:val="0"/>
        <w:numPr>
          <w:ilvl w:val="0"/>
          <w:numId w:val="14"/>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数据采集器应为整机原装进口产品；</w:t>
      </w:r>
    </w:p>
    <w:p>
      <w:pPr>
        <w:pStyle w:val="111"/>
        <w:keepNext w:val="0"/>
        <w:keepLines w:val="0"/>
        <w:pageBreakBefore w:val="0"/>
        <w:widowControl w:val="0"/>
        <w:numPr>
          <w:ilvl w:val="0"/>
          <w:numId w:val="14"/>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多个数据采集器可串联</w:t>
      </w:r>
      <w:r>
        <w:rPr>
          <w:rFonts w:hint="eastAsia" w:ascii="宋体" w:hAnsi="宋体" w:eastAsia="宋体" w:cs="宋体"/>
          <w:color w:val="auto"/>
          <w:sz w:val="24"/>
          <w:szCs w:val="24"/>
          <w:highlight w:val="none"/>
        </w:rPr>
        <w:t>并行同步采样</w:t>
      </w:r>
      <w:r>
        <w:rPr>
          <w:rFonts w:hint="eastAsia" w:ascii="宋体" w:hAnsi="宋体" w:eastAsia="宋体" w:cs="宋体"/>
          <w:color w:val="auto"/>
          <w:sz w:val="24"/>
          <w:szCs w:val="24"/>
          <w:highlight w:val="none"/>
          <w:lang w:eastAsia="zh-CN"/>
        </w:rPr>
        <w:t>；</w:t>
      </w:r>
    </w:p>
    <w:p>
      <w:pPr>
        <w:pStyle w:val="111"/>
        <w:keepNext w:val="0"/>
        <w:keepLines w:val="0"/>
        <w:pageBreakBefore w:val="0"/>
        <w:widowControl w:val="0"/>
        <w:numPr>
          <w:ilvl w:val="0"/>
          <w:numId w:val="14"/>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可扩展模拟量、CAN、频率等多种模块；</w:t>
      </w:r>
    </w:p>
    <w:p>
      <w:pPr>
        <w:pStyle w:val="111"/>
        <w:keepNext w:val="0"/>
        <w:keepLines w:val="0"/>
        <w:pageBreakBefore w:val="0"/>
        <w:widowControl w:val="0"/>
        <w:numPr>
          <w:ilvl w:val="0"/>
          <w:numId w:val="14"/>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内置高性能处理器，以及不低于120G存储空间，具备数据采集、存储、传输及处理功能；</w:t>
      </w:r>
    </w:p>
    <w:p>
      <w:pPr>
        <w:pStyle w:val="111"/>
        <w:keepNext w:val="0"/>
        <w:keepLines w:val="0"/>
        <w:pageBreakBefore w:val="0"/>
        <w:widowControl w:val="0"/>
        <w:numPr>
          <w:ilvl w:val="0"/>
          <w:numId w:val="14"/>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采集器所有通道均为独立A/D、并行同步采样；</w:t>
      </w:r>
    </w:p>
    <w:p>
      <w:pPr>
        <w:pStyle w:val="111"/>
        <w:keepNext w:val="0"/>
        <w:keepLines w:val="0"/>
        <w:pageBreakBefore w:val="0"/>
        <w:widowControl w:val="0"/>
        <w:numPr>
          <w:ilvl w:val="0"/>
          <w:numId w:val="14"/>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整体便携，尺寸应控制在350×150×270mm以内，重量不大于5kg；</w:t>
      </w:r>
    </w:p>
    <w:p>
      <w:pPr>
        <w:pStyle w:val="111"/>
        <w:keepNext w:val="0"/>
        <w:keepLines w:val="0"/>
        <w:pageBreakBefore w:val="0"/>
        <w:widowControl w:val="0"/>
        <w:numPr>
          <w:ilvl w:val="0"/>
          <w:numId w:val="14"/>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提供车载固定支架。</w:t>
      </w:r>
    </w:p>
    <w:p>
      <w:pPr>
        <w:pStyle w:val="111"/>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驾驶员用显示器</w:t>
      </w:r>
    </w:p>
    <w:p>
      <w:pPr>
        <w:pStyle w:val="111"/>
        <w:keepNext w:val="0"/>
        <w:keepLines w:val="0"/>
        <w:pageBreakBefore w:val="0"/>
        <w:widowControl w:val="0"/>
        <w:numPr>
          <w:ilvl w:val="0"/>
          <w:numId w:val="15"/>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车速显示屏，可固定在车辆前挡风玻璃处便于驾驶员观看；</w:t>
      </w:r>
    </w:p>
    <w:p>
      <w:pPr>
        <w:pStyle w:val="111"/>
        <w:keepNext w:val="0"/>
        <w:keepLines w:val="0"/>
        <w:pageBreakBefore w:val="0"/>
        <w:widowControl w:val="0"/>
        <w:numPr>
          <w:ilvl w:val="0"/>
          <w:numId w:val="15"/>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速度显示分辨率至少为0.1km/h。</w:t>
      </w:r>
    </w:p>
    <w:p>
      <w:pPr>
        <w:pStyle w:val="111"/>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模拟量输入模块</w:t>
      </w:r>
    </w:p>
    <w:p>
      <w:pPr>
        <w:pStyle w:val="111"/>
        <w:keepNext w:val="0"/>
        <w:keepLines w:val="0"/>
        <w:pageBreakBefore w:val="0"/>
        <w:widowControl w:val="0"/>
        <w:numPr>
          <w:ilvl w:val="0"/>
          <w:numId w:val="16"/>
        </w:numPr>
        <w:tabs>
          <w:tab w:val="left" w:pos="0"/>
        </w:tabs>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通道数≥16，通道间相互隔离，每通道并行；</w:t>
      </w:r>
    </w:p>
    <w:p>
      <w:pPr>
        <w:pStyle w:val="111"/>
        <w:keepNext w:val="0"/>
        <w:keepLines w:val="0"/>
        <w:pageBreakBefore w:val="0"/>
        <w:widowControl w:val="0"/>
        <w:numPr>
          <w:ilvl w:val="0"/>
          <w:numId w:val="16"/>
        </w:numPr>
        <w:tabs>
          <w:tab w:val="left" w:pos="0"/>
        </w:tabs>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能采集多种传感器信号，信号输入类型：IEPE，电压，温度；</w:t>
      </w:r>
    </w:p>
    <w:p>
      <w:pPr>
        <w:pStyle w:val="111"/>
        <w:keepNext w:val="0"/>
        <w:keepLines w:val="0"/>
        <w:pageBreakBefore w:val="0"/>
        <w:widowControl w:val="0"/>
        <w:numPr>
          <w:ilvl w:val="0"/>
          <w:numId w:val="16"/>
        </w:numPr>
        <w:tabs>
          <w:tab w:val="left" w:pos="0"/>
        </w:tabs>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★电压输入范围</w:t>
      </w:r>
      <w:r>
        <w:rPr>
          <w:rFonts w:hint="eastAsia" w:ascii="宋体" w:hAnsi="宋体" w:eastAsia="宋体" w:cs="宋体"/>
          <w:color w:val="auto"/>
          <w:highlight w:val="none"/>
          <w:lang w:val="en-US" w:eastAsia="zh-CN"/>
        </w:rPr>
        <w:t>至少为</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1</w:t>
      </w:r>
      <w:r>
        <w:rPr>
          <w:rFonts w:hint="eastAsia" w:ascii="宋体" w:hAnsi="宋体" w:eastAsia="宋体" w:cs="宋体"/>
          <w:color w:val="auto"/>
          <w:highlight w:val="none"/>
        </w:rPr>
        <w:t>0mV</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±10V；</w:t>
      </w:r>
    </w:p>
    <w:p>
      <w:pPr>
        <w:pStyle w:val="111"/>
        <w:keepNext w:val="0"/>
        <w:keepLines w:val="0"/>
        <w:pageBreakBefore w:val="0"/>
        <w:widowControl w:val="0"/>
        <w:numPr>
          <w:ilvl w:val="0"/>
          <w:numId w:val="16"/>
        </w:numPr>
        <w:tabs>
          <w:tab w:val="left" w:pos="0"/>
        </w:tabs>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支持</w:t>
      </w:r>
      <w:r>
        <w:rPr>
          <w:rFonts w:hint="eastAsia" w:ascii="宋体" w:hAnsi="宋体" w:eastAsia="宋体" w:cs="宋体"/>
          <w:color w:val="auto"/>
          <w:highlight w:val="none"/>
        </w:rPr>
        <w:t>IEPE</w:t>
      </w:r>
      <w:r>
        <w:rPr>
          <w:rFonts w:hint="eastAsia" w:ascii="宋体" w:hAnsi="宋体" w:eastAsia="宋体" w:cs="宋体"/>
          <w:color w:val="auto"/>
          <w:highlight w:val="none"/>
          <w:lang w:val="en-US" w:eastAsia="zh-CN"/>
        </w:rPr>
        <w:t>传感器</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恒流</w:t>
      </w:r>
      <w:r>
        <w:rPr>
          <w:rFonts w:hint="eastAsia" w:ascii="宋体" w:hAnsi="宋体" w:eastAsia="宋体" w:cs="宋体"/>
          <w:color w:val="auto"/>
          <w:highlight w:val="none"/>
        </w:rPr>
        <w:t>激励4mA；</w:t>
      </w:r>
    </w:p>
    <w:p>
      <w:pPr>
        <w:pStyle w:val="111"/>
        <w:keepNext w:val="0"/>
        <w:keepLines w:val="0"/>
        <w:pageBreakBefore w:val="0"/>
        <w:widowControl w:val="0"/>
        <w:numPr>
          <w:ilvl w:val="0"/>
          <w:numId w:val="16"/>
        </w:numPr>
        <w:tabs>
          <w:tab w:val="left" w:pos="0"/>
        </w:tabs>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★采样率：每通道</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200kHz，抗混叠滤波；</w:t>
      </w:r>
    </w:p>
    <w:p>
      <w:pPr>
        <w:pStyle w:val="111"/>
        <w:keepNext w:val="0"/>
        <w:keepLines w:val="0"/>
        <w:pageBreakBefore w:val="0"/>
        <w:widowControl w:val="0"/>
        <w:numPr>
          <w:ilvl w:val="0"/>
          <w:numId w:val="16"/>
        </w:numPr>
        <w:tabs>
          <w:tab w:val="left" w:pos="0"/>
        </w:tabs>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★采集精度：≤0.0</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 of reading</w:t>
      </w:r>
      <w:r>
        <w:rPr>
          <w:rFonts w:hint="eastAsia" w:ascii="宋体" w:hAnsi="宋体" w:eastAsia="宋体" w:cs="宋体"/>
          <w:color w:val="auto"/>
          <w:highlight w:val="none"/>
          <w:lang w:eastAsia="zh-CN"/>
        </w:rPr>
        <w:t>。</w:t>
      </w:r>
    </w:p>
    <w:p>
      <w:pPr>
        <w:pStyle w:val="111"/>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频率（脉冲）输入模块</w:t>
      </w:r>
    </w:p>
    <w:p>
      <w:pPr>
        <w:pStyle w:val="111"/>
        <w:keepNext w:val="0"/>
        <w:keepLines w:val="0"/>
        <w:pageBreakBefore w:val="0"/>
        <w:widowControl w:val="0"/>
        <w:numPr>
          <w:ilvl w:val="0"/>
          <w:numId w:val="17"/>
        </w:numPr>
        <w:tabs>
          <w:tab w:val="left" w:pos="0"/>
        </w:tabs>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通道数≥4；</w:t>
      </w:r>
    </w:p>
    <w:p>
      <w:pPr>
        <w:pStyle w:val="111"/>
        <w:keepNext w:val="0"/>
        <w:keepLines w:val="0"/>
        <w:pageBreakBefore w:val="0"/>
        <w:widowControl w:val="0"/>
        <w:numPr>
          <w:ilvl w:val="0"/>
          <w:numId w:val="17"/>
        </w:numPr>
        <w:tabs>
          <w:tab w:val="left" w:pos="0"/>
        </w:tabs>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可测量脉冲、频率、转速、轮速、燃料消耗量，可输出脉冲累计值；</w:t>
      </w:r>
    </w:p>
    <w:p>
      <w:pPr>
        <w:pStyle w:val="111"/>
        <w:keepNext w:val="0"/>
        <w:keepLines w:val="0"/>
        <w:pageBreakBefore w:val="0"/>
        <w:widowControl w:val="0"/>
        <w:numPr>
          <w:ilvl w:val="0"/>
          <w:numId w:val="17"/>
        </w:numPr>
        <w:tabs>
          <w:tab w:val="left" w:pos="0"/>
        </w:tabs>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可通过触发器置零。</w:t>
      </w:r>
    </w:p>
    <w:p>
      <w:pPr>
        <w:pStyle w:val="111"/>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CAN模块</w:t>
      </w:r>
    </w:p>
    <w:p>
      <w:pPr>
        <w:pStyle w:val="111"/>
        <w:keepNext w:val="0"/>
        <w:keepLines w:val="0"/>
        <w:pageBreakBefore w:val="0"/>
        <w:widowControl w:val="0"/>
        <w:numPr>
          <w:ilvl w:val="0"/>
          <w:numId w:val="18"/>
        </w:numPr>
        <w:tabs>
          <w:tab w:val="left" w:pos="0"/>
        </w:tabs>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通道数≥4；</w:t>
      </w:r>
    </w:p>
    <w:p>
      <w:pPr>
        <w:pStyle w:val="111"/>
        <w:keepNext w:val="0"/>
        <w:keepLines w:val="0"/>
        <w:pageBreakBefore w:val="0"/>
        <w:widowControl w:val="0"/>
        <w:numPr>
          <w:ilvl w:val="0"/>
          <w:numId w:val="18"/>
        </w:numPr>
        <w:tabs>
          <w:tab w:val="left" w:pos="0"/>
        </w:tabs>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用于采集整车CAN、惯导、测力方向盘、温度模块等相关信息；</w:t>
      </w:r>
    </w:p>
    <w:p>
      <w:pPr>
        <w:pStyle w:val="111"/>
        <w:keepNext w:val="0"/>
        <w:keepLines w:val="0"/>
        <w:pageBreakBefore w:val="0"/>
        <w:widowControl w:val="0"/>
        <w:numPr>
          <w:ilvl w:val="0"/>
          <w:numId w:val="18"/>
        </w:numPr>
        <w:tabs>
          <w:tab w:val="left" w:pos="0"/>
        </w:tabs>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应能接入我司现有的RT惯导、ABD机器人、车辆OBD的数据，配备相应的连接线。</w:t>
      </w:r>
    </w:p>
    <w:p>
      <w:pPr>
        <w:pStyle w:val="111"/>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GNSS</w:t>
      </w:r>
      <w:r>
        <w:rPr>
          <w:rFonts w:hint="eastAsia" w:ascii="宋体" w:hAnsi="宋体" w:eastAsia="宋体" w:cs="宋体"/>
          <w:b/>
          <w:bCs/>
          <w:i w:val="0"/>
          <w:iCs w:val="0"/>
          <w:color w:val="000000"/>
          <w:kern w:val="0"/>
          <w:sz w:val="24"/>
          <w:szCs w:val="24"/>
          <w:highlight w:val="none"/>
          <w:u w:val="none"/>
          <w:lang w:val="en-US" w:eastAsia="zh-CN" w:bidi="ar"/>
        </w:rPr>
        <w:t>速度模块</w:t>
      </w:r>
    </w:p>
    <w:p>
      <w:pPr>
        <w:pStyle w:val="111"/>
        <w:keepNext w:val="0"/>
        <w:keepLines w:val="0"/>
        <w:pageBreakBefore w:val="0"/>
        <w:widowControl w:val="0"/>
        <w:numPr>
          <w:ilvl w:val="0"/>
          <w:numId w:val="19"/>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GNSS刷新率：100Hz；</w:t>
      </w:r>
    </w:p>
    <w:p>
      <w:pPr>
        <w:pStyle w:val="111"/>
        <w:keepNext w:val="0"/>
        <w:keepLines w:val="0"/>
        <w:pageBreakBefore w:val="0"/>
        <w:widowControl w:val="0"/>
        <w:numPr>
          <w:ilvl w:val="0"/>
          <w:numId w:val="19"/>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速度精度：不低于0.1km/h，时间测量精度：0.01s；</w:t>
      </w:r>
    </w:p>
    <w:p>
      <w:pPr>
        <w:pStyle w:val="111"/>
        <w:keepNext w:val="0"/>
        <w:keepLines w:val="0"/>
        <w:pageBreakBefore w:val="0"/>
        <w:widowControl w:val="0"/>
        <w:numPr>
          <w:ilvl w:val="0"/>
          <w:numId w:val="19"/>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支持RTK差分技术，通过该技术配合差分基站将绝对定位精度提升至2cm或更高。</w:t>
      </w:r>
    </w:p>
    <w:p>
      <w:pPr>
        <w:pStyle w:val="111"/>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无线通讯模块</w:t>
      </w:r>
    </w:p>
    <w:p>
      <w:pPr>
        <w:pStyle w:val="111"/>
        <w:keepNext w:val="0"/>
        <w:keepLines w:val="0"/>
        <w:pageBreakBefore w:val="0"/>
        <w:widowControl w:val="0"/>
        <w:numPr>
          <w:ilvl w:val="0"/>
          <w:numId w:val="20"/>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与招标方现有差分基站（型号：VBBS5，厂家：Racelogic)适配；</w:t>
      </w:r>
    </w:p>
    <w:p>
      <w:pPr>
        <w:pStyle w:val="111"/>
        <w:keepNext w:val="0"/>
        <w:keepLines w:val="0"/>
        <w:pageBreakBefore w:val="0"/>
        <w:widowControl w:val="0"/>
        <w:numPr>
          <w:ilvl w:val="0"/>
          <w:numId w:val="20"/>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通过该技术将GNSS速度模块绝对定位精度提升至2cm或更高。</w:t>
      </w:r>
    </w:p>
    <w:p>
      <w:pPr>
        <w:pStyle w:val="111"/>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触发器模块</w:t>
      </w:r>
    </w:p>
    <w:p>
      <w:pPr>
        <w:pStyle w:val="111"/>
        <w:keepNext w:val="0"/>
        <w:keepLines w:val="0"/>
        <w:pageBreakBefore w:val="0"/>
        <w:widowControl w:val="0"/>
        <w:numPr>
          <w:ilvl w:val="0"/>
          <w:numId w:val="21"/>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highlight w:val="none"/>
          <w:lang w:val="en-US" w:eastAsia="zh-CN"/>
        </w:rPr>
        <w:t>可用于燃料消耗量累计值触发置零；</w:t>
      </w:r>
    </w:p>
    <w:p>
      <w:pPr>
        <w:pStyle w:val="111"/>
        <w:keepNext w:val="0"/>
        <w:keepLines w:val="0"/>
        <w:pageBreakBefore w:val="0"/>
        <w:widowControl w:val="0"/>
        <w:numPr>
          <w:ilvl w:val="0"/>
          <w:numId w:val="21"/>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highlight w:val="none"/>
          <w:lang w:val="en-US" w:eastAsia="zh-CN"/>
        </w:rPr>
        <w:t>同时能方便采集制动触发信号，完成GB 12676规定的常规制动试验。</w:t>
      </w:r>
    </w:p>
    <w:p>
      <w:pPr>
        <w:pStyle w:val="111"/>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数据处理器</w:t>
      </w:r>
    </w:p>
    <w:p>
      <w:pPr>
        <w:pStyle w:val="111"/>
        <w:keepNext w:val="0"/>
        <w:keepLines w:val="0"/>
        <w:pageBreakBefore w:val="0"/>
        <w:widowControl w:val="0"/>
        <w:numPr>
          <w:ilvl w:val="0"/>
          <w:numId w:val="22"/>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计算机</w:t>
      </w:r>
      <w:r>
        <w:rPr>
          <w:rFonts w:hint="eastAsia" w:ascii="宋体" w:hAnsi="宋体" w:eastAsia="宋体" w:cs="宋体"/>
          <w:color w:val="auto"/>
          <w:sz w:val="24"/>
          <w:szCs w:val="24"/>
          <w:highlight w:val="none"/>
          <w:lang w:val="en-US" w:eastAsia="zh-CN"/>
        </w:rPr>
        <w:t>处理器为i7处理器或以上水平，1T及以上的固态硬盘，16GB内存，2G显存独立显卡；</w:t>
      </w:r>
    </w:p>
    <w:p>
      <w:pPr>
        <w:pStyle w:val="111"/>
        <w:keepNext w:val="0"/>
        <w:keepLines w:val="0"/>
        <w:pageBreakBefore w:val="0"/>
        <w:widowControl w:val="0"/>
        <w:numPr>
          <w:ilvl w:val="0"/>
          <w:numId w:val="22"/>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内置电池不小于6芯95Wh，配车载电源适配器（输入电压12/24VDC自适应）和220VAC电源适配器；</w:t>
      </w:r>
    </w:p>
    <w:p>
      <w:pPr>
        <w:pStyle w:val="111"/>
        <w:keepNext w:val="0"/>
        <w:keepLines w:val="0"/>
        <w:pageBreakBefore w:val="0"/>
        <w:widowControl w:val="0"/>
        <w:numPr>
          <w:ilvl w:val="0"/>
          <w:numId w:val="22"/>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rPr>
        <w:t>计</w:t>
      </w:r>
      <w:r>
        <w:rPr>
          <w:rFonts w:hint="eastAsia" w:ascii="宋体" w:hAnsi="宋体" w:eastAsia="宋体" w:cs="宋体"/>
          <w:color w:val="auto"/>
          <w:sz w:val="24"/>
          <w:szCs w:val="24"/>
          <w:highlight w:val="none"/>
          <w:lang w:val="en-US" w:eastAsia="zh-CN"/>
        </w:rPr>
        <w:t>算机需预装采集处理软件，与数据采集器连接可进行实时数据通信和控制。</w:t>
      </w:r>
    </w:p>
    <w:p>
      <w:pPr>
        <w:pStyle w:val="111"/>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车载电源调配模块</w:t>
      </w:r>
    </w:p>
    <w:p>
      <w:pPr>
        <w:pStyle w:val="111"/>
        <w:keepNext w:val="0"/>
        <w:keepLines w:val="0"/>
        <w:pageBreakBefore w:val="0"/>
        <w:widowControl w:val="0"/>
        <w:numPr>
          <w:ilvl w:val="0"/>
          <w:numId w:val="23"/>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车载电源调配模块应提供车载电瓶直接取电和点烟口取电2种方式；</w:t>
      </w:r>
    </w:p>
    <w:p>
      <w:pPr>
        <w:pStyle w:val="111"/>
        <w:keepNext w:val="0"/>
        <w:keepLines w:val="0"/>
        <w:pageBreakBefore w:val="0"/>
        <w:widowControl w:val="0"/>
        <w:numPr>
          <w:ilvl w:val="0"/>
          <w:numId w:val="23"/>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车载电瓶取电方式线长≥10m，点烟口取电方式线长≥3m，线缆与模块为分体式，使用时插接应牢靠；</w:t>
      </w:r>
    </w:p>
    <w:p>
      <w:pPr>
        <w:pStyle w:val="111"/>
        <w:keepNext w:val="0"/>
        <w:keepLines w:val="0"/>
        <w:pageBreakBefore w:val="0"/>
        <w:widowControl w:val="0"/>
        <w:numPr>
          <w:ilvl w:val="0"/>
          <w:numId w:val="23"/>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每个车载电源调配模块应至少提供3个点烟器口作为供电口，并能给系统所有设备和传感器供电；</w:t>
      </w:r>
    </w:p>
    <w:p>
      <w:pPr>
        <w:pStyle w:val="111"/>
        <w:keepNext w:val="0"/>
        <w:keepLines w:val="0"/>
        <w:pageBreakBefore w:val="0"/>
        <w:widowControl w:val="0"/>
        <w:numPr>
          <w:ilvl w:val="0"/>
          <w:numId w:val="23"/>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车载电源调配模块整体应做好屏蔽，防止其工作时干扰系统其他传感器信号正常工作。</w:t>
      </w:r>
    </w:p>
    <w:p>
      <w:pPr>
        <w:pStyle w:val="111"/>
        <w:keepNext w:val="0"/>
        <w:keepLines w:val="0"/>
        <w:pageBreakBefore w:val="0"/>
        <w:widowControl w:val="0"/>
        <w:numPr>
          <w:ilvl w:val="0"/>
          <w:numId w:val="23"/>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配备相关线缆确保所有设备正常运行。</w:t>
      </w:r>
    </w:p>
    <w:p>
      <w:pPr>
        <w:pStyle w:val="111"/>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采集及分析软件</w:t>
      </w:r>
    </w:p>
    <w:p>
      <w:pPr>
        <w:pStyle w:val="111"/>
        <w:keepNext w:val="0"/>
        <w:keepLines w:val="0"/>
        <w:pageBreakBefore w:val="0"/>
        <w:widowControl w:val="0"/>
        <w:numPr>
          <w:ilvl w:val="0"/>
          <w:numId w:val="24"/>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软件可实现对全部传感器及虚拟通道参数进行设置及通道置零；</w:t>
      </w:r>
    </w:p>
    <w:p>
      <w:pPr>
        <w:pStyle w:val="111"/>
        <w:keepNext w:val="0"/>
        <w:keepLines w:val="0"/>
        <w:pageBreakBefore w:val="0"/>
        <w:widowControl w:val="0"/>
        <w:numPr>
          <w:ilvl w:val="0"/>
          <w:numId w:val="24"/>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软件需能对测试项目进行设置，包括项目名称、测试初始条件、测试结束条件、测量步长等，根据项目设置条件，试验结束后可以直接得出试验结果；</w:t>
      </w:r>
    </w:p>
    <w:p>
      <w:pPr>
        <w:pStyle w:val="111"/>
        <w:keepNext w:val="0"/>
        <w:keepLines w:val="0"/>
        <w:pageBreakBefore w:val="0"/>
        <w:widowControl w:val="0"/>
        <w:numPr>
          <w:ilvl w:val="0"/>
          <w:numId w:val="24"/>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软件测试界面可任意添加变量显示窗口，用户可添加及编辑虚拟通道（计算通道)，变量显示窗口刷新率可调节；</w:t>
      </w:r>
    </w:p>
    <w:p>
      <w:pPr>
        <w:pStyle w:val="111"/>
        <w:keepNext w:val="0"/>
        <w:keepLines w:val="0"/>
        <w:pageBreakBefore w:val="0"/>
        <w:widowControl w:val="0"/>
        <w:numPr>
          <w:ilvl w:val="0"/>
          <w:numId w:val="24"/>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软件需同时具有变量在线回看功能。变量参数回看界面，可在同一窗口同时添加各变量曲线，可对各变量曲线显示颜色、纵轴显示比例可进行自定义；可框选各曲线的任意区间，查看区间内各变量统计数据；</w:t>
      </w:r>
    </w:p>
    <w:p>
      <w:pPr>
        <w:pStyle w:val="111"/>
        <w:keepNext w:val="0"/>
        <w:keepLines w:val="0"/>
        <w:pageBreakBefore w:val="0"/>
        <w:widowControl w:val="0"/>
        <w:numPr>
          <w:ilvl w:val="0"/>
          <w:numId w:val="24"/>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软件需具有将原始数据与试验结果转换成Excel、Txt、Doc等格式的功能，能自动生成测试结果曲线图（时间-距离、时间-速度、距离-速度、时间-速度-燃料消耗量）；</w:t>
      </w:r>
    </w:p>
    <w:p>
      <w:pPr>
        <w:pStyle w:val="111"/>
        <w:keepNext w:val="0"/>
        <w:keepLines w:val="0"/>
        <w:pageBreakBefore w:val="0"/>
        <w:widowControl w:val="0"/>
        <w:numPr>
          <w:ilvl w:val="0"/>
          <w:numId w:val="24"/>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软件需具备数据处理分析、数据统计（时间、里程、车速）、车辆运动轨迹显示及存储等功能（事后查询能显示任意时间的车速、里程、车辆轨迹等）；</w:t>
      </w:r>
    </w:p>
    <w:p>
      <w:pPr>
        <w:pStyle w:val="111"/>
        <w:keepNext w:val="0"/>
        <w:keepLines w:val="0"/>
        <w:pageBreakBefore w:val="0"/>
        <w:widowControl w:val="0"/>
        <w:numPr>
          <w:ilvl w:val="0"/>
          <w:numId w:val="24"/>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具备CAN离线采集分析功能，既可以在数据采集阶段不导入.dbc文件，在数据分析阶段再导入，方便对相应数据进行解析；</w:t>
      </w:r>
    </w:p>
    <w:p>
      <w:pPr>
        <w:pStyle w:val="111"/>
        <w:keepNext w:val="0"/>
        <w:keepLines w:val="0"/>
        <w:pageBreakBefore w:val="0"/>
        <w:widowControl w:val="0"/>
        <w:numPr>
          <w:ilvl w:val="0"/>
          <w:numId w:val="24"/>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具备依照GB/T 6323、GB 12676完成操纵稳定性、制动及平顺性试验数据采集能力；</w:t>
      </w:r>
    </w:p>
    <w:p>
      <w:pPr>
        <w:pStyle w:val="111"/>
        <w:keepNext w:val="0"/>
        <w:keepLines w:val="0"/>
        <w:pageBreakBefore w:val="0"/>
        <w:widowControl w:val="0"/>
        <w:numPr>
          <w:ilvl w:val="0"/>
          <w:numId w:val="24"/>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highlight w:val="none"/>
        </w:rPr>
        <w:t>★</w:t>
      </w:r>
      <w:r>
        <w:rPr>
          <w:rFonts w:hint="eastAsia" w:ascii="宋体" w:hAnsi="宋体" w:eastAsia="宋体" w:cs="宋体"/>
          <w:color w:val="auto"/>
          <w:sz w:val="24"/>
          <w:szCs w:val="24"/>
          <w:highlight w:val="none"/>
          <w:lang w:val="en-US" w:eastAsia="zh-CN"/>
        </w:rPr>
        <w:t>具备操纵稳定性试验数据分析处理能力，试验项目需包括GB/T 6323-2014中所涉及的稳态回转、转向回正、转向轻便性、蛇行、转向瞬态响应（角阶跃和角脉冲输入）、转向盘中心区操稳等；</w:t>
      </w:r>
    </w:p>
    <w:p>
      <w:pPr>
        <w:pStyle w:val="111"/>
        <w:keepNext w:val="0"/>
        <w:keepLines w:val="0"/>
        <w:pageBreakBefore w:val="0"/>
        <w:widowControl w:val="0"/>
        <w:numPr>
          <w:ilvl w:val="0"/>
          <w:numId w:val="24"/>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软件在购买设备的同时应取得使用版权，应能在不同的计算机上同时安装使用，后期应免费给予升级。</w:t>
      </w:r>
    </w:p>
    <w:p>
      <w:pPr>
        <w:pStyle w:val="111"/>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传感器配件技术要求</w:t>
      </w:r>
    </w:p>
    <w:p>
      <w:pPr>
        <w:pStyle w:val="111"/>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超级</w:t>
      </w:r>
      <w:r>
        <w:rPr>
          <w:rFonts w:hint="eastAsia" w:ascii="宋体" w:hAnsi="宋体" w:eastAsia="宋体" w:cs="宋体"/>
          <w:b/>
          <w:bCs/>
          <w:color w:val="auto"/>
          <w:sz w:val="24"/>
          <w:szCs w:val="24"/>
          <w:highlight w:val="none"/>
        </w:rPr>
        <w:t>惯导</w:t>
      </w:r>
    </w:p>
    <w:p>
      <w:pPr>
        <w:pStyle w:val="111"/>
        <w:keepNext w:val="0"/>
        <w:keepLines w:val="0"/>
        <w:pageBreakBefore w:val="0"/>
        <w:widowControl w:val="0"/>
        <w:numPr>
          <w:ilvl w:val="0"/>
          <w:numId w:val="26"/>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规格型号为英国OXTS RT3000v3双天线版；</w:t>
      </w:r>
    </w:p>
    <w:p>
      <w:pPr>
        <w:pStyle w:val="111"/>
        <w:keepNext w:val="0"/>
        <w:keepLines w:val="0"/>
        <w:pageBreakBefore w:val="0"/>
        <w:numPr>
          <w:ilvl w:val="0"/>
          <w:numId w:val="26"/>
        </w:numPr>
        <w:tabs>
          <w:tab w:val="left" w:pos="0"/>
        </w:tabs>
        <w:kinsoku/>
        <w:wordWrap/>
        <w:overflowPunct/>
        <w:topLinePunct w:val="0"/>
        <w:autoSpaceDE/>
        <w:autoSpaceDN/>
        <w:bidi w:val="0"/>
        <w:adjustRightInd/>
        <w:snapToGrid/>
        <w:spacing w:line="360" w:lineRule="auto"/>
        <w:ind w:left="0"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w:t>
      </w:r>
      <w:r>
        <w:rPr>
          <w:rFonts w:hint="eastAsia" w:ascii="宋体" w:hAnsi="宋体" w:eastAsia="宋体" w:cs="宋体"/>
          <w:color w:val="auto"/>
          <w:sz w:val="24"/>
          <w:szCs w:val="24"/>
          <w:highlight w:val="none"/>
          <w:lang w:val="en-US" w:eastAsia="zh-CN"/>
        </w:rPr>
        <w:t>NSS</w:t>
      </w:r>
      <w:r>
        <w:rPr>
          <w:rFonts w:hint="eastAsia" w:ascii="宋体" w:hAnsi="宋体" w:eastAsia="宋体" w:cs="宋体"/>
          <w:color w:val="auto"/>
          <w:sz w:val="24"/>
          <w:szCs w:val="24"/>
          <w:highlight w:val="none"/>
        </w:rPr>
        <w:t>刷新率：100Hz</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速度量程：0-160km/h，能</w:t>
      </w:r>
      <w:r>
        <w:rPr>
          <w:rFonts w:hint="eastAsia" w:ascii="宋体" w:hAnsi="宋体" w:eastAsia="宋体" w:cs="宋体"/>
          <w:color w:val="auto"/>
          <w:sz w:val="24"/>
          <w:szCs w:val="24"/>
          <w:highlight w:val="none"/>
        </w:rPr>
        <w:t>与RT-base-02差分基站适配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使绝对位置精度提升至2cm或更高</w:t>
      </w:r>
      <w:r>
        <w:rPr>
          <w:rFonts w:hint="eastAsia" w:ascii="宋体" w:hAnsi="宋体" w:eastAsia="宋体" w:cs="宋体"/>
          <w:color w:val="auto"/>
          <w:sz w:val="24"/>
          <w:szCs w:val="24"/>
          <w:highlight w:val="none"/>
        </w:rPr>
        <w:t>；</w:t>
      </w:r>
    </w:p>
    <w:p>
      <w:pPr>
        <w:pStyle w:val="111"/>
        <w:keepNext w:val="0"/>
        <w:keepLines w:val="0"/>
        <w:pageBreakBefore w:val="0"/>
        <w:numPr>
          <w:ilvl w:val="0"/>
          <w:numId w:val="26"/>
        </w:numPr>
        <w:tabs>
          <w:tab w:val="left" w:pos="0"/>
        </w:tabs>
        <w:kinsoku/>
        <w:wordWrap/>
        <w:overflowPunct/>
        <w:topLinePunct w:val="0"/>
        <w:autoSpaceDE/>
        <w:autoSpaceDN/>
        <w:bidi w:val="0"/>
        <w:adjustRightInd/>
        <w:snapToGrid/>
        <w:spacing w:line="360" w:lineRule="auto"/>
        <w:ind w:left="0" w:leftChars="0"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★须适配ABD驾驶机器人，为驾驶机器人提供精确定位功能；</w:t>
      </w:r>
    </w:p>
    <w:p>
      <w:pPr>
        <w:pStyle w:val="111"/>
        <w:keepNext w:val="0"/>
        <w:keepLines w:val="0"/>
        <w:pageBreakBefore w:val="0"/>
        <w:numPr>
          <w:ilvl w:val="0"/>
          <w:numId w:val="26"/>
        </w:numPr>
        <w:tabs>
          <w:tab w:val="left" w:pos="0"/>
        </w:tabs>
        <w:kinsoku/>
        <w:wordWrap/>
        <w:overflowPunct/>
        <w:topLinePunct w:val="0"/>
        <w:autoSpaceDE/>
        <w:autoSpaceDN/>
        <w:bidi w:val="0"/>
        <w:adjustRightInd/>
        <w:snapToGrid/>
        <w:spacing w:line="360" w:lineRule="auto"/>
        <w:ind w:left="0"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加速度量程</w:t>
      </w:r>
      <w:r>
        <w:rPr>
          <w:rFonts w:hint="eastAsia" w:ascii="宋体" w:hAnsi="宋体" w:eastAsia="宋体" w:cs="宋体"/>
          <w:color w:val="auto"/>
          <w:sz w:val="24"/>
          <w:szCs w:val="24"/>
          <w:highlight w:val="none"/>
          <w:lang w:val="en-US" w:eastAsia="zh-CN"/>
        </w:rPr>
        <w:t>不小于</w:t>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lang w:val="en-US" w:eastAsia="zh-CN"/>
        </w:rPr>
        <w:t>0m/s</w:t>
      </w:r>
      <w:r>
        <w:rPr>
          <w:rFonts w:hint="eastAsia" w:ascii="宋体" w:hAnsi="宋体" w:eastAsia="宋体" w:cs="宋体"/>
          <w:color w:val="auto"/>
          <w:sz w:val="24"/>
          <w:szCs w:val="24"/>
          <w:highlight w:val="none"/>
          <w:vertAlign w:val="superscript"/>
          <w:lang w:val="en-US" w:eastAsia="zh-CN"/>
        </w:rPr>
        <w:t>2</w:t>
      </w:r>
      <w:r>
        <w:rPr>
          <w:rFonts w:hint="eastAsia" w:ascii="宋体" w:hAnsi="宋体" w:eastAsia="宋体" w:cs="宋体"/>
          <w:i w:val="0"/>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精度优于0.1%1σ</w:t>
      </w:r>
      <w:r>
        <w:rPr>
          <w:rFonts w:hint="eastAsia" w:ascii="宋体" w:hAnsi="宋体" w:eastAsia="宋体" w:cs="宋体"/>
          <w:color w:val="auto"/>
          <w:sz w:val="24"/>
          <w:szCs w:val="24"/>
          <w:highlight w:val="none"/>
          <w:lang w:eastAsia="zh-CN"/>
        </w:rPr>
        <w:t>；</w:t>
      </w:r>
    </w:p>
    <w:p>
      <w:pPr>
        <w:pStyle w:val="111"/>
        <w:keepNext w:val="0"/>
        <w:keepLines w:val="0"/>
        <w:pageBreakBefore w:val="0"/>
        <w:numPr>
          <w:ilvl w:val="0"/>
          <w:numId w:val="26"/>
        </w:numPr>
        <w:tabs>
          <w:tab w:val="left" w:pos="0"/>
        </w:tabs>
        <w:kinsoku/>
        <w:wordWrap/>
        <w:overflowPunct/>
        <w:topLinePunct w:val="0"/>
        <w:autoSpaceDE/>
        <w:autoSpaceDN/>
        <w:bidi w:val="0"/>
        <w:adjustRightInd/>
        <w:snapToGrid/>
        <w:spacing w:line="360" w:lineRule="auto"/>
        <w:ind w:left="0"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侧倾角/俯仰角精度</w:t>
      </w:r>
      <w:r>
        <w:rPr>
          <w:rFonts w:hint="eastAsia" w:ascii="宋体" w:hAnsi="宋体" w:eastAsia="宋体" w:cs="宋体"/>
          <w:color w:val="auto"/>
          <w:sz w:val="24"/>
          <w:szCs w:val="24"/>
          <w:highlight w:val="none"/>
          <w:lang w:val="en-US" w:eastAsia="zh-CN"/>
        </w:rPr>
        <w:t>优于</w:t>
      </w:r>
      <w:r>
        <w:rPr>
          <w:rFonts w:hint="eastAsia" w:ascii="宋体" w:hAnsi="宋体" w:eastAsia="宋体" w:cs="宋体"/>
          <w:color w:val="auto"/>
          <w:sz w:val="24"/>
          <w:szCs w:val="24"/>
          <w:highlight w:val="none"/>
        </w:rPr>
        <w:t>0.0</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横摆角精度</w:t>
      </w:r>
      <w:r>
        <w:rPr>
          <w:rFonts w:hint="eastAsia" w:ascii="宋体" w:hAnsi="宋体" w:eastAsia="宋体" w:cs="宋体"/>
          <w:color w:val="auto"/>
          <w:sz w:val="24"/>
          <w:szCs w:val="24"/>
          <w:highlight w:val="none"/>
          <w:lang w:val="en-US" w:eastAsia="zh-CN"/>
        </w:rPr>
        <w:t>优于</w:t>
      </w:r>
      <w:r>
        <w:rPr>
          <w:rFonts w:hint="eastAsia" w:ascii="宋体" w:hAnsi="宋体" w:eastAsia="宋体" w:cs="宋体"/>
          <w:color w:val="auto"/>
          <w:sz w:val="24"/>
          <w:szCs w:val="24"/>
          <w:highlight w:val="none"/>
        </w:rPr>
        <w:t>0.1°</w:t>
      </w:r>
      <w:r>
        <w:rPr>
          <w:rFonts w:hint="eastAsia" w:ascii="宋体" w:hAnsi="宋体" w:eastAsia="宋体" w:cs="宋体"/>
          <w:color w:val="auto"/>
          <w:sz w:val="24"/>
          <w:szCs w:val="24"/>
          <w:highlight w:val="none"/>
          <w:lang w:val="en-US" w:eastAsia="zh-CN"/>
        </w:rPr>
        <w:t>1σ</w:t>
      </w:r>
      <w:r>
        <w:rPr>
          <w:rFonts w:hint="eastAsia" w:ascii="宋体" w:hAnsi="宋体" w:eastAsia="宋体" w:cs="宋体"/>
          <w:color w:val="auto"/>
          <w:sz w:val="24"/>
          <w:szCs w:val="24"/>
          <w:highlight w:val="none"/>
          <w:lang w:eastAsia="zh-CN"/>
        </w:rPr>
        <w:t>；</w:t>
      </w:r>
    </w:p>
    <w:p>
      <w:pPr>
        <w:pStyle w:val="111"/>
        <w:keepNext w:val="0"/>
        <w:keepLines w:val="0"/>
        <w:pageBreakBefore w:val="0"/>
        <w:numPr>
          <w:ilvl w:val="0"/>
          <w:numId w:val="26"/>
        </w:numPr>
        <w:tabs>
          <w:tab w:val="left" w:pos="0"/>
        </w:tabs>
        <w:kinsoku/>
        <w:wordWrap/>
        <w:overflowPunct/>
        <w:topLinePunct w:val="0"/>
        <w:autoSpaceDE/>
        <w:autoSpaceDN/>
        <w:bidi w:val="0"/>
        <w:adjustRightInd/>
        <w:snapToGrid/>
        <w:spacing w:line="360" w:lineRule="auto"/>
        <w:ind w:left="0"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角速度量程不小于100</w:t>
      </w:r>
      <w:r>
        <w:rPr>
          <w:rFonts w:hint="eastAsia" w:ascii="宋体" w:hAnsi="宋体" w:eastAsia="宋体" w:cs="宋体"/>
          <w:color w:val="auto"/>
          <w:sz w:val="24"/>
          <w:szCs w:val="24"/>
          <w:highlight w:val="none"/>
          <w:vertAlign w:val="baseline"/>
          <w:lang w:val="en-US" w:eastAsia="zh-CN"/>
        </w:rPr>
        <w:t>°</w:t>
      </w:r>
      <w:r>
        <w:rPr>
          <w:rFonts w:hint="eastAsia" w:ascii="宋体" w:hAnsi="宋体" w:eastAsia="宋体" w:cs="宋体"/>
          <w:color w:val="auto"/>
          <w:sz w:val="24"/>
          <w:szCs w:val="24"/>
          <w:highlight w:val="none"/>
          <w:lang w:val="en-US" w:eastAsia="zh-CN"/>
        </w:rPr>
        <w:t>/s</w:t>
      </w:r>
      <w:r>
        <w:rPr>
          <w:rFonts w:hint="eastAsia" w:ascii="宋体" w:hAnsi="宋体" w:eastAsia="宋体" w:cs="宋体"/>
          <w:i w:val="0"/>
          <w:color w:val="auto"/>
          <w:sz w:val="24"/>
          <w:szCs w:val="24"/>
          <w:highlight w:val="none"/>
          <w:lang w:val="en-US" w:eastAsia="zh-CN"/>
        </w:rPr>
        <w:t>，精度</w:t>
      </w:r>
      <w:r>
        <w:rPr>
          <w:rFonts w:hint="eastAsia" w:ascii="宋体" w:hAnsi="宋体" w:eastAsia="宋体" w:cs="宋体"/>
          <w:color w:val="auto"/>
          <w:sz w:val="24"/>
          <w:szCs w:val="24"/>
          <w:highlight w:val="none"/>
          <w:lang w:val="en-US" w:eastAsia="zh-CN"/>
        </w:rPr>
        <w:t>优于0.1%1σ</w:t>
      </w:r>
      <w:r>
        <w:rPr>
          <w:rFonts w:hint="eastAsia" w:ascii="宋体" w:hAnsi="宋体" w:eastAsia="宋体" w:cs="宋体"/>
          <w:color w:val="auto"/>
          <w:sz w:val="24"/>
          <w:szCs w:val="24"/>
          <w:highlight w:val="none"/>
          <w:lang w:eastAsia="zh-CN"/>
        </w:rPr>
        <w:t>；</w:t>
      </w:r>
    </w:p>
    <w:p>
      <w:pPr>
        <w:pStyle w:val="111"/>
        <w:keepNext w:val="0"/>
        <w:keepLines w:val="0"/>
        <w:pageBreakBefore w:val="0"/>
        <w:numPr>
          <w:ilvl w:val="0"/>
          <w:numId w:val="26"/>
        </w:numPr>
        <w:tabs>
          <w:tab w:val="left" w:pos="0"/>
        </w:tabs>
        <w:kinsoku/>
        <w:wordWrap/>
        <w:overflowPunct/>
        <w:topLinePunct w:val="0"/>
        <w:autoSpaceDE/>
        <w:autoSpaceDN/>
        <w:bidi w:val="0"/>
        <w:adjustRightInd/>
        <w:snapToGrid/>
        <w:spacing w:line="360" w:lineRule="auto"/>
        <w:ind w:left="0"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侧偏角精度：在50m/h时优于0.15°1σ；</w:t>
      </w:r>
    </w:p>
    <w:p>
      <w:pPr>
        <w:pStyle w:val="111"/>
        <w:keepNext w:val="0"/>
        <w:keepLines w:val="0"/>
        <w:pageBreakBefore w:val="0"/>
        <w:numPr>
          <w:ilvl w:val="0"/>
          <w:numId w:val="26"/>
        </w:numPr>
        <w:tabs>
          <w:tab w:val="left" w:pos="0"/>
        </w:tabs>
        <w:kinsoku/>
        <w:wordWrap/>
        <w:overflowPunct/>
        <w:topLinePunct w:val="0"/>
        <w:autoSpaceDE/>
        <w:autoSpaceDN/>
        <w:bidi w:val="0"/>
        <w:adjustRightInd/>
        <w:snapToGrid/>
        <w:spacing w:line="360" w:lineRule="auto"/>
        <w:ind w:left="0"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系统</w:t>
      </w:r>
      <w:r>
        <w:rPr>
          <w:rFonts w:hint="eastAsia" w:ascii="宋体" w:hAnsi="宋体" w:eastAsia="宋体" w:cs="宋体"/>
          <w:color w:val="auto"/>
          <w:sz w:val="24"/>
          <w:szCs w:val="24"/>
          <w:highlight w:val="none"/>
          <w:lang w:val="en-US" w:eastAsia="zh-CN"/>
        </w:rPr>
        <w:t>防护</w:t>
      </w:r>
      <w:r>
        <w:rPr>
          <w:rFonts w:hint="eastAsia" w:ascii="宋体" w:hAnsi="宋体" w:eastAsia="宋体" w:cs="宋体"/>
          <w:color w:val="auto"/>
          <w:sz w:val="24"/>
          <w:szCs w:val="24"/>
          <w:highlight w:val="none"/>
        </w:rPr>
        <w:t>等级：IP65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系统抗冲击：100g</w:t>
      </w:r>
      <w:r>
        <w:rPr>
          <w:rFonts w:hint="eastAsia" w:ascii="宋体" w:hAnsi="宋体" w:eastAsia="宋体" w:cs="宋体"/>
          <w:color w:val="auto"/>
          <w:sz w:val="24"/>
          <w:szCs w:val="24"/>
          <w:highlight w:val="none"/>
          <w:lang w:eastAsia="zh-CN"/>
        </w:rPr>
        <w:t>；</w:t>
      </w:r>
    </w:p>
    <w:p>
      <w:pPr>
        <w:pStyle w:val="111"/>
        <w:keepNext w:val="0"/>
        <w:keepLines w:val="0"/>
        <w:pageBreakBefore w:val="0"/>
        <w:numPr>
          <w:ilvl w:val="0"/>
          <w:numId w:val="26"/>
        </w:numPr>
        <w:tabs>
          <w:tab w:val="left" w:pos="0"/>
        </w:tabs>
        <w:kinsoku/>
        <w:wordWrap/>
        <w:overflowPunct/>
        <w:topLinePunct w:val="0"/>
        <w:autoSpaceDE/>
        <w:autoSpaceDN/>
        <w:bidi w:val="0"/>
        <w:adjustRightInd/>
        <w:snapToGrid/>
        <w:spacing w:line="360" w:lineRule="auto"/>
        <w:ind w:left="0" w:leftChars="0"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使用温度范围不低于-40～70℃；</w:t>
      </w:r>
    </w:p>
    <w:p>
      <w:pPr>
        <w:pStyle w:val="111"/>
        <w:keepNext w:val="0"/>
        <w:keepLines w:val="0"/>
        <w:pageBreakBefore w:val="0"/>
        <w:widowControl w:val="0"/>
        <w:numPr>
          <w:ilvl w:val="0"/>
          <w:numId w:val="26"/>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提供适配乘用车及商用车的专用安装支架；</w:t>
      </w:r>
    </w:p>
    <w:p>
      <w:pPr>
        <w:pStyle w:val="111"/>
        <w:keepNext w:val="0"/>
        <w:keepLines w:val="0"/>
        <w:pageBreakBefore w:val="0"/>
        <w:widowControl w:val="0"/>
        <w:numPr>
          <w:ilvl w:val="0"/>
          <w:numId w:val="26"/>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模拟量或CAN输出，通过数据线将采集到的信号实时传输至数据采集器。</w:t>
      </w:r>
    </w:p>
    <w:p>
      <w:pPr>
        <w:pStyle w:val="111"/>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测力</w:t>
      </w:r>
      <w:r>
        <w:rPr>
          <w:rFonts w:hint="eastAsia" w:ascii="宋体" w:hAnsi="宋体" w:eastAsia="宋体" w:cs="宋体"/>
          <w:b/>
          <w:bCs/>
          <w:color w:val="auto"/>
          <w:sz w:val="24"/>
          <w:szCs w:val="24"/>
          <w:highlight w:val="none"/>
          <w:lang w:val="en-US" w:eastAsia="zh-CN"/>
        </w:rPr>
        <w:t>方向盘</w:t>
      </w:r>
    </w:p>
    <w:p>
      <w:pPr>
        <w:pStyle w:val="111"/>
        <w:keepNext w:val="0"/>
        <w:keepLines w:val="0"/>
        <w:pageBreakBefore w:val="0"/>
        <w:widowControl w:val="0"/>
        <w:numPr>
          <w:ilvl w:val="0"/>
          <w:numId w:val="27"/>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品牌可为瑞士Kistler、英国Racelogic和日本KYOWA三者之一；</w:t>
      </w:r>
    </w:p>
    <w:p>
      <w:pPr>
        <w:pStyle w:val="111"/>
        <w:keepNext w:val="0"/>
        <w:keepLines w:val="0"/>
        <w:pageBreakBefore w:val="0"/>
        <w:widowControl w:val="0"/>
        <w:numPr>
          <w:ilvl w:val="0"/>
          <w:numId w:val="27"/>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转矩量程：不小于±200Nm，精度：优于±0.5Nm且±10Nm测量范围时优于±0.1Nm；</w:t>
      </w:r>
    </w:p>
    <w:p>
      <w:pPr>
        <w:pStyle w:val="111"/>
        <w:keepNext w:val="0"/>
        <w:keepLines w:val="0"/>
        <w:pageBreakBefore w:val="0"/>
        <w:widowControl w:val="0"/>
        <w:numPr>
          <w:ilvl w:val="0"/>
          <w:numId w:val="27"/>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角度量程：不小于±1440°，精度：优于±0.1°；</w:t>
      </w:r>
    </w:p>
    <w:p>
      <w:pPr>
        <w:pStyle w:val="111"/>
        <w:keepNext w:val="0"/>
        <w:keepLines w:val="0"/>
        <w:pageBreakBefore w:val="0"/>
        <w:widowControl w:val="0"/>
        <w:numPr>
          <w:ilvl w:val="0"/>
          <w:numId w:val="27"/>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角速度量程：不小于±720°/s，精度：优于±1°/s；</w:t>
      </w:r>
    </w:p>
    <w:p>
      <w:pPr>
        <w:pStyle w:val="111"/>
        <w:keepNext w:val="0"/>
        <w:keepLines w:val="0"/>
        <w:pageBreakBefore w:val="0"/>
        <w:widowControl w:val="0"/>
        <w:numPr>
          <w:ilvl w:val="0"/>
          <w:numId w:val="27"/>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提供的安装支架应确保安装便捷、固定牢靠，满足方向盘直径范围：360mm～500mm；</w:t>
      </w:r>
    </w:p>
    <w:p>
      <w:pPr>
        <w:pStyle w:val="111"/>
        <w:keepNext w:val="0"/>
        <w:keepLines w:val="0"/>
        <w:pageBreakBefore w:val="0"/>
        <w:widowControl w:val="0"/>
        <w:numPr>
          <w:ilvl w:val="0"/>
          <w:numId w:val="27"/>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模拟量或CAN输出，通过数据线将采集到的信号实时传输至数据采集器。</w:t>
      </w:r>
    </w:p>
    <w:p>
      <w:pPr>
        <w:pStyle w:val="111"/>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4"/>
          <w:szCs w:val="24"/>
          <w:highlight w:val="none"/>
        </w:rPr>
      </w:pPr>
      <w:bookmarkStart w:id="19" w:name="_Toc33801186"/>
      <w:r>
        <w:rPr>
          <w:rFonts w:hint="eastAsia" w:ascii="宋体" w:hAnsi="宋体" w:eastAsia="宋体" w:cs="宋体"/>
          <w:b/>
          <w:bCs/>
          <w:color w:val="auto"/>
          <w:sz w:val="24"/>
          <w:szCs w:val="24"/>
          <w:highlight w:val="none"/>
        </w:rPr>
        <w:t>踏板力</w:t>
      </w:r>
      <w:bookmarkEnd w:id="19"/>
      <w:r>
        <w:rPr>
          <w:rFonts w:hint="eastAsia" w:ascii="宋体" w:hAnsi="宋体" w:eastAsia="宋体" w:cs="宋体"/>
          <w:b/>
          <w:bCs/>
          <w:color w:val="auto"/>
          <w:sz w:val="24"/>
          <w:szCs w:val="24"/>
          <w:highlight w:val="none"/>
          <w:lang w:val="en-US" w:eastAsia="zh-CN"/>
        </w:rPr>
        <w:t>计</w:t>
      </w:r>
    </w:p>
    <w:p>
      <w:pPr>
        <w:pStyle w:val="111"/>
        <w:keepNext w:val="0"/>
        <w:keepLines w:val="0"/>
        <w:pageBreakBefore w:val="0"/>
        <w:widowControl w:val="0"/>
        <w:numPr>
          <w:ilvl w:val="0"/>
          <w:numId w:val="28"/>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测量量程：不小于1000N，测量精度：优于±1N；</w:t>
      </w:r>
    </w:p>
    <w:p>
      <w:pPr>
        <w:pStyle w:val="111"/>
        <w:keepNext w:val="0"/>
        <w:keepLines w:val="0"/>
        <w:pageBreakBefore w:val="0"/>
        <w:widowControl w:val="0"/>
        <w:numPr>
          <w:ilvl w:val="0"/>
          <w:numId w:val="28"/>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输出频率：≥100Hz；</w:t>
      </w:r>
    </w:p>
    <w:p>
      <w:pPr>
        <w:pStyle w:val="111"/>
        <w:keepNext w:val="0"/>
        <w:keepLines w:val="0"/>
        <w:pageBreakBefore w:val="0"/>
        <w:widowControl w:val="0"/>
        <w:numPr>
          <w:ilvl w:val="0"/>
          <w:numId w:val="28"/>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模拟量输出，通过数据线将采集到的信号实时传输至数据采集器。</w:t>
      </w:r>
    </w:p>
    <w:p>
      <w:pPr>
        <w:pStyle w:val="111"/>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制动管路</w:t>
      </w:r>
      <w:r>
        <w:rPr>
          <w:rFonts w:hint="eastAsia" w:ascii="宋体" w:hAnsi="宋体" w:eastAsia="宋体" w:cs="宋体"/>
          <w:b/>
          <w:bCs/>
          <w:color w:val="auto"/>
          <w:sz w:val="24"/>
          <w:szCs w:val="24"/>
          <w:highlight w:val="none"/>
        </w:rPr>
        <w:t>压力传感器</w:t>
      </w:r>
    </w:p>
    <w:p>
      <w:pPr>
        <w:pStyle w:val="111"/>
        <w:keepNext w:val="0"/>
        <w:keepLines w:val="0"/>
        <w:pageBreakBefore w:val="0"/>
        <w:widowControl w:val="0"/>
        <w:numPr>
          <w:ilvl w:val="0"/>
          <w:numId w:val="29"/>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品牌为EFE PHE167或同等级别压力传感器；</w:t>
      </w:r>
    </w:p>
    <w:p>
      <w:pPr>
        <w:pStyle w:val="111"/>
        <w:keepNext w:val="0"/>
        <w:keepLines w:val="0"/>
        <w:pageBreakBefore w:val="0"/>
        <w:widowControl w:val="0"/>
        <w:numPr>
          <w:ilvl w:val="0"/>
          <w:numId w:val="29"/>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数量:20个，其中16bar量程的16个，200bar量程的4个；</w:t>
      </w:r>
    </w:p>
    <w:p>
      <w:pPr>
        <w:pStyle w:val="111"/>
        <w:keepNext w:val="0"/>
        <w:keepLines w:val="0"/>
        <w:pageBreakBefore w:val="0"/>
        <w:widowControl w:val="0"/>
        <w:numPr>
          <w:ilvl w:val="0"/>
          <w:numId w:val="29"/>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量程：16bar/200bar，精度：优于0.25%F.S；</w:t>
      </w:r>
    </w:p>
    <w:p>
      <w:pPr>
        <w:pStyle w:val="111"/>
        <w:keepNext w:val="0"/>
        <w:keepLines w:val="0"/>
        <w:pageBreakBefore w:val="0"/>
        <w:widowControl w:val="0"/>
        <w:numPr>
          <w:ilvl w:val="0"/>
          <w:numId w:val="29"/>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使用温度不低于-40～70℃；</w:t>
      </w:r>
    </w:p>
    <w:p>
      <w:pPr>
        <w:pStyle w:val="111"/>
        <w:keepNext w:val="0"/>
        <w:keepLines w:val="0"/>
        <w:pageBreakBefore w:val="0"/>
        <w:widowControl w:val="0"/>
        <w:numPr>
          <w:ilvl w:val="0"/>
          <w:numId w:val="29"/>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用于制动管路压力测量，标配连接头及密封装置，能完美适配车辆测试接头；</w:t>
      </w:r>
    </w:p>
    <w:p>
      <w:pPr>
        <w:pStyle w:val="111"/>
        <w:keepNext w:val="0"/>
        <w:keepLines w:val="0"/>
        <w:pageBreakBefore w:val="0"/>
        <w:widowControl w:val="0"/>
        <w:numPr>
          <w:ilvl w:val="0"/>
          <w:numId w:val="29"/>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传感器与数据线需为分体结构，数据线基础长度5m，配10m延长线；</w:t>
      </w:r>
    </w:p>
    <w:p>
      <w:pPr>
        <w:pStyle w:val="111"/>
        <w:keepNext w:val="0"/>
        <w:keepLines w:val="0"/>
        <w:pageBreakBefore w:val="0"/>
        <w:widowControl w:val="0"/>
        <w:numPr>
          <w:ilvl w:val="0"/>
          <w:numId w:val="29"/>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模拟量输出，通过数据线将采集到的信号实时传输至数据采集器。</w:t>
      </w:r>
    </w:p>
    <w:p>
      <w:pPr>
        <w:pStyle w:val="111"/>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拉线</w:t>
      </w:r>
      <w:r>
        <w:rPr>
          <w:rFonts w:hint="eastAsia" w:ascii="宋体" w:hAnsi="宋体" w:eastAsia="宋体" w:cs="宋体"/>
          <w:b/>
          <w:bCs/>
          <w:color w:val="auto"/>
          <w:sz w:val="24"/>
          <w:szCs w:val="24"/>
          <w:highlight w:val="none"/>
        </w:rPr>
        <w:t>位移传感器</w:t>
      </w:r>
    </w:p>
    <w:p>
      <w:pPr>
        <w:pStyle w:val="111"/>
        <w:keepNext w:val="0"/>
        <w:keepLines w:val="0"/>
        <w:pageBreakBefore w:val="0"/>
        <w:widowControl w:val="0"/>
        <w:numPr>
          <w:ilvl w:val="0"/>
          <w:numId w:val="30"/>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最大加速度:不小于100m/s</w:t>
      </w:r>
      <w:r>
        <w:rPr>
          <w:rFonts w:hint="eastAsia" w:ascii="宋体" w:hAnsi="宋体" w:eastAsia="宋体" w:cs="宋体"/>
          <w:color w:val="auto"/>
          <w:sz w:val="24"/>
          <w:szCs w:val="24"/>
          <w:highlight w:val="none"/>
          <w:vertAlign w:val="superscript"/>
          <w:lang w:val="en-US" w:eastAsia="zh-CN"/>
        </w:rPr>
        <w:t>2</w:t>
      </w:r>
      <w:r>
        <w:rPr>
          <w:rFonts w:hint="eastAsia" w:ascii="宋体" w:hAnsi="宋体" w:eastAsia="宋体" w:cs="宋体"/>
          <w:color w:val="auto"/>
          <w:sz w:val="24"/>
          <w:szCs w:val="24"/>
          <w:highlight w:val="none"/>
          <w:lang w:val="en-US" w:eastAsia="zh-CN"/>
        </w:rPr>
        <w:t>；</w:t>
      </w:r>
    </w:p>
    <w:p>
      <w:pPr>
        <w:pStyle w:val="111"/>
        <w:keepNext w:val="0"/>
        <w:keepLines w:val="0"/>
        <w:pageBreakBefore w:val="0"/>
        <w:widowControl w:val="0"/>
        <w:numPr>
          <w:ilvl w:val="0"/>
          <w:numId w:val="30"/>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测量量程：500mm，精度：不低于0.25%F.S；</w:t>
      </w:r>
    </w:p>
    <w:p>
      <w:pPr>
        <w:pStyle w:val="111"/>
        <w:keepNext w:val="0"/>
        <w:keepLines w:val="0"/>
        <w:pageBreakBefore w:val="0"/>
        <w:widowControl w:val="0"/>
        <w:numPr>
          <w:ilvl w:val="0"/>
          <w:numId w:val="30"/>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模拟量输出，通过数据线将采集到的信号实时传输至数据采集器。</w:t>
      </w:r>
    </w:p>
    <w:p>
      <w:pPr>
        <w:pStyle w:val="111"/>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拉压力</w:t>
      </w:r>
      <w:r>
        <w:rPr>
          <w:rFonts w:hint="eastAsia" w:ascii="宋体" w:hAnsi="宋体" w:eastAsia="宋体" w:cs="宋体"/>
          <w:b/>
          <w:bCs/>
          <w:color w:val="auto"/>
          <w:sz w:val="24"/>
          <w:szCs w:val="24"/>
          <w:highlight w:val="none"/>
          <w:lang w:val="en-US" w:eastAsia="zh-CN"/>
        </w:rPr>
        <w:t>计</w:t>
      </w:r>
    </w:p>
    <w:p>
      <w:pPr>
        <w:pStyle w:val="111"/>
        <w:keepNext w:val="0"/>
        <w:keepLines w:val="0"/>
        <w:pageBreakBefore w:val="0"/>
        <w:widowControl w:val="0"/>
        <w:numPr>
          <w:ilvl w:val="0"/>
          <w:numId w:val="31"/>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量程：50kN 2个，300kN 1个，精度：优于0.5%F.S；</w:t>
      </w:r>
    </w:p>
    <w:p>
      <w:pPr>
        <w:pStyle w:val="111"/>
        <w:keepNext w:val="0"/>
        <w:keepLines w:val="0"/>
        <w:pageBreakBefore w:val="0"/>
        <w:widowControl w:val="0"/>
        <w:numPr>
          <w:ilvl w:val="0"/>
          <w:numId w:val="31"/>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数据线长度不低于5m，传感器两端连接孔径不小于40mm；</w:t>
      </w:r>
    </w:p>
    <w:p>
      <w:pPr>
        <w:pStyle w:val="111"/>
        <w:keepNext w:val="0"/>
        <w:keepLines w:val="0"/>
        <w:pageBreakBefore w:val="0"/>
        <w:widowControl w:val="0"/>
        <w:numPr>
          <w:ilvl w:val="0"/>
          <w:numId w:val="31"/>
        </w:numPr>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模拟量输出，通过数据线将采集到的信号实时传输至数据采集器。</w:t>
      </w:r>
    </w:p>
    <w:p>
      <w:pPr>
        <w:widowControl/>
        <w:spacing w:line="360" w:lineRule="auto"/>
        <w:ind w:firstLine="480" w:firstLineChars="200"/>
        <w:jc w:val="left"/>
        <w:rPr>
          <w:rFonts w:hint="eastAsia" w:ascii="宋体" w:hAnsi="宋体" w:eastAsia="宋体" w:cs="宋体"/>
          <w:sz w:val="24"/>
          <w:szCs w:val="24"/>
        </w:rPr>
      </w:pPr>
      <w:bookmarkStart w:id="20" w:name="_Toc169605881"/>
    </w:p>
    <w:p>
      <w:pPr>
        <w:widowControl/>
        <w:spacing w:line="360" w:lineRule="auto"/>
        <w:ind w:firstLine="480" w:firstLineChars="200"/>
        <w:jc w:val="left"/>
        <w:rPr>
          <w:rFonts w:hint="eastAsia" w:ascii="宋体" w:hAnsi="宋体" w:eastAsia="宋体" w:cs="宋体"/>
          <w:sz w:val="24"/>
          <w:szCs w:val="24"/>
        </w:rPr>
      </w:pPr>
    </w:p>
    <w:p>
      <w:pPr>
        <w:widowControl/>
        <w:spacing w:line="360" w:lineRule="auto"/>
        <w:ind w:firstLine="480" w:firstLineChars="200"/>
        <w:jc w:val="left"/>
        <w:rPr>
          <w:rFonts w:hint="eastAsia" w:ascii="宋体" w:hAnsi="宋体" w:eastAsia="宋体" w:cs="宋体"/>
          <w:sz w:val="24"/>
          <w:szCs w:val="24"/>
        </w:rPr>
      </w:pPr>
    </w:p>
    <w:p>
      <w:pPr>
        <w:widowControl/>
        <w:spacing w:line="360" w:lineRule="auto"/>
        <w:ind w:firstLine="480" w:firstLineChars="200"/>
        <w:jc w:val="left"/>
        <w:rPr>
          <w:rFonts w:hint="eastAsia" w:ascii="宋体" w:hAnsi="宋体" w:eastAsia="宋体" w:cs="宋体"/>
          <w:sz w:val="24"/>
          <w:szCs w:val="24"/>
        </w:rPr>
      </w:pPr>
    </w:p>
    <w:p>
      <w:pPr>
        <w:widowControl/>
        <w:spacing w:line="360" w:lineRule="auto"/>
        <w:ind w:firstLine="480" w:firstLineChars="200"/>
        <w:jc w:val="left"/>
        <w:rPr>
          <w:rFonts w:hint="eastAsia" w:ascii="宋体" w:hAnsi="宋体" w:eastAsia="宋体" w:cs="宋体"/>
          <w:sz w:val="24"/>
          <w:szCs w:val="24"/>
        </w:rPr>
      </w:pPr>
    </w:p>
    <w:p>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  </w:t>
      </w: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pStyle w:val="16"/>
        <w:rPr>
          <w:rFonts w:hAnsi="宋体" w:eastAsia="宋体" w:cs="宋体"/>
          <w:sz w:val="24"/>
          <w:szCs w:val="24"/>
        </w:rPr>
      </w:pP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20"/>
    </w:p>
    <w:p/>
    <w:p>
      <w:pPr>
        <w:keepNext/>
        <w:keepLines/>
        <w:spacing w:line="360" w:lineRule="auto"/>
        <w:jc w:val="center"/>
        <w:outlineLvl w:val="2"/>
        <w:rPr>
          <w:rFonts w:ascii="宋体" w:hAnsi="宋体" w:eastAsia="宋体" w:cs="宋体"/>
          <w:b/>
          <w:bCs/>
          <w:sz w:val="24"/>
          <w:szCs w:val="32"/>
        </w:rPr>
      </w:pPr>
      <w:bookmarkStart w:id="21" w:name="_Toc169605882"/>
      <w:r>
        <w:rPr>
          <w:rFonts w:hint="eastAsia" w:ascii="宋体" w:hAnsi="宋体" w:eastAsia="宋体" w:cs="宋体"/>
          <w:b/>
          <w:bCs/>
          <w:sz w:val="24"/>
          <w:szCs w:val="32"/>
        </w:rPr>
        <w:t>第一节  供货范围</w:t>
      </w:r>
      <w:bookmarkEnd w:id="21"/>
    </w:p>
    <w:p>
      <w:pPr>
        <w:spacing w:line="420" w:lineRule="exact"/>
        <w:ind w:firstLine="482" w:firstLineChars="200"/>
        <w:outlineLvl w:val="3"/>
        <w:rPr>
          <w:rFonts w:hint="eastAsia" w:ascii="宋体" w:hAnsi="宋体" w:eastAsia="宋体" w:cs="宋体"/>
          <w:b/>
          <w:bCs/>
          <w:sz w:val="24"/>
          <w:szCs w:val="24"/>
          <w:highlight w:val="yellow"/>
        </w:rPr>
      </w:pPr>
      <w:r>
        <w:rPr>
          <w:rFonts w:hint="eastAsia" w:ascii="宋体" w:hAnsi="宋体" w:eastAsia="宋体" w:cs="宋体"/>
          <w:b/>
          <w:bCs/>
          <w:sz w:val="24"/>
          <w:szCs w:val="24"/>
        </w:rPr>
        <w:t>一、</w:t>
      </w:r>
      <w:r>
        <w:rPr>
          <w:rFonts w:hint="eastAsia" w:ascii="宋体" w:hAnsi="宋体" w:eastAsia="宋体" w:cs="宋体"/>
          <w:b/>
          <w:bCs/>
          <w:sz w:val="24"/>
          <w:szCs w:val="24"/>
          <w:highlight w:val="yellow"/>
        </w:rPr>
        <w:t>供货范围（按照组成项目主要构成一览表的所有最小单元逐一列示，要涵盖培训等内容）</w:t>
      </w:r>
    </w:p>
    <w:p>
      <w:pPr>
        <w:pStyle w:val="2"/>
        <w:rPr>
          <w:rFonts w:hint="default" w:eastAsia="宋体"/>
          <w:lang w:val="en-US" w:eastAsia="zh-CN"/>
        </w:rPr>
      </w:pPr>
      <w:r>
        <w:rPr>
          <w:rFonts w:hint="eastAsia"/>
          <w:lang w:val="en-US" w:eastAsia="zh-CN"/>
        </w:rPr>
        <w:t>数采部分：</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5430"/>
        <w:gridCol w:w="810"/>
        <w:gridCol w:w="910"/>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pPr>
              <w:spacing w:line="360" w:lineRule="auto"/>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序号</w:t>
            </w:r>
          </w:p>
        </w:tc>
        <w:tc>
          <w:tcPr>
            <w:tcW w:w="5430" w:type="dxa"/>
            <w:vAlign w:val="center"/>
          </w:tcPr>
          <w:p>
            <w:pPr>
              <w:spacing w:line="360" w:lineRule="auto"/>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名称</w:t>
            </w:r>
          </w:p>
        </w:tc>
        <w:tc>
          <w:tcPr>
            <w:tcW w:w="810" w:type="dxa"/>
            <w:vAlign w:val="center"/>
          </w:tcPr>
          <w:p>
            <w:pPr>
              <w:spacing w:line="360" w:lineRule="auto"/>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单位</w:t>
            </w:r>
          </w:p>
        </w:tc>
        <w:tc>
          <w:tcPr>
            <w:tcW w:w="910" w:type="dxa"/>
            <w:vAlign w:val="center"/>
          </w:tcPr>
          <w:p>
            <w:pPr>
              <w:spacing w:line="360" w:lineRule="auto"/>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数量</w:t>
            </w:r>
          </w:p>
        </w:tc>
        <w:tc>
          <w:tcPr>
            <w:tcW w:w="1011" w:type="dxa"/>
            <w:vAlign w:val="center"/>
          </w:tcPr>
          <w:p>
            <w:pPr>
              <w:spacing w:line="360" w:lineRule="auto"/>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auto"/>
                <w:sz w:val="24"/>
                <w:szCs w:val="24"/>
                <w:highlight w:val="none"/>
                <w:lang w:val="en-US" w:eastAsia="zh-CN"/>
              </w:rPr>
              <w:t>1</w:t>
            </w:r>
          </w:p>
        </w:tc>
        <w:tc>
          <w:tcPr>
            <w:tcW w:w="5430" w:type="dxa"/>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ascii="宋体" w:hAnsi="宋体" w:eastAsia="宋体" w:cs="宋体"/>
                <w:color w:val="auto"/>
                <w:szCs w:val="21"/>
              </w:rPr>
            </w:pPr>
            <w:r>
              <w:rPr>
                <w:rFonts w:hint="eastAsia" w:ascii="宋体" w:hAnsi="宋体" w:eastAsia="宋体" w:cs="宋体"/>
                <w:color w:val="auto"/>
                <w:sz w:val="24"/>
                <w:szCs w:val="24"/>
                <w:highlight w:val="none"/>
                <w:lang w:val="en-US" w:eastAsia="zh-CN"/>
              </w:rPr>
              <w:t>数据采集器部分</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auto"/>
                <w:sz w:val="24"/>
                <w:szCs w:val="24"/>
                <w:highlight w:val="none"/>
              </w:rPr>
              <w:t>套</w:t>
            </w:r>
          </w:p>
        </w:tc>
        <w:tc>
          <w:tcPr>
            <w:tcW w:w="910" w:type="dxa"/>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auto"/>
                <w:sz w:val="24"/>
                <w:szCs w:val="24"/>
                <w:highlight w:val="none"/>
                <w:lang w:val="en-US" w:eastAsia="zh-CN"/>
              </w:rPr>
              <w:t>5</w:t>
            </w:r>
          </w:p>
        </w:tc>
        <w:tc>
          <w:tcPr>
            <w:tcW w:w="1011" w:type="dxa"/>
            <w:vAlign w:val="center"/>
          </w:tcPr>
          <w:p>
            <w:pPr>
              <w:spacing w:line="360" w:lineRule="auto"/>
              <w:jc w:val="center"/>
              <w:textAlignment w:val="center"/>
              <w:rPr>
                <w:rFonts w:hint="eastAsia" w:ascii="宋体" w:hAnsi="宋体" w:eastAsia="宋体" w:cs="宋体"/>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pPr>
              <w:keepNext w:val="0"/>
              <w:keepLines w:val="0"/>
              <w:widowControl/>
              <w:suppressLineNumbers w:val="0"/>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1.1</w:t>
            </w:r>
          </w:p>
        </w:tc>
        <w:tc>
          <w:tcPr>
            <w:tcW w:w="5430" w:type="dxa"/>
            <w:vAlign w:val="center"/>
          </w:tcPr>
          <w:p>
            <w:pPr>
              <w:keepNext w:val="0"/>
              <w:keepLines w:val="0"/>
              <w:widowControl/>
              <w:suppressLineNumbers w:val="0"/>
              <w:jc w:val="center"/>
              <w:textAlignment w:val="center"/>
              <w:rPr>
                <w:rFonts w:ascii="宋体" w:hAnsi="宋体" w:eastAsia="宋体" w:cs="宋体"/>
                <w:color w:val="auto"/>
                <w:szCs w:val="21"/>
              </w:rPr>
            </w:pPr>
            <w:r>
              <w:rPr>
                <w:rFonts w:hint="eastAsia" w:ascii="宋体" w:hAnsi="宋体" w:eastAsia="宋体" w:cs="宋体"/>
                <w:i w:val="0"/>
                <w:iCs w:val="0"/>
                <w:color w:val="000000"/>
                <w:kern w:val="0"/>
                <w:sz w:val="24"/>
                <w:szCs w:val="24"/>
                <w:highlight w:val="none"/>
                <w:u w:val="none"/>
                <w:lang w:val="en-US" w:eastAsia="zh-CN" w:bidi="ar"/>
              </w:rPr>
              <w:t>主机箱</w:t>
            </w:r>
          </w:p>
        </w:tc>
        <w:tc>
          <w:tcPr>
            <w:tcW w:w="810" w:type="dxa"/>
            <w:vAlign w:val="center"/>
          </w:tcPr>
          <w:p>
            <w:pPr>
              <w:keepNext w:val="0"/>
              <w:keepLines w:val="0"/>
              <w:widowControl/>
              <w:suppressLineNumbers w:val="0"/>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auto"/>
                <w:sz w:val="24"/>
                <w:szCs w:val="24"/>
                <w:highlight w:val="none"/>
              </w:rPr>
              <w:t>套</w:t>
            </w:r>
          </w:p>
        </w:tc>
        <w:tc>
          <w:tcPr>
            <w:tcW w:w="910" w:type="dxa"/>
            <w:vAlign w:val="center"/>
          </w:tcPr>
          <w:p>
            <w:pPr>
              <w:keepNext w:val="0"/>
              <w:keepLines w:val="0"/>
              <w:widowControl/>
              <w:suppressLineNumbers w:val="0"/>
              <w:jc w:val="center"/>
              <w:textAlignment w:val="cente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auto"/>
                <w:sz w:val="24"/>
                <w:szCs w:val="24"/>
                <w:highlight w:val="none"/>
                <w:lang w:val="en-US" w:eastAsia="zh-CN"/>
              </w:rPr>
              <w:t>5</w:t>
            </w:r>
          </w:p>
        </w:tc>
        <w:tc>
          <w:tcPr>
            <w:tcW w:w="1011" w:type="dxa"/>
            <w:vAlign w:val="center"/>
          </w:tcPr>
          <w:p>
            <w:pPr>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pPr>
              <w:keepNext w:val="0"/>
              <w:keepLines w:val="0"/>
              <w:widowControl/>
              <w:suppressLineNumbers w:val="0"/>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1.2</w:t>
            </w:r>
          </w:p>
        </w:tc>
        <w:tc>
          <w:tcPr>
            <w:tcW w:w="5430" w:type="dxa"/>
            <w:vAlign w:val="center"/>
          </w:tcPr>
          <w:p>
            <w:pPr>
              <w:keepNext w:val="0"/>
              <w:keepLines w:val="0"/>
              <w:widowControl/>
              <w:suppressLineNumbers w:val="0"/>
              <w:jc w:val="center"/>
              <w:textAlignment w:val="center"/>
              <w:rPr>
                <w:rFonts w:ascii="宋体" w:hAnsi="宋体" w:eastAsia="宋体" w:cs="宋体"/>
                <w:color w:val="auto"/>
                <w:szCs w:val="21"/>
              </w:rPr>
            </w:pPr>
            <w:r>
              <w:rPr>
                <w:rFonts w:hint="eastAsia" w:ascii="宋体" w:hAnsi="宋体" w:eastAsia="宋体" w:cs="宋体"/>
                <w:i w:val="0"/>
                <w:iCs w:val="0"/>
                <w:color w:val="000000"/>
                <w:kern w:val="0"/>
                <w:sz w:val="24"/>
                <w:szCs w:val="24"/>
                <w:highlight w:val="none"/>
                <w:u w:val="none"/>
                <w:lang w:val="en-US" w:eastAsia="zh-CN" w:bidi="ar"/>
              </w:rPr>
              <w:t>驾驶员用显示器</w:t>
            </w:r>
          </w:p>
        </w:tc>
        <w:tc>
          <w:tcPr>
            <w:tcW w:w="810" w:type="dxa"/>
            <w:vAlign w:val="center"/>
          </w:tcPr>
          <w:p>
            <w:pPr>
              <w:keepNext w:val="0"/>
              <w:keepLines w:val="0"/>
              <w:widowControl/>
              <w:suppressLineNumbers w:val="0"/>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auto"/>
                <w:sz w:val="24"/>
                <w:szCs w:val="24"/>
                <w:highlight w:val="none"/>
                <w:lang w:val="en-US" w:eastAsia="zh-CN"/>
              </w:rPr>
              <w:t>台</w:t>
            </w:r>
          </w:p>
        </w:tc>
        <w:tc>
          <w:tcPr>
            <w:tcW w:w="910" w:type="dxa"/>
            <w:vAlign w:val="center"/>
          </w:tcPr>
          <w:p>
            <w:pPr>
              <w:keepNext w:val="0"/>
              <w:keepLines w:val="0"/>
              <w:widowControl/>
              <w:suppressLineNumbers w:val="0"/>
              <w:jc w:val="center"/>
              <w:textAlignment w:val="cente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auto"/>
                <w:sz w:val="24"/>
                <w:szCs w:val="24"/>
                <w:highlight w:val="none"/>
                <w:lang w:val="en-US" w:eastAsia="zh-CN"/>
              </w:rPr>
              <w:t>5</w:t>
            </w:r>
          </w:p>
        </w:tc>
        <w:tc>
          <w:tcPr>
            <w:tcW w:w="1011" w:type="dxa"/>
            <w:vAlign w:val="center"/>
          </w:tcPr>
          <w:p>
            <w:pPr>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pPr>
              <w:keepNext w:val="0"/>
              <w:keepLines w:val="0"/>
              <w:widowControl/>
              <w:suppressLineNumbers w:val="0"/>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1.3</w:t>
            </w:r>
          </w:p>
        </w:tc>
        <w:tc>
          <w:tcPr>
            <w:tcW w:w="5430" w:type="dxa"/>
            <w:vAlign w:val="center"/>
          </w:tcPr>
          <w:p>
            <w:pPr>
              <w:keepNext w:val="0"/>
              <w:keepLines w:val="0"/>
              <w:widowControl/>
              <w:suppressLineNumbers w:val="0"/>
              <w:jc w:val="center"/>
              <w:textAlignment w:val="center"/>
              <w:rPr>
                <w:rFonts w:ascii="宋体" w:hAnsi="宋体" w:eastAsia="宋体" w:cs="宋体"/>
                <w:color w:val="auto"/>
                <w:szCs w:val="21"/>
              </w:rPr>
            </w:pPr>
            <w:r>
              <w:rPr>
                <w:rFonts w:hint="eastAsia" w:ascii="宋体" w:hAnsi="宋体" w:eastAsia="宋体" w:cs="宋体"/>
                <w:i w:val="0"/>
                <w:iCs w:val="0"/>
                <w:color w:val="000000"/>
                <w:kern w:val="0"/>
                <w:sz w:val="24"/>
                <w:szCs w:val="24"/>
                <w:highlight w:val="none"/>
                <w:u w:val="none"/>
                <w:lang w:val="en-US" w:eastAsia="zh-CN" w:bidi="ar"/>
              </w:rPr>
              <w:t>模拟量输入模块</w:t>
            </w:r>
          </w:p>
        </w:tc>
        <w:tc>
          <w:tcPr>
            <w:tcW w:w="810" w:type="dxa"/>
            <w:vAlign w:val="center"/>
          </w:tcPr>
          <w:p>
            <w:pPr>
              <w:keepNext w:val="0"/>
              <w:keepLines w:val="0"/>
              <w:widowControl/>
              <w:suppressLineNumbers w:val="0"/>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auto"/>
                <w:sz w:val="24"/>
                <w:szCs w:val="24"/>
                <w:highlight w:val="none"/>
                <w:lang w:val="en-US" w:eastAsia="zh-CN"/>
              </w:rPr>
              <w:t>通道</w:t>
            </w:r>
          </w:p>
        </w:tc>
        <w:tc>
          <w:tcPr>
            <w:tcW w:w="910" w:type="dxa"/>
            <w:vAlign w:val="center"/>
          </w:tcPr>
          <w:p>
            <w:pPr>
              <w:keepNext w:val="0"/>
              <w:keepLines w:val="0"/>
              <w:widowControl/>
              <w:suppressLineNumbers w:val="0"/>
              <w:jc w:val="center"/>
              <w:textAlignment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auto"/>
                <w:sz w:val="24"/>
                <w:szCs w:val="24"/>
                <w:highlight w:val="none"/>
                <w:lang w:val="en-US" w:eastAsia="zh-CN"/>
              </w:rPr>
              <w:t>80</w:t>
            </w:r>
          </w:p>
        </w:tc>
        <w:tc>
          <w:tcPr>
            <w:tcW w:w="1011" w:type="dxa"/>
            <w:vAlign w:val="center"/>
          </w:tcPr>
          <w:p>
            <w:pPr>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pPr>
              <w:keepNext w:val="0"/>
              <w:keepLines w:val="0"/>
              <w:widowControl/>
              <w:suppressLineNumbers w:val="0"/>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1.4</w:t>
            </w:r>
          </w:p>
        </w:tc>
        <w:tc>
          <w:tcPr>
            <w:tcW w:w="5430" w:type="dxa"/>
            <w:vAlign w:val="center"/>
          </w:tcPr>
          <w:p>
            <w:pPr>
              <w:keepNext w:val="0"/>
              <w:keepLines w:val="0"/>
              <w:widowControl/>
              <w:suppressLineNumbers w:val="0"/>
              <w:jc w:val="center"/>
              <w:textAlignment w:val="center"/>
              <w:rPr>
                <w:rFonts w:ascii="宋体" w:hAnsi="宋体" w:eastAsia="宋体" w:cs="宋体"/>
                <w:color w:val="auto"/>
                <w:szCs w:val="21"/>
              </w:rPr>
            </w:pPr>
            <w:r>
              <w:rPr>
                <w:rFonts w:hint="eastAsia" w:ascii="宋体" w:hAnsi="宋体" w:eastAsia="宋体" w:cs="宋体"/>
                <w:i w:val="0"/>
                <w:iCs w:val="0"/>
                <w:color w:val="000000"/>
                <w:kern w:val="0"/>
                <w:sz w:val="24"/>
                <w:szCs w:val="24"/>
                <w:highlight w:val="none"/>
                <w:u w:val="none"/>
                <w:lang w:val="en-US" w:eastAsia="zh-CN" w:bidi="ar"/>
              </w:rPr>
              <w:t>频率（脉冲）输入模块</w:t>
            </w:r>
          </w:p>
        </w:tc>
        <w:tc>
          <w:tcPr>
            <w:tcW w:w="810" w:type="dxa"/>
            <w:vAlign w:val="center"/>
          </w:tcPr>
          <w:p>
            <w:pPr>
              <w:keepNext w:val="0"/>
              <w:keepLines w:val="0"/>
              <w:widowControl/>
              <w:suppressLineNumbers w:val="0"/>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auto"/>
                <w:sz w:val="24"/>
                <w:szCs w:val="24"/>
                <w:highlight w:val="none"/>
                <w:lang w:val="en-US" w:eastAsia="zh-CN"/>
              </w:rPr>
              <w:t>通道</w:t>
            </w:r>
          </w:p>
        </w:tc>
        <w:tc>
          <w:tcPr>
            <w:tcW w:w="910" w:type="dxa"/>
            <w:vAlign w:val="center"/>
          </w:tcPr>
          <w:p>
            <w:pPr>
              <w:keepNext w:val="0"/>
              <w:keepLines w:val="0"/>
              <w:widowControl/>
              <w:suppressLineNumbers w:val="0"/>
              <w:jc w:val="center"/>
              <w:textAlignment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auto"/>
                <w:sz w:val="24"/>
                <w:szCs w:val="24"/>
                <w:highlight w:val="none"/>
                <w:lang w:val="en-US" w:eastAsia="zh-CN"/>
              </w:rPr>
              <w:t>20</w:t>
            </w:r>
          </w:p>
        </w:tc>
        <w:tc>
          <w:tcPr>
            <w:tcW w:w="1011" w:type="dxa"/>
            <w:vAlign w:val="center"/>
          </w:tcPr>
          <w:p>
            <w:pPr>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pPr>
              <w:keepNext w:val="0"/>
              <w:keepLines w:val="0"/>
              <w:widowControl/>
              <w:suppressLineNumbers w:val="0"/>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1.5</w:t>
            </w:r>
          </w:p>
        </w:tc>
        <w:tc>
          <w:tcPr>
            <w:tcW w:w="5430" w:type="dxa"/>
            <w:vAlign w:val="center"/>
          </w:tcPr>
          <w:p>
            <w:pPr>
              <w:keepNext w:val="0"/>
              <w:keepLines w:val="0"/>
              <w:widowControl/>
              <w:suppressLineNumbers w:val="0"/>
              <w:jc w:val="center"/>
              <w:textAlignment w:val="center"/>
              <w:rPr>
                <w:rFonts w:ascii="宋体" w:hAnsi="宋体" w:eastAsia="宋体" w:cs="宋体"/>
                <w:color w:val="auto"/>
                <w:szCs w:val="21"/>
              </w:rPr>
            </w:pPr>
            <w:r>
              <w:rPr>
                <w:rFonts w:hint="eastAsia" w:ascii="宋体" w:hAnsi="宋体" w:eastAsia="宋体" w:cs="宋体"/>
                <w:i w:val="0"/>
                <w:iCs w:val="0"/>
                <w:color w:val="000000"/>
                <w:kern w:val="0"/>
                <w:sz w:val="24"/>
                <w:szCs w:val="24"/>
                <w:highlight w:val="none"/>
                <w:u w:val="none"/>
                <w:lang w:val="en-US" w:eastAsia="zh-CN" w:bidi="ar"/>
              </w:rPr>
              <w:t>CAN模块</w:t>
            </w:r>
          </w:p>
        </w:tc>
        <w:tc>
          <w:tcPr>
            <w:tcW w:w="810" w:type="dxa"/>
            <w:vAlign w:val="center"/>
          </w:tcPr>
          <w:p>
            <w:pPr>
              <w:keepNext w:val="0"/>
              <w:keepLines w:val="0"/>
              <w:widowControl/>
              <w:suppressLineNumbers w:val="0"/>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auto"/>
                <w:sz w:val="24"/>
                <w:szCs w:val="24"/>
                <w:highlight w:val="none"/>
                <w:lang w:val="en-US" w:eastAsia="zh-CN"/>
              </w:rPr>
              <w:t>通道</w:t>
            </w:r>
          </w:p>
        </w:tc>
        <w:tc>
          <w:tcPr>
            <w:tcW w:w="910" w:type="dxa"/>
            <w:vAlign w:val="center"/>
          </w:tcPr>
          <w:p>
            <w:pPr>
              <w:keepNext w:val="0"/>
              <w:keepLines w:val="0"/>
              <w:widowControl/>
              <w:suppressLineNumbers w:val="0"/>
              <w:jc w:val="center"/>
              <w:textAlignment w:val="cente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auto"/>
                <w:sz w:val="24"/>
                <w:szCs w:val="24"/>
                <w:highlight w:val="none"/>
                <w:lang w:val="en-US" w:eastAsia="zh-CN"/>
              </w:rPr>
              <w:t>20</w:t>
            </w:r>
          </w:p>
        </w:tc>
        <w:tc>
          <w:tcPr>
            <w:tcW w:w="1011" w:type="dxa"/>
            <w:vAlign w:val="center"/>
          </w:tcPr>
          <w:p>
            <w:pPr>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pPr>
              <w:keepNext w:val="0"/>
              <w:keepLines w:val="0"/>
              <w:widowControl/>
              <w:suppressLineNumbers w:val="0"/>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1.6</w:t>
            </w:r>
          </w:p>
        </w:tc>
        <w:tc>
          <w:tcPr>
            <w:tcW w:w="5430" w:type="dxa"/>
            <w:vAlign w:val="center"/>
          </w:tcPr>
          <w:p>
            <w:pPr>
              <w:keepNext w:val="0"/>
              <w:keepLines w:val="0"/>
              <w:widowControl/>
              <w:suppressLineNumbers w:val="0"/>
              <w:jc w:val="center"/>
              <w:textAlignment w:val="center"/>
              <w:rPr>
                <w:rFonts w:ascii="宋体" w:hAnsi="宋体" w:eastAsia="宋体" w:cs="宋体"/>
                <w:color w:val="auto"/>
                <w:szCs w:val="21"/>
              </w:rPr>
            </w:pPr>
            <w:r>
              <w:rPr>
                <w:rFonts w:hint="eastAsia" w:ascii="宋体" w:hAnsi="宋体" w:eastAsia="宋体" w:cs="宋体"/>
                <w:i w:val="0"/>
                <w:iCs w:val="0"/>
                <w:color w:val="000000"/>
                <w:kern w:val="0"/>
                <w:sz w:val="24"/>
                <w:szCs w:val="24"/>
                <w:highlight w:val="none"/>
                <w:u w:val="none"/>
                <w:lang w:val="en-US" w:eastAsia="zh-CN" w:bidi="ar"/>
              </w:rPr>
              <w:t>GNSS速度模块</w:t>
            </w:r>
          </w:p>
        </w:tc>
        <w:tc>
          <w:tcPr>
            <w:tcW w:w="810" w:type="dxa"/>
            <w:vAlign w:val="center"/>
          </w:tcPr>
          <w:p>
            <w:pPr>
              <w:keepNext w:val="0"/>
              <w:keepLines w:val="0"/>
              <w:widowControl/>
              <w:suppressLineNumbers w:val="0"/>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auto"/>
                <w:sz w:val="24"/>
                <w:szCs w:val="24"/>
                <w:highlight w:val="none"/>
                <w:lang w:val="en-US" w:eastAsia="zh-CN"/>
              </w:rPr>
              <w:t>块</w:t>
            </w:r>
          </w:p>
        </w:tc>
        <w:tc>
          <w:tcPr>
            <w:tcW w:w="910" w:type="dxa"/>
            <w:vAlign w:val="center"/>
          </w:tcPr>
          <w:p>
            <w:pPr>
              <w:keepNext w:val="0"/>
              <w:keepLines w:val="0"/>
              <w:widowControl/>
              <w:suppressLineNumbers w:val="0"/>
              <w:jc w:val="center"/>
              <w:textAlignment w:val="cente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auto"/>
                <w:sz w:val="24"/>
                <w:szCs w:val="24"/>
                <w:highlight w:val="none"/>
                <w:lang w:val="en-US" w:eastAsia="zh-CN"/>
              </w:rPr>
              <w:t>5</w:t>
            </w:r>
          </w:p>
        </w:tc>
        <w:tc>
          <w:tcPr>
            <w:tcW w:w="1011" w:type="dxa"/>
            <w:vAlign w:val="center"/>
          </w:tcPr>
          <w:p>
            <w:pPr>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pPr>
              <w:keepNext w:val="0"/>
              <w:keepLines w:val="0"/>
              <w:widowControl/>
              <w:suppressLineNumbers w:val="0"/>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1.7</w:t>
            </w:r>
          </w:p>
        </w:tc>
        <w:tc>
          <w:tcPr>
            <w:tcW w:w="5430" w:type="dxa"/>
            <w:vAlign w:val="center"/>
          </w:tcPr>
          <w:p>
            <w:pPr>
              <w:keepNext w:val="0"/>
              <w:keepLines w:val="0"/>
              <w:widowControl/>
              <w:suppressLineNumbers w:val="0"/>
              <w:jc w:val="center"/>
              <w:textAlignment w:val="center"/>
              <w:rPr>
                <w:rFonts w:ascii="宋体" w:hAnsi="宋体" w:eastAsia="宋体" w:cs="宋体"/>
                <w:color w:val="auto"/>
                <w:szCs w:val="21"/>
              </w:rPr>
            </w:pPr>
            <w:r>
              <w:rPr>
                <w:rFonts w:hint="eastAsia" w:ascii="宋体" w:hAnsi="宋体" w:eastAsia="宋体" w:cs="宋体"/>
                <w:i w:val="0"/>
                <w:iCs w:val="0"/>
                <w:color w:val="000000"/>
                <w:kern w:val="0"/>
                <w:sz w:val="24"/>
                <w:szCs w:val="24"/>
                <w:highlight w:val="none"/>
                <w:u w:val="none"/>
                <w:lang w:val="en-US" w:eastAsia="zh-CN" w:bidi="ar"/>
              </w:rPr>
              <w:t>无线通讯模块</w:t>
            </w:r>
          </w:p>
        </w:tc>
        <w:tc>
          <w:tcPr>
            <w:tcW w:w="810" w:type="dxa"/>
            <w:vAlign w:val="center"/>
          </w:tcPr>
          <w:p>
            <w:pPr>
              <w:keepNext w:val="0"/>
              <w:keepLines w:val="0"/>
              <w:widowControl/>
              <w:suppressLineNumbers w:val="0"/>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auto"/>
                <w:sz w:val="24"/>
                <w:szCs w:val="24"/>
                <w:highlight w:val="none"/>
                <w:lang w:val="en-US" w:eastAsia="zh-CN"/>
              </w:rPr>
              <w:t>个</w:t>
            </w:r>
          </w:p>
        </w:tc>
        <w:tc>
          <w:tcPr>
            <w:tcW w:w="910" w:type="dxa"/>
            <w:vAlign w:val="center"/>
          </w:tcPr>
          <w:p>
            <w:pPr>
              <w:keepNext w:val="0"/>
              <w:keepLines w:val="0"/>
              <w:widowControl/>
              <w:suppressLineNumbers w:val="0"/>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auto"/>
                <w:sz w:val="24"/>
                <w:szCs w:val="24"/>
                <w:highlight w:val="none"/>
                <w:lang w:val="en-US" w:eastAsia="zh-CN"/>
              </w:rPr>
              <w:t>5</w:t>
            </w:r>
          </w:p>
        </w:tc>
        <w:tc>
          <w:tcPr>
            <w:tcW w:w="1011" w:type="dxa"/>
            <w:vAlign w:val="center"/>
          </w:tcPr>
          <w:p>
            <w:pPr>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pPr>
              <w:keepNext w:val="0"/>
              <w:keepLines w:val="0"/>
              <w:widowControl/>
              <w:suppressLineNumbers w:val="0"/>
              <w:jc w:val="center"/>
              <w:textAlignment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1.8</w:t>
            </w:r>
          </w:p>
        </w:tc>
        <w:tc>
          <w:tcPr>
            <w:tcW w:w="5430" w:type="dxa"/>
            <w:vAlign w:val="center"/>
          </w:tcPr>
          <w:p>
            <w:pPr>
              <w:keepNext w:val="0"/>
              <w:keepLines w:val="0"/>
              <w:widowControl/>
              <w:suppressLineNumbers w:val="0"/>
              <w:jc w:val="center"/>
              <w:textAlignment w:val="center"/>
              <w:rPr>
                <w:rFonts w:hint="eastAsia" w:ascii="宋体" w:hAnsi="宋体" w:eastAsia="宋体" w:cs="宋体"/>
                <w:bCs/>
                <w:color w:val="auto"/>
                <w:kern w:val="0"/>
                <w:szCs w:val="21"/>
              </w:rPr>
            </w:pPr>
            <w:r>
              <w:rPr>
                <w:rFonts w:hint="eastAsia" w:ascii="宋体" w:hAnsi="宋体" w:eastAsia="宋体" w:cs="宋体"/>
                <w:i w:val="0"/>
                <w:iCs w:val="0"/>
                <w:color w:val="000000"/>
                <w:kern w:val="0"/>
                <w:sz w:val="24"/>
                <w:szCs w:val="24"/>
                <w:highlight w:val="none"/>
                <w:u w:val="none"/>
                <w:lang w:val="en-US" w:eastAsia="zh-CN" w:bidi="ar"/>
              </w:rPr>
              <w:t>触发器模块</w:t>
            </w:r>
          </w:p>
        </w:tc>
        <w:tc>
          <w:tcPr>
            <w:tcW w:w="810" w:type="dxa"/>
            <w:vAlign w:val="center"/>
          </w:tcPr>
          <w:p>
            <w:pPr>
              <w:keepNext w:val="0"/>
              <w:keepLines w:val="0"/>
              <w:widowControl/>
              <w:suppressLineNumbers w:val="0"/>
              <w:jc w:val="center"/>
              <w:textAlignment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auto"/>
                <w:sz w:val="24"/>
                <w:szCs w:val="24"/>
                <w:highlight w:val="none"/>
                <w:lang w:val="en-US" w:eastAsia="zh-CN"/>
              </w:rPr>
              <w:t>块</w:t>
            </w:r>
          </w:p>
        </w:tc>
        <w:tc>
          <w:tcPr>
            <w:tcW w:w="910" w:type="dxa"/>
            <w:vAlign w:val="center"/>
          </w:tcPr>
          <w:p>
            <w:pPr>
              <w:keepNext w:val="0"/>
              <w:keepLines w:val="0"/>
              <w:widowControl/>
              <w:suppressLineNumbers w:val="0"/>
              <w:jc w:val="center"/>
              <w:textAlignment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auto"/>
                <w:sz w:val="24"/>
                <w:szCs w:val="24"/>
                <w:highlight w:val="none"/>
                <w:lang w:val="en-US" w:eastAsia="zh-CN"/>
              </w:rPr>
              <w:t>5</w:t>
            </w:r>
          </w:p>
        </w:tc>
        <w:tc>
          <w:tcPr>
            <w:tcW w:w="1011" w:type="dxa"/>
            <w:vAlign w:val="center"/>
          </w:tcPr>
          <w:p>
            <w:pPr>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pPr>
              <w:keepNext w:val="0"/>
              <w:keepLines w:val="0"/>
              <w:widowControl/>
              <w:suppressLineNumbers w:val="0"/>
              <w:jc w:val="center"/>
              <w:textAlignment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1.9</w:t>
            </w:r>
          </w:p>
        </w:tc>
        <w:tc>
          <w:tcPr>
            <w:tcW w:w="5430" w:type="dxa"/>
            <w:vAlign w:val="center"/>
          </w:tcPr>
          <w:p>
            <w:pPr>
              <w:keepNext w:val="0"/>
              <w:keepLines w:val="0"/>
              <w:widowControl/>
              <w:suppressLineNumbers w:val="0"/>
              <w:jc w:val="center"/>
              <w:textAlignment w:val="center"/>
              <w:rPr>
                <w:rFonts w:hint="eastAsia" w:ascii="宋体" w:hAnsi="宋体" w:eastAsia="宋体" w:cs="宋体"/>
                <w:bCs/>
                <w:color w:val="auto"/>
                <w:kern w:val="0"/>
                <w:szCs w:val="21"/>
              </w:rPr>
            </w:pPr>
            <w:r>
              <w:rPr>
                <w:rFonts w:hint="eastAsia" w:ascii="宋体" w:hAnsi="宋体" w:eastAsia="宋体" w:cs="宋体"/>
                <w:i w:val="0"/>
                <w:iCs w:val="0"/>
                <w:color w:val="000000"/>
                <w:kern w:val="0"/>
                <w:sz w:val="24"/>
                <w:szCs w:val="24"/>
                <w:highlight w:val="none"/>
                <w:u w:val="none"/>
                <w:lang w:val="en-US" w:eastAsia="zh-CN" w:bidi="ar"/>
              </w:rPr>
              <w:t>数据处理器</w:t>
            </w:r>
          </w:p>
        </w:tc>
        <w:tc>
          <w:tcPr>
            <w:tcW w:w="810" w:type="dxa"/>
            <w:vAlign w:val="center"/>
          </w:tcPr>
          <w:p>
            <w:pPr>
              <w:keepNext w:val="0"/>
              <w:keepLines w:val="0"/>
              <w:widowControl/>
              <w:suppressLineNumbers w:val="0"/>
              <w:jc w:val="center"/>
              <w:textAlignment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auto"/>
                <w:sz w:val="24"/>
                <w:szCs w:val="24"/>
                <w:highlight w:val="none"/>
                <w:lang w:val="en-US" w:eastAsia="zh-CN"/>
              </w:rPr>
              <w:t>套</w:t>
            </w:r>
          </w:p>
        </w:tc>
        <w:tc>
          <w:tcPr>
            <w:tcW w:w="910" w:type="dxa"/>
            <w:vAlign w:val="center"/>
          </w:tcPr>
          <w:p>
            <w:pPr>
              <w:keepNext w:val="0"/>
              <w:keepLines w:val="0"/>
              <w:widowControl/>
              <w:suppressLineNumbers w:val="0"/>
              <w:jc w:val="center"/>
              <w:textAlignment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auto"/>
                <w:sz w:val="24"/>
                <w:szCs w:val="24"/>
                <w:highlight w:val="none"/>
                <w:lang w:val="en-US" w:eastAsia="zh-CN"/>
              </w:rPr>
              <w:t>5</w:t>
            </w:r>
          </w:p>
        </w:tc>
        <w:tc>
          <w:tcPr>
            <w:tcW w:w="1011" w:type="dxa"/>
            <w:vAlign w:val="center"/>
          </w:tcPr>
          <w:p>
            <w:pPr>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pPr>
              <w:keepNext w:val="0"/>
              <w:keepLines w:val="0"/>
              <w:widowControl/>
              <w:suppressLineNumbers w:val="0"/>
              <w:jc w:val="center"/>
              <w:textAlignment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1.10</w:t>
            </w:r>
          </w:p>
        </w:tc>
        <w:tc>
          <w:tcPr>
            <w:tcW w:w="5430" w:type="dxa"/>
            <w:vAlign w:val="center"/>
          </w:tcPr>
          <w:p>
            <w:pPr>
              <w:keepNext w:val="0"/>
              <w:keepLines w:val="0"/>
              <w:widowControl/>
              <w:suppressLineNumbers w:val="0"/>
              <w:jc w:val="center"/>
              <w:textAlignment w:val="center"/>
              <w:rPr>
                <w:rFonts w:hint="eastAsia" w:ascii="宋体" w:hAnsi="宋体" w:eastAsia="宋体" w:cs="宋体"/>
                <w:bCs/>
                <w:color w:val="auto"/>
                <w:kern w:val="0"/>
                <w:szCs w:val="21"/>
              </w:rPr>
            </w:pPr>
            <w:r>
              <w:rPr>
                <w:rFonts w:hint="eastAsia" w:ascii="宋体" w:hAnsi="宋体" w:eastAsia="宋体" w:cs="宋体"/>
                <w:i w:val="0"/>
                <w:iCs w:val="0"/>
                <w:color w:val="000000"/>
                <w:kern w:val="0"/>
                <w:sz w:val="24"/>
                <w:szCs w:val="24"/>
                <w:highlight w:val="none"/>
                <w:u w:val="none"/>
                <w:lang w:val="en-US" w:eastAsia="zh-CN" w:bidi="ar"/>
              </w:rPr>
              <w:t>车载电源调配模块</w:t>
            </w:r>
          </w:p>
        </w:tc>
        <w:tc>
          <w:tcPr>
            <w:tcW w:w="810" w:type="dxa"/>
            <w:vAlign w:val="center"/>
          </w:tcPr>
          <w:p>
            <w:pPr>
              <w:keepNext w:val="0"/>
              <w:keepLines w:val="0"/>
              <w:widowControl/>
              <w:suppressLineNumbers w:val="0"/>
              <w:jc w:val="center"/>
              <w:textAlignment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auto"/>
                <w:sz w:val="24"/>
                <w:szCs w:val="24"/>
                <w:highlight w:val="none"/>
                <w:lang w:val="en-US" w:eastAsia="zh-CN"/>
              </w:rPr>
              <w:t>套</w:t>
            </w:r>
          </w:p>
        </w:tc>
        <w:tc>
          <w:tcPr>
            <w:tcW w:w="910" w:type="dxa"/>
            <w:vAlign w:val="center"/>
          </w:tcPr>
          <w:p>
            <w:pPr>
              <w:keepNext w:val="0"/>
              <w:keepLines w:val="0"/>
              <w:widowControl/>
              <w:suppressLineNumbers w:val="0"/>
              <w:jc w:val="center"/>
              <w:textAlignment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auto"/>
                <w:sz w:val="24"/>
                <w:szCs w:val="24"/>
                <w:highlight w:val="none"/>
                <w:lang w:val="en-US" w:eastAsia="zh-CN"/>
              </w:rPr>
              <w:t>5</w:t>
            </w:r>
          </w:p>
        </w:tc>
        <w:tc>
          <w:tcPr>
            <w:tcW w:w="1011" w:type="dxa"/>
            <w:vAlign w:val="center"/>
          </w:tcPr>
          <w:p>
            <w:pPr>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pPr>
              <w:keepNext w:val="0"/>
              <w:keepLines w:val="0"/>
              <w:widowControl/>
              <w:suppressLineNumbers w:val="0"/>
              <w:jc w:val="center"/>
              <w:textAlignment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1.11</w:t>
            </w:r>
          </w:p>
        </w:tc>
        <w:tc>
          <w:tcPr>
            <w:tcW w:w="5430" w:type="dxa"/>
            <w:vAlign w:val="center"/>
          </w:tcPr>
          <w:p>
            <w:pPr>
              <w:keepNext w:val="0"/>
              <w:keepLines w:val="0"/>
              <w:widowControl/>
              <w:suppressLineNumbers w:val="0"/>
              <w:jc w:val="center"/>
              <w:textAlignment w:val="center"/>
              <w:rPr>
                <w:rFonts w:hint="eastAsia" w:ascii="宋体" w:hAnsi="宋体" w:eastAsia="宋体" w:cs="宋体"/>
                <w:bCs/>
                <w:color w:val="auto"/>
                <w:kern w:val="0"/>
                <w:szCs w:val="21"/>
              </w:rPr>
            </w:pPr>
            <w:r>
              <w:rPr>
                <w:rFonts w:hint="eastAsia" w:ascii="宋体" w:hAnsi="宋体" w:eastAsia="宋体" w:cs="宋体"/>
                <w:i w:val="0"/>
                <w:iCs w:val="0"/>
                <w:color w:val="000000"/>
                <w:kern w:val="0"/>
                <w:sz w:val="24"/>
                <w:szCs w:val="24"/>
                <w:highlight w:val="none"/>
                <w:u w:val="none"/>
                <w:lang w:val="en-US" w:eastAsia="zh-CN" w:bidi="ar"/>
              </w:rPr>
              <w:t>采集及分析软件</w:t>
            </w:r>
          </w:p>
        </w:tc>
        <w:tc>
          <w:tcPr>
            <w:tcW w:w="810" w:type="dxa"/>
            <w:vAlign w:val="center"/>
          </w:tcPr>
          <w:p>
            <w:pPr>
              <w:keepNext w:val="0"/>
              <w:keepLines w:val="0"/>
              <w:widowControl/>
              <w:suppressLineNumbers w:val="0"/>
              <w:jc w:val="center"/>
              <w:textAlignment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auto"/>
                <w:sz w:val="24"/>
                <w:szCs w:val="24"/>
                <w:highlight w:val="none"/>
                <w:lang w:val="en-US" w:eastAsia="zh-CN"/>
              </w:rPr>
              <w:t>套</w:t>
            </w:r>
          </w:p>
        </w:tc>
        <w:tc>
          <w:tcPr>
            <w:tcW w:w="910" w:type="dxa"/>
            <w:vAlign w:val="center"/>
          </w:tcPr>
          <w:p>
            <w:pPr>
              <w:keepNext w:val="0"/>
              <w:keepLines w:val="0"/>
              <w:widowControl/>
              <w:suppressLineNumbers w:val="0"/>
              <w:jc w:val="center"/>
              <w:textAlignment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auto"/>
                <w:sz w:val="24"/>
                <w:szCs w:val="24"/>
                <w:highlight w:val="none"/>
                <w:lang w:val="en-US" w:eastAsia="zh-CN"/>
              </w:rPr>
              <w:t>5</w:t>
            </w:r>
          </w:p>
        </w:tc>
        <w:tc>
          <w:tcPr>
            <w:tcW w:w="1011" w:type="dxa"/>
            <w:vAlign w:val="center"/>
          </w:tcPr>
          <w:p>
            <w:pPr>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bl>
    <w:p>
      <w:pPr>
        <w:pStyle w:val="2"/>
        <w:rPr>
          <w:rFonts w:hint="default" w:eastAsia="宋体"/>
          <w:lang w:val="en-US" w:eastAsia="zh-CN"/>
        </w:rPr>
      </w:pPr>
      <w:r>
        <w:rPr>
          <w:rFonts w:hint="eastAsia" w:eastAsia="宋体"/>
          <w:lang w:val="en-US" w:eastAsia="zh-CN"/>
        </w:rPr>
        <w:t>传感器部分：</w:t>
      </w:r>
    </w:p>
    <w:tbl>
      <w:tblPr>
        <w:tblStyle w:val="127"/>
        <w:tblW w:w="501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80"/>
        <w:gridCol w:w="5448"/>
        <w:gridCol w:w="829"/>
        <w:gridCol w:w="936"/>
        <w:gridCol w:w="10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jc w:val="center"/>
        </w:trPr>
        <w:tc>
          <w:tcPr>
            <w:tcW w:w="483"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序号</w:t>
            </w:r>
          </w:p>
        </w:tc>
        <w:tc>
          <w:tcPr>
            <w:tcW w:w="2991"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名称</w:t>
            </w:r>
          </w:p>
        </w:tc>
        <w:tc>
          <w:tcPr>
            <w:tcW w:w="455"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单位</w:t>
            </w:r>
          </w:p>
        </w:tc>
        <w:tc>
          <w:tcPr>
            <w:tcW w:w="514"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数量</w:t>
            </w:r>
          </w:p>
        </w:tc>
        <w:tc>
          <w:tcPr>
            <w:tcW w:w="554"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483" w:type="pct"/>
            <w:tcBorders>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p>
        </w:tc>
        <w:tc>
          <w:tcPr>
            <w:tcW w:w="2991"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传感器配件部分</w:t>
            </w:r>
          </w:p>
        </w:tc>
        <w:tc>
          <w:tcPr>
            <w:tcW w:w="455"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p>
        </w:tc>
        <w:tc>
          <w:tcPr>
            <w:tcW w:w="514"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p>
        </w:tc>
        <w:tc>
          <w:tcPr>
            <w:tcW w:w="554"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jc w:val="center"/>
        </w:trPr>
        <w:tc>
          <w:tcPr>
            <w:tcW w:w="483" w:type="pct"/>
            <w:tcBorders>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2.1</w:t>
            </w:r>
          </w:p>
        </w:tc>
        <w:tc>
          <w:tcPr>
            <w:tcW w:w="2991"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超级惯导</w:t>
            </w:r>
          </w:p>
        </w:tc>
        <w:tc>
          <w:tcPr>
            <w:tcW w:w="455"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套</w:t>
            </w:r>
          </w:p>
        </w:tc>
        <w:tc>
          <w:tcPr>
            <w:tcW w:w="514"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p>
        </w:tc>
        <w:tc>
          <w:tcPr>
            <w:tcW w:w="554"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483" w:type="pct"/>
            <w:tcBorders>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2.2</w:t>
            </w:r>
          </w:p>
        </w:tc>
        <w:tc>
          <w:tcPr>
            <w:tcW w:w="2991"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测力方向盘</w:t>
            </w:r>
          </w:p>
        </w:tc>
        <w:tc>
          <w:tcPr>
            <w:tcW w:w="455"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套</w:t>
            </w:r>
          </w:p>
        </w:tc>
        <w:tc>
          <w:tcPr>
            <w:tcW w:w="514"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p>
        </w:tc>
        <w:tc>
          <w:tcPr>
            <w:tcW w:w="554"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483" w:type="pct"/>
            <w:tcBorders>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2.3</w:t>
            </w:r>
          </w:p>
        </w:tc>
        <w:tc>
          <w:tcPr>
            <w:tcW w:w="2991"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踏板力计</w:t>
            </w:r>
          </w:p>
        </w:tc>
        <w:tc>
          <w:tcPr>
            <w:tcW w:w="455"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个</w:t>
            </w:r>
          </w:p>
        </w:tc>
        <w:tc>
          <w:tcPr>
            <w:tcW w:w="514"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p>
        </w:tc>
        <w:tc>
          <w:tcPr>
            <w:tcW w:w="554"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483" w:type="pct"/>
            <w:tcBorders>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2.4</w:t>
            </w:r>
          </w:p>
        </w:tc>
        <w:tc>
          <w:tcPr>
            <w:tcW w:w="2991" w:type="pct"/>
            <w:tcBorders>
              <w:lef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制动管路压力传感器</w:t>
            </w:r>
          </w:p>
        </w:tc>
        <w:tc>
          <w:tcPr>
            <w:tcW w:w="455" w:type="pct"/>
            <w:tcBorders>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个</w:t>
            </w:r>
          </w:p>
        </w:tc>
        <w:tc>
          <w:tcPr>
            <w:tcW w:w="514" w:type="pct"/>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20</w:t>
            </w:r>
          </w:p>
        </w:tc>
        <w:tc>
          <w:tcPr>
            <w:tcW w:w="554" w:type="pct"/>
            <w:tcBorders>
              <w:lef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483" w:type="pct"/>
            <w:tcBorders>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2.5</w:t>
            </w:r>
          </w:p>
        </w:tc>
        <w:tc>
          <w:tcPr>
            <w:tcW w:w="2991" w:type="pct"/>
            <w:tcBorders>
              <w:lef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拉线位移传感器</w:t>
            </w:r>
          </w:p>
        </w:tc>
        <w:tc>
          <w:tcPr>
            <w:tcW w:w="455" w:type="pct"/>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个</w:t>
            </w:r>
          </w:p>
        </w:tc>
        <w:tc>
          <w:tcPr>
            <w:tcW w:w="514" w:type="pct"/>
            <w:tcBorders>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p>
        </w:tc>
        <w:tc>
          <w:tcPr>
            <w:tcW w:w="554" w:type="pct"/>
            <w:tcBorders>
              <w:lef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483" w:type="pct"/>
            <w:tcBorders>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2.6</w:t>
            </w:r>
          </w:p>
        </w:tc>
        <w:tc>
          <w:tcPr>
            <w:tcW w:w="2991" w:type="pct"/>
            <w:tcBorders>
              <w:lef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拉压力计</w:t>
            </w:r>
          </w:p>
        </w:tc>
        <w:tc>
          <w:tcPr>
            <w:tcW w:w="455" w:type="pct"/>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个</w:t>
            </w:r>
          </w:p>
        </w:tc>
        <w:tc>
          <w:tcPr>
            <w:tcW w:w="514" w:type="pct"/>
            <w:tcBorders>
              <w:righ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p>
        </w:tc>
        <w:tc>
          <w:tcPr>
            <w:tcW w:w="554" w:type="pct"/>
            <w:tcBorders>
              <w:left w:val="single" w:color="auto" w:sz="4" w:space="0"/>
            </w:tcBorders>
            <w:vAlign w:val="center"/>
          </w:tcPr>
          <w:p>
            <w:pPr>
              <w:spacing w:line="360" w:lineRule="auto"/>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p>
        </w:tc>
      </w:tr>
    </w:tbl>
    <w:p>
      <w:pPr>
        <w:pStyle w:val="2"/>
      </w:pP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1.在终验收前，</w:t>
      </w:r>
      <w:r>
        <w:rPr>
          <w:rFonts w:hint="eastAsia" w:ascii="宋体" w:hAnsi="宋体" w:eastAsia="宋体" w:cs="宋体"/>
          <w:bCs/>
          <w:sz w:val="24"/>
          <w:szCs w:val="24"/>
        </w:rPr>
        <w:t>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2.在终验收前，提供货物各部分的功能描述文件、图片、影像等资料（进口、设备应有中外文对照）。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w:t>
      </w:r>
      <w:r>
        <w:rPr>
          <w:rFonts w:hint="eastAsia" w:ascii="宋体" w:hAnsi="宋体" w:eastAsia="宋体" w:cs="宋体"/>
          <w:sz w:val="24"/>
          <w:szCs w:val="24"/>
          <w:highlight w:val="yellow"/>
        </w:rPr>
        <w:t>电子版光盘</w:t>
      </w:r>
      <w:r>
        <w:rPr>
          <w:rFonts w:hint="eastAsia" w:ascii="宋体" w:hAnsi="宋体" w:eastAsia="宋体" w:cs="宋体"/>
          <w:sz w:val="24"/>
          <w:szCs w:val="24"/>
        </w:rPr>
        <w:t>；每份技术文件应装有目录清单。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w:t>
      </w:r>
      <w:r>
        <w:rPr>
          <w:rFonts w:hint="eastAsia" w:ascii="宋体" w:hAnsi="宋体" w:eastAsia="宋体" w:cs="宋体"/>
          <w:sz w:val="24"/>
          <w:szCs w:val="24"/>
          <w:lang w:val="en-US" w:eastAsia="zh-CN"/>
        </w:rPr>
        <w:t>提供完整的第三方检测报告。</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22" w:name="_Toc169605883"/>
    </w:p>
    <w:p>
      <w:pPr>
        <w:pStyle w:val="16"/>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22"/>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二、供货地点：济南市高新区华奥路777号重汽科技园</w:t>
      </w:r>
      <w:r>
        <w:rPr>
          <w:rFonts w:hint="eastAsia" w:ascii="宋体" w:hAnsi="宋体" w:eastAsia="宋体" w:cs="宋体"/>
          <w:sz w:val="24"/>
          <w:szCs w:val="24"/>
        </w:rPr>
        <w:t>。</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1.自合同生效后</w:t>
      </w:r>
      <w:r>
        <w:rPr>
          <w:rFonts w:hint="eastAsia" w:ascii="宋体" w:hAnsi="宋体" w:eastAsia="宋体" w:cs="宋体"/>
          <w:sz w:val="24"/>
          <w:szCs w:val="24"/>
          <w:highlight w:val="yellow"/>
          <w:u w:val="single"/>
          <w:lang w:val="en-US" w:eastAsia="zh-CN"/>
        </w:rPr>
        <w:t>150</w:t>
      </w:r>
      <w:r>
        <w:rPr>
          <w:rFonts w:ascii="宋体" w:hAnsi="宋体" w:eastAsia="宋体" w:cs="宋体"/>
          <w:sz w:val="24"/>
          <w:szCs w:val="24"/>
        </w:rPr>
        <w:t>个</w:t>
      </w:r>
      <w:r>
        <w:rPr>
          <w:rFonts w:hint="eastAsia" w:ascii="宋体" w:hAnsi="宋体" w:eastAsia="宋体" w:cs="宋体"/>
          <w:sz w:val="24"/>
          <w:szCs w:val="24"/>
        </w:rPr>
        <w:t>日历日</w:t>
      </w:r>
      <w:r>
        <w:rPr>
          <w:rFonts w:ascii="宋体" w:hAnsi="宋体" w:eastAsia="宋体" w:cs="宋体"/>
          <w:sz w:val="24"/>
          <w:szCs w:val="24"/>
        </w:rPr>
        <w:t>内，中标人须交付设备到招标人指定的安装和使用的现场，并保证整套测试系统正常进入试运行状态。</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u w:val="single"/>
        </w:rPr>
        <w:t>0</w:t>
      </w:r>
      <w:r>
        <w:rPr>
          <w:rFonts w:hint="eastAsia" w:ascii="宋体" w:hAnsi="宋体" w:eastAsia="宋体" w:cs="宋体"/>
          <w:sz w:val="24"/>
          <w:szCs w:val="24"/>
        </w:rPr>
        <w:t>个日历日之内安装调试完毕。</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highlight w:val="yellow"/>
          <w:u w:val="single"/>
          <w:lang w:val="en-US" w:eastAsia="zh-CN"/>
        </w:rPr>
        <w:t>10</w:t>
      </w:r>
      <w:r>
        <w:rPr>
          <w:rFonts w:hint="eastAsia" w:ascii="宋体" w:hAnsi="宋体" w:eastAsia="宋体" w:cs="宋体"/>
          <w:sz w:val="24"/>
          <w:szCs w:val="24"/>
        </w:rPr>
        <w:t>个日历日之内完成终验收。</w:t>
      </w:r>
    </w:p>
    <w:p>
      <w:pPr>
        <w:spacing w:line="360" w:lineRule="auto"/>
        <w:ind w:firstLine="480" w:firstLineChars="200"/>
        <w:outlineLvl w:val="3"/>
        <w:rPr>
          <w:rFonts w:hAnsi="宋体" w:eastAsia="宋体" w:cs="宋体"/>
          <w:color w:val="000000"/>
          <w:sz w:val="24"/>
          <w:szCs w:val="24"/>
        </w:rPr>
      </w:pPr>
      <w:r>
        <w:rPr>
          <w:rFonts w:hint="eastAsia" w:ascii="宋体" w:hAnsi="宋体" w:eastAsia="宋体" w:cs="宋体"/>
          <w:sz w:val="24"/>
          <w:szCs w:val="24"/>
          <w:highlight w:val="yellow"/>
        </w:rPr>
        <w:t>安装调试时间或终验收时间超过规定时间</w:t>
      </w:r>
      <w:r>
        <w:rPr>
          <w:rFonts w:hint="eastAsia" w:hAnsi="宋体" w:eastAsia="宋体" w:cs="宋体"/>
          <w:color w:val="000000"/>
          <w:sz w:val="24"/>
          <w:szCs w:val="24"/>
        </w:rPr>
        <w:t>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23"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23"/>
    </w:p>
    <w:p>
      <w:pPr>
        <w:pStyle w:val="117"/>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lang w:val="en-US" w:eastAsia="zh-CN"/>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adjustRightInd w:val="0"/>
        <w:snapToGrid w:val="0"/>
        <w:spacing w:line="360" w:lineRule="auto"/>
        <w:ind w:firstLine="480" w:firstLineChars="200"/>
        <w:rPr>
          <w:rFonts w:hint="eastAsia" w:ascii="宋体" w:hAnsi="宋体" w:eastAsia="宋体" w:cs="宋体"/>
          <w:sz w:val="24"/>
          <w:szCs w:val="24"/>
        </w:rPr>
      </w:pPr>
      <w:r>
        <w:rPr>
          <w:rFonts w:hint="default" w:ascii="宋体" w:hAnsi="宋体" w:eastAsia="宋体" w:cs="宋体"/>
          <w:sz w:val="24"/>
          <w:szCs w:val="24"/>
        </w:rPr>
        <w:t>5.中标方应对测试系统包含的软件提供更新和升级服务，软件license在质保期内免费升级，对于招标人在使用过程中发现的软硬件问题及时解决</w:t>
      </w:r>
      <w:r>
        <w:rPr>
          <w:rFonts w:hint="eastAsia" w:ascii="宋体" w:hAnsi="宋体" w:eastAsia="宋体" w:cs="宋体"/>
          <w:sz w:val="24"/>
          <w:szCs w:val="24"/>
          <w:lang w:eastAsia="zh-CN"/>
        </w:rPr>
        <w:t>。</w:t>
      </w:r>
    </w:p>
    <w:p>
      <w:pPr>
        <w:pStyle w:val="117"/>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个日历日。</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7"/>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17"/>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lang w:val="en-US" w:eastAsia="zh-CN"/>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117"/>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pPr>
        <w:pStyle w:val="16"/>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24" w:name="_Toc465187646"/>
      <w:bookmarkStart w:id="25" w:name="_Toc465187647"/>
      <w:r>
        <w:rPr>
          <w:rFonts w:hint="eastAsia" w:ascii="Calibri" w:hAnsi="Calibri" w:eastAsia="宋体" w:cs="Times New Roman"/>
          <w:b/>
          <w:bCs/>
          <w:kern w:val="44"/>
          <w:sz w:val="28"/>
          <w:szCs w:val="28"/>
        </w:rPr>
        <w:t>第五章  预验收和终验收</w:t>
      </w:r>
      <w:bookmarkEnd w:id="24"/>
    </w:p>
    <w:p>
      <w:pPr>
        <w:pStyle w:val="117"/>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2.如果验收过程中，发现招标文件、投标文件、答疑文件、技术交流文件等与技术标书、合同存在差异，原则上以涉及条款中对招标人最有利条款为验收依据。</w:t>
      </w:r>
    </w:p>
    <w:p>
      <w:pPr>
        <w:pStyle w:val="117"/>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2.进口货物的检验，中标人需要按照下述要求进行：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应依据合同规定的要求，提供买卖双方达成一致的货物的验收标准和装箱单，作为招标人检验的依据。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招标人有权申请中国商品检验检疫局进行检验，如发现货物的品质及规格与合同或发票不符，除招标人的责任外，招标人有权在货物到达卸货目的地后180个日历日内，根据中国商品检验检疫局出具的证明书向中标人提出索赔，因索赔所发生的一切费用(包括检验检疫费等)均由中标人承担。</w:t>
      </w:r>
    </w:p>
    <w:p>
      <w:pPr>
        <w:pStyle w:val="117"/>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1.终验收一般条件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1.1货物安装调试完毕，买方能够独立完成试验测试和数据分析。</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1.2计量仪器、仪表配套合理，采用中国的法定计量单位，计量准确、灵敏可靠。保证设计指标和仪器说明书的参数的实现。</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1.3试运行期间或之后无维修、调整等行为（特殊情况除外）。</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1.4货物质量、技术性能等，达到签定的技术协议书和合同规定的终验收标准。</w:t>
      </w:r>
    </w:p>
    <w:p>
      <w:pPr>
        <w:adjustRightInd w:val="0"/>
        <w:snapToGrid w:val="0"/>
        <w:spacing w:line="360" w:lineRule="auto"/>
        <w:ind w:firstLine="480" w:firstLineChars="200"/>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1.5</w:t>
      </w:r>
      <w:r>
        <w:rPr>
          <w:rFonts w:hint="eastAsia" w:ascii="宋体" w:hAnsi="宋体" w:eastAsia="宋体" w:cs="宋体"/>
          <w:color w:val="000000"/>
          <w:sz w:val="24"/>
          <w:szCs w:val="24"/>
          <w:lang w:val="en-US" w:eastAsia="zh-CN"/>
        </w:rPr>
        <w:t>提供完整的第三方检验检测报告。</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2.终验收基本要求</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2.1测试设备能够满足买方测试车辆要求，其测量参数应满足技术协议的要求；</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2.2对于每个测试项目，试验数据经测试验证并得到买方认可；</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2.3终验收原则上要求一次完成。若一次验收不成功，最多允许两次；如果出现第三次验收失败，重新作价或退货；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2.4终验收通过后买卖双方共同签署终验收报告，并移交、核对全部供货范围内物品。</w:t>
      </w: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6"/>
        <w:rPr>
          <w:rFonts w:hAnsi="宋体" w:eastAsia="宋体" w:cs="宋体"/>
          <w:color w:val="000000"/>
          <w:sz w:val="24"/>
          <w:szCs w:val="24"/>
        </w:rPr>
      </w:pPr>
    </w:p>
    <w:p>
      <w:pPr>
        <w:pStyle w:val="130"/>
        <w:spacing w:line="360" w:lineRule="auto"/>
        <w:outlineLvl w:val="1"/>
        <w:rPr>
          <w:rFonts w:eastAsia="宋体"/>
          <w:b/>
          <w:bCs w:val="0"/>
          <w:iCs/>
          <w:color w:val="auto"/>
          <w:sz w:val="28"/>
        </w:rPr>
      </w:pPr>
      <w:r>
        <w:rPr>
          <w:rFonts w:eastAsia="宋体"/>
          <w:b/>
          <w:bCs w:val="0"/>
          <w:iCs/>
          <w:color w:val="auto"/>
          <w:sz w:val="28"/>
        </w:rPr>
        <w:t>第六章  投标技术文件一般要求</w:t>
      </w:r>
      <w:bookmarkEnd w:id="25"/>
    </w:p>
    <w:p>
      <w:pPr>
        <w:pStyle w:val="117"/>
        <w:spacing w:line="360" w:lineRule="auto"/>
        <w:rPr>
          <w:color w:val="auto"/>
        </w:rPr>
      </w:pPr>
      <w:r>
        <w:rPr>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360" w:lineRule="auto"/>
        <w:ind w:firstLine="2160" w:firstLineChars="900"/>
        <w:rPr>
          <w:rFonts w:hint="eastAsia"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24"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236"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单价</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总价</w:t>
            </w:r>
          </w:p>
        </w:tc>
        <w:tc>
          <w:tcPr>
            <w:tcW w:w="2235"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17"/>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17"/>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3"/>
        <w:spacing w:before="120" w:after="120" w:line="360" w:lineRule="auto"/>
        <w:rPr>
          <w:rFonts w:ascii="宋体" w:hAnsi="宋体" w:eastAsia="宋体" w:cs="宋体"/>
          <w:b w:val="0"/>
          <w:sz w:val="24"/>
          <w:szCs w:val="24"/>
        </w:rPr>
        <w:sectPr>
          <w:footerReference r:id="rId10" w:type="first"/>
          <w:footerReference r:id="rId9" w:type="default"/>
          <w:pgSz w:w="11906" w:h="16838"/>
          <w:pgMar w:top="1588" w:right="1418" w:bottom="1134" w:left="1418" w:header="851" w:footer="992" w:gutter="0"/>
          <w:cols w:space="720" w:num="1"/>
          <w:titlePg/>
          <w:docGrid w:linePitch="312" w:charSpace="0"/>
        </w:sectPr>
      </w:pPr>
      <w:bookmarkStart w:id="26" w:name="_Toc465187648"/>
    </w:p>
    <w:p>
      <w:pPr>
        <w:pStyle w:val="130"/>
        <w:outlineLvl w:val="1"/>
        <w:rPr>
          <w:rFonts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bookmarkEnd w:id="26"/>
    </w:p>
    <w:p>
      <w:pPr>
        <w:pStyle w:val="117"/>
        <w:spacing w:line="360" w:lineRule="auto"/>
        <w:rPr>
          <w:rFonts w:ascii="宋体" w:hAnsi="宋体" w:cs="宋体"/>
          <w:color w:val="auto"/>
        </w:rPr>
      </w:pPr>
      <w:r>
        <w:rPr>
          <w:rFonts w:hint="eastAsia" w:ascii="宋体" w:hAnsi="宋体" w:cs="宋体"/>
          <w:color w:val="auto"/>
        </w:rPr>
        <w:t>一、要求</w:t>
      </w:r>
    </w:p>
    <w:p>
      <w:pPr>
        <w:pStyle w:val="19"/>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117"/>
        <w:spacing w:line="360" w:lineRule="auto"/>
        <w:rPr>
          <w:sz w:val="21"/>
          <w:szCs w:val="22"/>
        </w:rPr>
      </w:pPr>
      <w:r>
        <w:rPr>
          <w:rFonts w:hint="eastAsia" w:ascii="宋体" w:hAnsi="宋体" w:cs="宋体"/>
          <w:color w:val="auto"/>
        </w:rPr>
        <w:t>二、其他</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pPr>
        <w:pStyle w:val="16"/>
        <w:spacing w:line="360" w:lineRule="auto"/>
        <w:rPr>
          <w:rFonts w:hAnsi="宋体" w:eastAsia="宋体" w:cs="宋体"/>
        </w:rPr>
        <w:sectPr>
          <w:pgSz w:w="11907" w:h="16840"/>
          <w:pgMar w:top="1304" w:right="1418" w:bottom="1304" w:left="1418" w:header="724" w:footer="851" w:gutter="0"/>
          <w:cols w:space="720" w:num="1"/>
          <w:docGrid w:linePitch="290" w:charSpace="-3931"/>
        </w:sectPr>
      </w:pPr>
    </w:p>
    <w:p>
      <w:pPr>
        <w:pStyle w:val="16"/>
      </w:pPr>
    </w:p>
    <w:p>
      <w:pPr>
        <w:spacing w:line="360" w:lineRule="auto"/>
        <w:jc w:val="center"/>
        <w:outlineLvl w:val="0"/>
        <w:rPr>
          <w:rFonts w:ascii="宋体" w:hAnsi="Calibri" w:eastAsia="宋体" w:cs="Times New Roman"/>
          <w:b/>
          <w:sz w:val="36"/>
          <w:szCs w:val="36"/>
        </w:rPr>
      </w:pPr>
      <w:bookmarkStart w:id="27"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27"/>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2"/>
        <w:jc w:val="center"/>
        <w:rPr>
          <w:rFonts w:hint="default"/>
          <w:sz w:val="11"/>
          <w:szCs w:val="15"/>
          <w:lang w:val="en-US" w:eastAsia="zh-CN"/>
        </w:rPr>
      </w:pPr>
      <w:r>
        <w:rPr>
          <w:rFonts w:hint="eastAsia" w:ascii="方正小标宋简体" w:hAnsi="宋体" w:eastAsia="方正小标宋简体"/>
          <w:bCs/>
          <w:sz w:val="22"/>
          <w:szCs w:val="16"/>
          <w:lang w:val="en-US" w:eastAsia="zh-CN"/>
        </w:rPr>
        <w:t>(合同以双方最终签署的版本为准)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sectPr>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28" w:name="_Toc16330018"/>
      <w:bookmarkStart w:id="29" w:name="_Toc9465"/>
      <w:bookmarkStart w:id="30" w:name="_Toc11823"/>
      <w:bookmarkStart w:id="31" w:name="_Toc17619"/>
      <w:bookmarkStart w:id="32" w:name="_Toc11930"/>
      <w:r>
        <w:rPr>
          <w:rFonts w:hint="eastAsia" w:ascii="黑体" w:hAnsi="黑体" w:eastAsia="黑体" w:cstheme="minorEastAsia"/>
          <w:b w:val="0"/>
          <w:sz w:val="28"/>
          <w:szCs w:val="28"/>
        </w:rPr>
        <w:t>1 合同设备</w:t>
      </w:r>
      <w:bookmarkEnd w:id="28"/>
      <w:bookmarkEnd w:id="29"/>
      <w:bookmarkEnd w:id="30"/>
      <w:bookmarkEnd w:id="31"/>
      <w:bookmarkEnd w:id="3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33" w:name="_Toc29026"/>
      <w:bookmarkStart w:id="34" w:name="_Toc22800"/>
      <w:bookmarkStart w:id="35" w:name="_Toc3251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36" w:name="_Toc16330019"/>
      <w:bookmarkStart w:id="37" w:name="_Toc7716"/>
      <w:r>
        <w:rPr>
          <w:rFonts w:hint="eastAsia" w:ascii="黑体" w:hAnsi="黑体" w:eastAsia="黑体" w:cstheme="minorEastAsia"/>
          <w:b w:val="0"/>
          <w:sz w:val="28"/>
          <w:szCs w:val="28"/>
        </w:rPr>
        <w:t>2 包装</w:t>
      </w:r>
      <w:bookmarkEnd w:id="33"/>
      <w:bookmarkEnd w:id="34"/>
      <w:bookmarkEnd w:id="35"/>
      <w:bookmarkEnd w:id="36"/>
      <w:bookmarkEnd w:id="3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38" w:name="_Toc27144"/>
      <w:bookmarkStart w:id="39" w:name="_Toc30507"/>
      <w:bookmarkStart w:id="40" w:name="_Toc16330020"/>
      <w:bookmarkStart w:id="41" w:name="_Toc27453"/>
      <w:bookmarkStart w:id="42" w:name="_Toc2833"/>
      <w:r>
        <w:rPr>
          <w:rFonts w:hint="eastAsia" w:ascii="黑体" w:hAnsi="黑体" w:eastAsia="黑体" w:cstheme="minorEastAsia"/>
          <w:b w:val="0"/>
          <w:sz w:val="28"/>
          <w:szCs w:val="28"/>
        </w:rPr>
        <w:t>3 运输标记</w:t>
      </w:r>
      <w:bookmarkEnd w:id="38"/>
      <w:bookmarkEnd w:id="39"/>
      <w:bookmarkEnd w:id="40"/>
      <w:bookmarkEnd w:id="41"/>
      <w:bookmarkEnd w:id="4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43" w:name="_Toc7431"/>
      <w:bookmarkStart w:id="44" w:name="_Toc10630"/>
      <w:bookmarkStart w:id="45" w:name="_Toc16330021"/>
      <w:bookmarkStart w:id="46" w:name="_Toc8624"/>
      <w:bookmarkStart w:id="47" w:name="_Toc16133"/>
      <w:r>
        <w:rPr>
          <w:rFonts w:hint="eastAsia" w:ascii="黑体" w:hAnsi="黑体" w:eastAsia="黑体" w:cstheme="minorEastAsia"/>
          <w:b w:val="0"/>
          <w:sz w:val="28"/>
          <w:szCs w:val="28"/>
        </w:rPr>
        <w:t>4 检验</w:t>
      </w:r>
      <w:bookmarkEnd w:id="43"/>
      <w:bookmarkEnd w:id="44"/>
      <w:bookmarkEnd w:id="45"/>
      <w:bookmarkEnd w:id="46"/>
      <w:bookmarkEnd w:id="4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48" w:name="_Toc24467"/>
      <w:bookmarkStart w:id="49" w:name="_Toc16330022"/>
      <w:bookmarkStart w:id="50" w:name="_Toc11217"/>
      <w:bookmarkStart w:id="51" w:name="_Toc19850"/>
      <w:bookmarkStart w:id="52" w:name="_Toc14275"/>
      <w:r>
        <w:rPr>
          <w:rFonts w:hint="eastAsia" w:ascii="黑体" w:hAnsi="黑体" w:eastAsia="黑体" w:cstheme="minorEastAsia"/>
          <w:b w:val="0"/>
          <w:sz w:val="28"/>
          <w:szCs w:val="28"/>
        </w:rPr>
        <w:t>5 权利担保</w:t>
      </w:r>
      <w:bookmarkEnd w:id="48"/>
      <w:bookmarkEnd w:id="49"/>
      <w:bookmarkEnd w:id="50"/>
      <w:bookmarkEnd w:id="51"/>
      <w:bookmarkEnd w:id="5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53" w:name="_Toc27500"/>
      <w:bookmarkStart w:id="54" w:name="_Toc16330023"/>
      <w:bookmarkStart w:id="55" w:name="_Toc20827"/>
      <w:bookmarkStart w:id="56" w:name="_Toc11759"/>
      <w:bookmarkStart w:id="57" w:name="_Toc14809"/>
      <w:r>
        <w:rPr>
          <w:rFonts w:hint="eastAsia" w:ascii="黑体" w:hAnsi="黑体" w:eastAsia="黑体" w:cstheme="minorEastAsia"/>
          <w:b w:val="0"/>
          <w:sz w:val="28"/>
          <w:szCs w:val="28"/>
        </w:rPr>
        <w:t>6 交货</w:t>
      </w:r>
      <w:bookmarkEnd w:id="53"/>
      <w:bookmarkEnd w:id="54"/>
      <w:bookmarkEnd w:id="55"/>
      <w:bookmarkEnd w:id="56"/>
      <w:bookmarkEnd w:id="5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58" w:name="_Toc23308"/>
      <w:bookmarkStart w:id="59" w:name="_Toc16330024"/>
      <w:bookmarkStart w:id="60" w:name="_Toc8024"/>
      <w:bookmarkStart w:id="61" w:name="_Toc25510"/>
      <w:bookmarkStart w:id="62" w:name="_Toc2984"/>
      <w:r>
        <w:rPr>
          <w:rFonts w:hint="eastAsia" w:ascii="黑体" w:hAnsi="黑体" w:eastAsia="黑体" w:cstheme="minorEastAsia"/>
          <w:b w:val="0"/>
          <w:sz w:val="28"/>
          <w:szCs w:val="28"/>
        </w:rPr>
        <w:t>7 安装、调试</w:t>
      </w:r>
      <w:bookmarkEnd w:id="58"/>
      <w:bookmarkEnd w:id="59"/>
      <w:bookmarkEnd w:id="60"/>
      <w:bookmarkEnd w:id="61"/>
      <w:bookmarkEnd w:id="62"/>
    </w:p>
    <w:p>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63" w:name="_Toc6350"/>
      <w:bookmarkStart w:id="64" w:name="_Toc14098"/>
      <w:bookmarkStart w:id="65" w:name="_Toc14260"/>
      <w:bookmarkStart w:id="66" w:name="_Toc16330025"/>
      <w:bookmarkStart w:id="67" w:name="_Toc15547"/>
      <w:r>
        <w:rPr>
          <w:rFonts w:hint="eastAsia" w:ascii="黑体" w:hAnsi="黑体" w:eastAsia="黑体" w:cstheme="minorEastAsia"/>
          <w:b w:val="0"/>
          <w:sz w:val="28"/>
          <w:szCs w:val="28"/>
        </w:rPr>
        <w:t>8 价款与支付</w:t>
      </w:r>
      <w:bookmarkEnd w:id="63"/>
      <w:bookmarkEnd w:id="64"/>
      <w:bookmarkEnd w:id="65"/>
      <w:bookmarkEnd w:id="66"/>
      <w:bookmarkEnd w:id="6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68" w:name="_Toc14531628"/>
      <w:bookmarkStart w:id="69" w:name="_Toc14676804"/>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68"/>
      <w:bookmarkEnd w:id="69"/>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70" w:name="_Toc24085"/>
      <w:bookmarkStart w:id="71" w:name="_Toc16330026"/>
      <w:bookmarkStart w:id="72" w:name="_Toc21726"/>
      <w:bookmarkStart w:id="73" w:name="_Toc25708"/>
      <w:bookmarkStart w:id="74" w:name="_Toc6726"/>
      <w:r>
        <w:rPr>
          <w:rFonts w:hint="eastAsia" w:ascii="黑体" w:hAnsi="黑体" w:eastAsia="黑体" w:cstheme="minorEastAsia"/>
          <w:b w:val="0"/>
          <w:sz w:val="28"/>
          <w:szCs w:val="28"/>
        </w:rPr>
        <w:t>9 质量保证及售后服务</w:t>
      </w:r>
      <w:bookmarkEnd w:id="70"/>
      <w:bookmarkEnd w:id="71"/>
      <w:bookmarkEnd w:id="72"/>
      <w:bookmarkEnd w:id="73"/>
      <w:bookmarkEnd w:id="7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75" w:name="_Toc15570"/>
      <w:bookmarkStart w:id="76" w:name="_Toc26769"/>
      <w:bookmarkStart w:id="77" w:name="_Toc16330027"/>
      <w:bookmarkStart w:id="78" w:name="_Toc10359"/>
      <w:bookmarkStart w:id="79" w:name="_Toc12927"/>
      <w:r>
        <w:rPr>
          <w:rFonts w:hint="eastAsia" w:ascii="黑体" w:hAnsi="黑体" w:eastAsia="黑体" w:cstheme="minorEastAsia"/>
          <w:b w:val="0"/>
          <w:sz w:val="28"/>
          <w:szCs w:val="28"/>
        </w:rPr>
        <w:t>10法定责任</w:t>
      </w:r>
      <w:bookmarkEnd w:id="75"/>
      <w:bookmarkEnd w:id="76"/>
      <w:bookmarkEnd w:id="77"/>
      <w:bookmarkEnd w:id="78"/>
      <w:bookmarkEnd w:id="79"/>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80" w:name="_Toc16330028"/>
      <w:bookmarkStart w:id="81" w:name="_Toc27314"/>
      <w:bookmarkStart w:id="82" w:name="_Toc7698"/>
      <w:bookmarkStart w:id="83" w:name="_Toc30381"/>
      <w:bookmarkStart w:id="84" w:name="_Toc9708"/>
      <w:r>
        <w:rPr>
          <w:rFonts w:hint="eastAsia" w:ascii="黑体" w:hAnsi="黑体" w:eastAsia="黑体" w:cstheme="minorEastAsia"/>
          <w:b w:val="0"/>
          <w:sz w:val="28"/>
          <w:szCs w:val="28"/>
        </w:rPr>
        <w:t>11 违约责任</w:t>
      </w:r>
      <w:bookmarkEnd w:id="80"/>
      <w:bookmarkEnd w:id="81"/>
      <w:bookmarkEnd w:id="82"/>
      <w:bookmarkEnd w:id="83"/>
      <w:bookmarkEnd w:id="8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85" w:name="_Toc9172"/>
      <w:bookmarkStart w:id="86" w:name="_Toc16330029"/>
      <w:bookmarkStart w:id="87" w:name="_Toc1827"/>
      <w:bookmarkStart w:id="88" w:name="_Toc31554"/>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85"/>
    <w:bookmarkEnd w:id="86"/>
    <w:bookmarkEnd w:id="87"/>
    <w:bookmarkEnd w:id="88"/>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89" w:name="_Toc23793"/>
      <w:r>
        <w:rPr>
          <w:rFonts w:hint="eastAsia" w:ascii="黑体" w:hAnsi="黑体" w:eastAsia="黑体" w:cstheme="minorEastAsia"/>
          <w:b w:val="0"/>
          <w:sz w:val="28"/>
          <w:szCs w:val="28"/>
        </w:rPr>
        <w:t>12 合同的终止与解除</w:t>
      </w:r>
      <w:bookmarkEnd w:id="89"/>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90" w:name="_Toc8620"/>
      <w:bookmarkStart w:id="91" w:name="_Toc31945"/>
      <w:bookmarkStart w:id="92" w:name="_Toc13671"/>
      <w:bookmarkStart w:id="93" w:name="_Toc16330030"/>
      <w:bookmarkStart w:id="94" w:name="_Toc11937"/>
      <w:r>
        <w:rPr>
          <w:rFonts w:hint="eastAsia" w:ascii="黑体" w:hAnsi="黑体" w:eastAsia="黑体" w:cstheme="minorEastAsia"/>
          <w:b w:val="0"/>
          <w:sz w:val="28"/>
          <w:szCs w:val="28"/>
        </w:rPr>
        <w:t>13 不可抗力</w:t>
      </w:r>
      <w:bookmarkEnd w:id="90"/>
      <w:bookmarkEnd w:id="91"/>
      <w:bookmarkEnd w:id="92"/>
      <w:bookmarkEnd w:id="93"/>
      <w:bookmarkEnd w:id="9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95" w:name="_Toc16330031"/>
      <w:bookmarkStart w:id="96" w:name="_Toc30389"/>
      <w:bookmarkStart w:id="97" w:name="_Toc18772"/>
      <w:bookmarkStart w:id="98" w:name="_Toc31243"/>
      <w:bookmarkStart w:id="99" w:name="_Toc637"/>
      <w:r>
        <w:rPr>
          <w:rFonts w:hint="eastAsia" w:ascii="黑体" w:hAnsi="黑体" w:eastAsia="黑体" w:cstheme="minorEastAsia"/>
          <w:b w:val="0"/>
          <w:sz w:val="28"/>
          <w:szCs w:val="28"/>
        </w:rPr>
        <w:t>14 通讯</w:t>
      </w:r>
      <w:bookmarkEnd w:id="95"/>
      <w:bookmarkEnd w:id="96"/>
      <w:bookmarkEnd w:id="97"/>
      <w:bookmarkEnd w:id="98"/>
      <w:bookmarkEnd w:id="9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2"/>
        <w:tabs>
          <w:tab w:val="right" w:leader="dot" w:pos="9061"/>
        </w:tabs>
        <w:spacing w:before="312" w:beforeLines="100"/>
        <w:rPr>
          <w:rFonts w:ascii="黑体" w:hAnsi="黑体" w:eastAsia="黑体" w:cstheme="minorEastAsia"/>
          <w:b w:val="0"/>
          <w:sz w:val="28"/>
          <w:szCs w:val="28"/>
        </w:rPr>
      </w:pPr>
      <w:bookmarkStart w:id="100" w:name="_Toc9915"/>
      <w:bookmarkStart w:id="101" w:name="_Toc16330032"/>
      <w:bookmarkStart w:id="102" w:name="_Toc12984"/>
      <w:bookmarkStart w:id="103" w:name="_Toc23011"/>
      <w:bookmarkStart w:id="104" w:name="_Toc11290"/>
      <w:r>
        <w:rPr>
          <w:rFonts w:hint="eastAsia" w:ascii="黑体" w:hAnsi="黑体" w:eastAsia="黑体" w:cstheme="minorEastAsia"/>
          <w:b w:val="0"/>
          <w:sz w:val="28"/>
          <w:szCs w:val="28"/>
        </w:rPr>
        <w:t>15 适用法律及争议解决</w:t>
      </w:r>
      <w:bookmarkEnd w:id="100"/>
      <w:bookmarkEnd w:id="101"/>
      <w:bookmarkEnd w:id="102"/>
      <w:bookmarkEnd w:id="103"/>
      <w:bookmarkEnd w:id="10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5" w:name="_Toc18207"/>
      <w:bookmarkStart w:id="106" w:name="_Toc23906"/>
      <w:bookmarkStart w:id="107" w:name="_Toc16330033"/>
      <w:bookmarkStart w:id="108" w:name="_Toc23765"/>
      <w:bookmarkStart w:id="109" w:name="_Toc5747"/>
      <w:r>
        <w:rPr>
          <w:rFonts w:hint="eastAsia" w:ascii="黑体" w:hAnsi="黑体" w:eastAsia="黑体" w:cstheme="minorEastAsia"/>
          <w:b w:val="0"/>
          <w:sz w:val="28"/>
          <w:szCs w:val="28"/>
        </w:rPr>
        <w:t>16 附件</w:t>
      </w:r>
      <w:bookmarkEnd w:id="105"/>
      <w:bookmarkEnd w:id="106"/>
      <w:bookmarkEnd w:id="107"/>
      <w:bookmarkEnd w:id="108"/>
      <w:bookmarkEnd w:id="10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10" w:name="_Toc31331"/>
      <w:bookmarkStart w:id="111" w:name="_Toc9594"/>
      <w:bookmarkStart w:id="112" w:name="_Toc17656"/>
      <w:bookmarkStart w:id="113" w:name="_Toc27202"/>
      <w:bookmarkStart w:id="114" w:name="_Toc16330034"/>
      <w:r>
        <w:rPr>
          <w:rFonts w:hint="eastAsia" w:ascii="黑体" w:hAnsi="黑体" w:eastAsia="黑体" w:cstheme="minorEastAsia"/>
          <w:b w:val="0"/>
          <w:sz w:val="28"/>
          <w:szCs w:val="28"/>
        </w:rPr>
        <w:t>17 其他规定</w:t>
      </w:r>
      <w:bookmarkEnd w:id="110"/>
      <w:bookmarkEnd w:id="111"/>
      <w:bookmarkEnd w:id="112"/>
      <w:bookmarkEnd w:id="113"/>
      <w:bookmarkEnd w:id="11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15" w:name="_Toc17952"/>
      <w:bookmarkStart w:id="116" w:name="_Toc19077"/>
      <w:bookmarkStart w:id="117" w:name="_Toc29136"/>
      <w:bookmarkStart w:id="118"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19" w:name="_Toc15340"/>
      <w:r>
        <w:rPr>
          <w:rFonts w:hint="eastAsia" w:ascii="黑体" w:hAnsi="黑体" w:eastAsia="黑体" w:cstheme="minorEastAsia"/>
          <w:b w:val="0"/>
          <w:sz w:val="28"/>
          <w:szCs w:val="28"/>
        </w:rPr>
        <w:t>18 签署事项</w:t>
      </w:r>
      <w:bookmarkEnd w:id="115"/>
      <w:bookmarkEnd w:id="116"/>
      <w:bookmarkEnd w:id="117"/>
      <w:bookmarkEnd w:id="118"/>
      <w:bookmarkEnd w:id="11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20" w:name="_Toc10272"/>
      <w:bookmarkStart w:id="121" w:name="_Toc28611"/>
      <w:bookmarkStart w:id="122" w:name="_Toc16330036"/>
      <w:bookmarkStart w:id="123" w:name="_Toc15689"/>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bookmarkEnd w:id="120"/>
    <w:bookmarkEnd w:id="121"/>
    <w:bookmarkEnd w:id="122"/>
    <w:bookmarkEnd w:id="123"/>
    <w:p>
      <w:pPr>
        <w:rPr>
          <w:sz w:val="24"/>
          <w:szCs w:val="24"/>
        </w:rPr>
      </w:pPr>
    </w:p>
    <w:p>
      <w:pPr>
        <w:pStyle w:val="2"/>
        <w:tabs>
          <w:tab w:val="right" w:leader="dot" w:pos="9061"/>
        </w:tabs>
        <w:rPr>
          <w:rFonts w:ascii="黑体" w:hAnsi="黑体" w:eastAsia="黑体" w:cstheme="minorEastAsia"/>
          <w:b w:val="0"/>
          <w:sz w:val="28"/>
          <w:szCs w:val="28"/>
        </w:rPr>
      </w:pPr>
      <w:bookmarkStart w:id="124" w:name="_Toc14581"/>
      <w:r>
        <w:rPr>
          <w:rFonts w:hint="eastAsia" w:ascii="黑体" w:hAnsi="黑体" w:eastAsia="黑体" w:cstheme="minorEastAsia"/>
          <w:b w:val="0"/>
          <w:sz w:val="28"/>
          <w:szCs w:val="28"/>
        </w:rPr>
        <w:t>附件一：设备清单明细表</w:t>
      </w:r>
      <w:bookmarkEnd w:id="124"/>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25" w:name="_Toc24623"/>
      <w:bookmarkStart w:id="126" w:name="_Toc5379"/>
      <w:bookmarkStart w:id="127" w:name="_Toc3778"/>
      <w:bookmarkStart w:id="128" w:name="_Toc16330037"/>
      <w:bookmarkStart w:id="129" w:name="_Toc25120"/>
    </w:p>
    <w:p>
      <w:pPr>
        <w:rPr>
          <w:rFonts w:ascii="黑体" w:hAnsi="黑体" w:eastAsia="黑体" w:cstheme="minorEastAsia"/>
          <w:sz w:val="28"/>
          <w:szCs w:val="28"/>
        </w:rPr>
      </w:pPr>
      <w:bookmarkStart w:id="130" w:name="_Toc8175"/>
      <w:r>
        <w:rPr>
          <w:rFonts w:hint="eastAsia" w:ascii="黑体" w:hAnsi="黑体" w:eastAsia="黑体" w:cstheme="minorEastAsia"/>
          <w:sz w:val="28"/>
          <w:szCs w:val="28"/>
        </w:rPr>
        <w:t xml:space="preserve">附件二 </w:t>
      </w:r>
      <w:bookmarkEnd w:id="125"/>
      <w:bookmarkEnd w:id="126"/>
      <w:bookmarkEnd w:id="127"/>
      <w:bookmarkEnd w:id="128"/>
      <w:bookmarkEnd w:id="129"/>
      <w:r>
        <w:rPr>
          <w:rFonts w:hint="eastAsia" w:ascii="黑体" w:hAnsi="黑体" w:eastAsia="黑体" w:cstheme="minorEastAsia"/>
          <w:sz w:val="28"/>
          <w:szCs w:val="28"/>
        </w:rPr>
        <w:t>技术协议书</w:t>
      </w:r>
      <w:bookmarkEnd w:id="130"/>
    </w:p>
    <w:p>
      <w:pPr>
        <w:ind w:right="360"/>
        <w:rPr>
          <w:rFonts w:asciiTheme="minorEastAsia" w:hAnsiTheme="minorEastAsia" w:cstheme="minorEastAsia"/>
          <w:sz w:val="20"/>
          <w:szCs w:val="20"/>
        </w:rPr>
        <w:sectPr>
          <w:headerReference r:id="rId11" w:type="default"/>
          <w:footerReference r:id="rId12"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31" w:name="_Toc2969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31"/>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spacing w:line="420" w:lineRule="exact"/>
        <w:ind w:firstLine="720" w:firstLineChars="200"/>
        <w:rPr>
          <w:rFonts w:ascii="宋体" w:hAnsi="宋体" w:eastAsia="宋体" w:cs="宋体"/>
          <w:sz w:val="36"/>
          <w:szCs w:val="36"/>
        </w:rPr>
      </w:pPr>
      <w:r>
        <w:rPr>
          <w:rFonts w:hint="eastAsia" w:ascii="宋体" w:hAnsi="宋体" w:eastAsia="宋体" w:cs="宋体"/>
          <w:sz w:val="36"/>
          <w:szCs w:val="36"/>
        </w:rPr>
        <w:t>说明：</w:t>
      </w:r>
    </w:p>
    <w:p>
      <w:pPr>
        <w:spacing w:line="420" w:lineRule="exact"/>
        <w:ind w:firstLine="720" w:firstLineChars="200"/>
        <w:rPr>
          <w:rFonts w:ascii="宋体" w:hAnsi="宋体" w:eastAsia="宋体" w:cs="宋体"/>
          <w:sz w:val="36"/>
          <w:szCs w:val="36"/>
        </w:rPr>
      </w:pPr>
      <w:r>
        <w:rPr>
          <w:rFonts w:hint="eastAsia" w:ascii="宋体" w:hAnsi="宋体" w:eastAsia="宋体" w:cs="宋体"/>
          <w:sz w:val="36"/>
          <w:szCs w:val="36"/>
        </w:rPr>
        <w:t>1、投标人须认真填写和提交本部分中的附件文件；</w:t>
      </w:r>
    </w:p>
    <w:p>
      <w:pPr>
        <w:spacing w:line="420" w:lineRule="exact"/>
        <w:ind w:firstLine="720" w:firstLineChars="200"/>
        <w:rPr>
          <w:rFonts w:ascii="宋体" w:hAnsi="宋体" w:eastAsia="宋体" w:cs="宋体"/>
          <w:sz w:val="36"/>
          <w:szCs w:val="36"/>
        </w:rPr>
      </w:pPr>
      <w:r>
        <w:rPr>
          <w:rFonts w:hint="eastAsia" w:ascii="宋体" w:hAnsi="宋体" w:eastAsia="宋体" w:cs="宋体"/>
          <w:sz w:val="36"/>
          <w:szCs w:val="36"/>
        </w:rPr>
        <w:t>2、对附件文件中所要求的内容应给予明确的答复；</w:t>
      </w:r>
    </w:p>
    <w:p>
      <w:pPr>
        <w:spacing w:line="420" w:lineRule="exact"/>
        <w:ind w:firstLine="720" w:firstLineChars="200"/>
        <w:rPr>
          <w:rFonts w:ascii="宋体" w:hAnsi="宋体" w:eastAsia="宋体" w:cs="宋体"/>
          <w:sz w:val="36"/>
          <w:szCs w:val="36"/>
        </w:rPr>
      </w:pPr>
      <w:r>
        <w:rPr>
          <w:rFonts w:hint="eastAsia" w:ascii="宋体" w:hAnsi="宋体" w:eastAsia="宋体" w:cs="宋体"/>
          <w:sz w:val="36"/>
          <w:szCs w:val="36"/>
        </w:rPr>
        <w:t>3、附件文件的签字人应保证其对一切问题的答复、所做的声明及出具的资格资质文件、资料等具有真实性和准确性；</w:t>
      </w:r>
    </w:p>
    <w:p>
      <w:pPr>
        <w:spacing w:line="420" w:lineRule="exact"/>
        <w:ind w:firstLine="720" w:firstLineChars="200"/>
        <w:rPr>
          <w:rFonts w:ascii="宋体" w:hAnsi="宋体" w:eastAsia="宋体" w:cs="宋体"/>
          <w:sz w:val="36"/>
          <w:szCs w:val="36"/>
        </w:rPr>
      </w:pPr>
      <w:r>
        <w:rPr>
          <w:rFonts w:hint="eastAsia" w:ascii="宋体" w:hAnsi="宋体" w:eastAsia="宋体" w:cs="宋体"/>
          <w:sz w:val="36"/>
          <w:szCs w:val="36"/>
        </w:rPr>
        <w:t>4、招标人将对投标人提交的文件、资料等内容予以保密，但不退还；</w:t>
      </w:r>
    </w:p>
    <w:p>
      <w:pPr>
        <w:spacing w:line="420" w:lineRule="exact"/>
        <w:ind w:firstLine="720" w:firstLineChars="200"/>
        <w:rPr>
          <w:rFonts w:ascii="宋体" w:hAnsi="宋体" w:eastAsia="宋体" w:cs="宋体"/>
          <w:sz w:val="36"/>
          <w:szCs w:val="36"/>
        </w:rPr>
      </w:pPr>
      <w:r>
        <w:rPr>
          <w:rFonts w:hint="eastAsia" w:ascii="宋体" w:hAnsi="宋体" w:eastAsia="宋体" w:cs="宋体"/>
          <w:sz w:val="36"/>
          <w:szCs w:val="36"/>
        </w:rPr>
        <w:t>5、所有附件文件应以中文书写，作为投标文件的组成部分。</w:t>
      </w:r>
    </w:p>
    <w:p>
      <w:pPr>
        <w:keepNext/>
        <w:keepLines/>
        <w:outlineLvl w:val="2"/>
        <w:rPr>
          <w:rFonts w:ascii="Times New Roman" w:hAnsi="Times New Roman" w:eastAsia="宋体" w:cs="Times New Roman"/>
          <w:b/>
          <w:bCs/>
          <w:color w:val="000000"/>
          <w:sz w:val="36"/>
          <w:szCs w:val="36"/>
        </w:rPr>
      </w:pPr>
    </w:p>
    <w:p>
      <w:pPr>
        <w:keepNext/>
        <w:keepLines/>
        <w:outlineLvl w:val="2"/>
        <w:rPr>
          <w:rFonts w:ascii="Times New Roman" w:hAnsi="Times New Roman" w:eastAsia="宋体" w:cs="Times New Roman"/>
          <w:b/>
          <w:bCs/>
          <w:color w:val="000000"/>
          <w:sz w:val="36"/>
          <w:szCs w:val="36"/>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pStyle w:val="2"/>
        <w:rPr>
          <w:rFonts w:ascii="Times New Roman" w:hAnsi="Times New Roman"/>
          <w:color w:val="000000"/>
          <w:szCs w:val="24"/>
        </w:rPr>
      </w:pPr>
    </w:p>
    <w:p>
      <w:pPr>
        <w:rPr>
          <w:rFonts w:ascii="Times New Roman" w:hAnsi="Times New Roman" w:eastAsia="宋体" w:cs="Times New Roman"/>
          <w:b/>
          <w:bCs/>
          <w:color w:val="000000"/>
          <w:sz w:val="24"/>
          <w:szCs w:val="24"/>
        </w:rPr>
      </w:pPr>
    </w:p>
    <w:p>
      <w:pPr>
        <w:pStyle w:val="2"/>
        <w:rPr>
          <w:rFonts w:ascii="Times New Roman" w:hAnsi="Times New Roman"/>
          <w:color w:val="000000"/>
          <w:szCs w:val="24"/>
        </w:rPr>
      </w:pPr>
    </w:p>
    <w:p>
      <w:pPr>
        <w:rPr>
          <w:rFonts w:ascii="Times New Roman" w:hAnsi="Times New Roman" w:eastAsia="宋体" w:cs="Times New Roman"/>
          <w:b/>
          <w:bCs/>
          <w:color w:val="000000"/>
          <w:sz w:val="24"/>
          <w:szCs w:val="24"/>
        </w:rPr>
      </w:pPr>
    </w:p>
    <w:p>
      <w:pPr>
        <w:pStyle w:val="2"/>
        <w:rPr>
          <w:rFonts w:ascii="Times New Roman" w:hAnsi="Times New Roman"/>
          <w:color w:val="000000"/>
          <w:szCs w:val="24"/>
        </w:rPr>
      </w:pPr>
    </w:p>
    <w:p>
      <w:pPr>
        <w:rPr>
          <w:rFonts w:ascii="Times New Roman" w:hAnsi="Times New Roman" w:eastAsia="宋体" w:cs="Times New Roman"/>
          <w:b/>
          <w:bCs/>
          <w:color w:val="000000"/>
          <w:sz w:val="24"/>
          <w:szCs w:val="24"/>
        </w:rPr>
      </w:pPr>
    </w:p>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2" w:name="_Toc639004"/>
      <w:bookmarkStart w:id="133" w:name="_Toc353881012"/>
      <w:bookmarkStart w:id="134" w:name="_Toc212369550"/>
      <w:bookmarkStart w:id="135"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2"/>
      <w:bookmarkEnd w:id="133"/>
      <w:bookmarkEnd w:id="134"/>
      <w:bookmarkEnd w:id="135"/>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b/>
          <w:bCs/>
          <w:color w:val="000000"/>
          <w:sz w:val="24"/>
          <w:szCs w:val="24"/>
          <w:u w:val="single"/>
          <w:lang w:eastAsia="zh-CN"/>
        </w:rPr>
        <w:t>整车道路性能测试系统采购项目</w:t>
      </w:r>
      <w:r>
        <w:rPr>
          <w:rFonts w:hint="eastAsia" w:ascii="宋体" w:hAnsi="宋体" w:eastAsia="宋体" w:cs="Times New Roman"/>
          <w:b/>
          <w:bCs/>
          <w:color w:val="000000"/>
          <w:sz w:val="24"/>
          <w:szCs w:val="24"/>
          <w:u w:val="single"/>
        </w:rPr>
        <w:t xml:space="preserve"> </w:t>
      </w:r>
      <w:r>
        <w:rPr>
          <w:rFonts w:hint="eastAsia" w:ascii="宋体" w:hAnsi="宋体" w:eastAsia="宋体" w:cs="Times New Roman"/>
          <w:bCs/>
          <w:snapToGrid w:val="0"/>
          <w:color w:val="000000"/>
          <w:kern w:val="0"/>
          <w:sz w:val="24"/>
          <w:szCs w:val="24"/>
        </w:rPr>
        <w:t>招标公告</w:t>
      </w:r>
      <w:r>
        <w:rPr>
          <w:rFonts w:ascii="宋体" w:hAnsi="宋体" w:eastAsia="宋体" w:cs="Times New Roman"/>
          <w:b/>
          <w:bCs/>
          <w:snapToGrid w:val="0"/>
          <w:color w:val="000000"/>
          <w:kern w:val="0"/>
          <w:sz w:val="24"/>
          <w:szCs w:val="24"/>
          <w:u w:val="single"/>
        </w:rPr>
        <w:t xml:space="preserve">              </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lang w:val="en-US" w:eastAsia="zh-CN"/>
        </w:rPr>
        <w:t>五</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eastAsia="zh-CN"/>
        </w:rPr>
        <w:t>整车道路性能测试系统采购项目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FF0000"/>
          <w:sz w:val="24"/>
          <w:szCs w:val="24"/>
          <w:highlight w:val="yellow"/>
          <w:lang w:eastAsia="zh-CN"/>
        </w:rPr>
        <w:t>CGZX2023040148</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6"/>
        <w:rPr>
          <w:rFonts w:ascii="Calibri" w:hAnsi="Calibri" w:eastAsia="黑体" w:cs="Times New Roman"/>
          <w:b/>
          <w:bCs/>
          <w:color w:val="000000"/>
          <w:sz w:val="28"/>
          <w:szCs w:val="20"/>
        </w:rPr>
        <w:sectPr>
          <w:footerReference r:id="rId14" w:type="first"/>
          <w:footerReference r:id="rId13" w:type="default"/>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29"/>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29"/>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2" w:hRule="atLeast"/>
        </w:trPr>
        <w:tc>
          <w:tcPr>
            <w:tcW w:w="1956" w:type="dxa"/>
          </w:tcPr>
          <w:p>
            <w:pPr>
              <w:pStyle w:val="129"/>
              <w:spacing w:before="114"/>
              <w:ind w:left="720"/>
            </w:pPr>
            <w:r>
              <w:t xml:space="preserve">品牌区分 </w:t>
            </w:r>
          </w:p>
        </w:tc>
        <w:tc>
          <w:tcPr>
            <w:tcW w:w="7500" w:type="dxa"/>
            <w:gridSpan w:val="6"/>
          </w:tcPr>
          <w:p>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29"/>
              <w:spacing w:before="15"/>
              <w:ind w:left="279"/>
            </w:pPr>
            <w:r>
              <w:rPr>
                <w:spacing w:val="-2"/>
              </w:rPr>
              <w:t>质量</w:t>
            </w:r>
            <w:r>
              <w:t xml:space="preserve"> </w:t>
            </w:r>
          </w:p>
          <w:p>
            <w:pPr>
              <w:pStyle w:val="129"/>
              <w:spacing w:before="30" w:line="277" w:lineRule="exact"/>
              <w:ind w:left="279"/>
            </w:pPr>
            <w:r>
              <w:rPr>
                <w:rFonts w:hint="eastAsia"/>
              </w:rPr>
              <w:t>体系</w:t>
            </w:r>
          </w:p>
        </w:tc>
        <w:tc>
          <w:tcPr>
            <w:tcW w:w="2820" w:type="dxa"/>
            <w:gridSpan w:val="2"/>
          </w:tcPr>
          <w:p>
            <w:pPr>
              <w:pStyle w:val="129"/>
              <w:spacing w:before="158"/>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6"/>
        <w:rPr>
          <w:rFonts w:ascii="Times New Roman" w:hAnsi="Times New Roman" w:eastAsia="宋体" w:cs="Times New Roman"/>
          <w:b/>
          <w:bCs/>
          <w:color w:val="000000"/>
          <w:sz w:val="24"/>
          <w:szCs w:val="24"/>
        </w:rPr>
      </w:pPr>
    </w:p>
    <w:tbl>
      <w:tblPr>
        <w:tblStyle w:val="35"/>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2019年</w:t>
            </w:r>
          </w:p>
        </w:tc>
        <w:tc>
          <w:tcPr>
            <w:tcW w:w="165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59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450" w:type="dxa"/>
            <w:vAlign w:val="center"/>
          </w:tcPr>
          <w:p>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lang w:eastAsia="zh-CN"/>
        </w:rPr>
        <w:t>整车道路性能测试系统采购项目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lang w:eastAsia="zh-CN"/>
        </w:rPr>
        <w:t>整车道路性能测试系统采购项目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lang w:eastAsia="zh-CN"/>
        </w:rPr>
        <w:t>整车道路性能测试系统采购项目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提供近三年同类产品的制造销售业绩（用户名单、联系方式）</w:t>
      </w:r>
      <w:r>
        <w:rPr>
          <w:rFonts w:hint="eastAsia" w:ascii="宋体" w:hAnsi="宋体" w:eastAsia="宋体" w:cs="Times New Roman"/>
          <w:sz w:val="24"/>
          <w:szCs w:val="20"/>
        </w:rPr>
        <w:t>，并附合同复印件。</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eastAsia="zh-CN"/>
        </w:rPr>
        <w:t>整车道路性能测试系统采购项目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lang w:eastAsia="zh-CN"/>
        </w:rPr>
        <w:t>整车道路性能测试系统采购项目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461" w:type="dxa"/>
            <w:vAlign w:val="center"/>
          </w:tcPr>
          <w:p>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szCs w:val="20"/>
                <w:lang w:eastAsia="zh-CN"/>
              </w:rPr>
              <w:t>整车道路性能测试系统</w:t>
            </w:r>
          </w:p>
        </w:tc>
        <w:tc>
          <w:tcPr>
            <w:tcW w:w="780" w:type="dxa"/>
            <w:vAlign w:val="center"/>
          </w:tcPr>
          <w:p>
            <w:pPr>
              <w:jc w:val="center"/>
              <w:rPr>
                <w:rFonts w:hint="eastAsia" w:ascii="Times New Roman" w:hAnsi="Times New Roman" w:eastAsia="宋体" w:cs="Times New Roman"/>
                <w:b/>
                <w:szCs w:val="20"/>
                <w:lang w:eastAsia="zh-CN"/>
              </w:rPr>
            </w:pPr>
            <w:r>
              <w:rPr>
                <w:rFonts w:ascii="Times New Roman" w:hAnsi="Times New Roman" w:eastAsia="宋体" w:cs="Times New Roman"/>
                <w:b/>
                <w:color w:val="auto"/>
                <w:szCs w:val="20"/>
                <w:highlight w:val="none"/>
              </w:rPr>
              <w:t>1</w:t>
            </w:r>
            <w:r>
              <w:rPr>
                <w:rFonts w:hint="eastAsia" w:ascii="Times New Roman" w:hAnsi="Times New Roman" w:eastAsia="宋体" w:cs="Times New Roman"/>
                <w:b/>
                <w:color w:val="auto"/>
                <w:szCs w:val="20"/>
                <w:highlight w:val="none"/>
                <w:lang w:val="en-US" w:eastAsia="zh-CN"/>
              </w:rPr>
              <w:t>套</w:t>
            </w:r>
          </w:p>
        </w:tc>
        <w:tc>
          <w:tcPr>
            <w:tcW w:w="158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990" w:type="dxa"/>
            <w:vAlign w:val="center"/>
          </w:tcPr>
          <w:p>
            <w:pPr>
              <w:jc w:val="center"/>
              <w:rPr>
                <w:rFonts w:ascii="Times New Roman" w:hAnsi="Times New Roman" w:eastAsia="宋体" w:cs="Times New Roman"/>
                <w:b/>
                <w:szCs w:val="20"/>
              </w:rPr>
            </w:pPr>
          </w:p>
        </w:tc>
        <w:tc>
          <w:tcPr>
            <w:tcW w:w="1375" w:type="dxa"/>
            <w:vAlign w:val="center"/>
          </w:tcPr>
          <w:p>
            <w:pPr>
              <w:jc w:val="center"/>
              <w:rPr>
                <w:rFonts w:ascii="Times New Roman" w:hAnsi="Times New Roman" w:eastAsia="宋体" w:cs="Times New Roman"/>
                <w:b/>
                <w:szCs w:val="20"/>
              </w:rPr>
            </w:pPr>
          </w:p>
        </w:tc>
        <w:tc>
          <w:tcPr>
            <w:tcW w:w="1065" w:type="dxa"/>
            <w:vAlign w:val="center"/>
          </w:tcPr>
          <w:p>
            <w:pPr>
              <w:jc w:val="center"/>
              <w:rPr>
                <w:rFonts w:ascii="Times New Roman" w:hAnsi="Times New Roman" w:eastAsia="宋体" w:cs="Times New Roman"/>
                <w:b/>
                <w:szCs w:val="20"/>
              </w:rPr>
            </w:pPr>
          </w:p>
        </w:tc>
        <w:tc>
          <w:tcPr>
            <w:tcW w:w="1132"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6"/>
        <w:sectPr>
          <w:pgSz w:w="11906" w:h="16838"/>
          <w:pgMar w:top="1588" w:right="1418" w:bottom="1134" w:left="1418" w:header="851" w:footer="992" w:gutter="0"/>
          <w:cols w:space="720" w:num="1"/>
          <w:titlePg/>
          <w:docGrid w:type="lines" w:linePitch="312" w:charSpace="0"/>
        </w:sectPr>
      </w:pPr>
    </w:p>
    <w:p>
      <w:pPr>
        <w:rPr>
          <w:rFonts w:ascii="宋体" w:hAnsi="宋体" w:cs="宋体"/>
          <w:color w:val="000000"/>
          <w:sz w:val="24"/>
          <w:szCs w:val="24"/>
        </w:rPr>
      </w:pPr>
    </w:p>
    <w:p>
      <w:pPr>
        <w:pStyle w:val="4"/>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4"/>
        <w:spacing w:before="140" w:after="140" w:line="240" w:lineRule="auto"/>
        <w:jc w:val="left"/>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rPr>
          <w:rFonts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yellow"/>
          <w:lang w:eastAsia="zh-CN"/>
          <w14:textOutline w14:w="3835" w14:cap="flat" w14:cmpd="sng" w14:algn="ctr">
            <w14:solidFill>
              <w14:srgbClr w14:val="000000"/>
            </w14:solidFill>
            <w14:prstDash w14:val="solid"/>
            <w14:miter w14:val="0"/>
          </w14:textOutline>
        </w:rPr>
        <w:t>CGZX2023040148</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792"/>
        <w:gridCol w:w="1685"/>
        <w:gridCol w:w="1120"/>
        <w:gridCol w:w="2205"/>
        <w:gridCol w:w="2280"/>
        <w:gridCol w:w="2151"/>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792"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85"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05"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280" w:type="dxa"/>
            <w:tcBorders>
              <w:right w:val="single" w:color="000000" w:sz="4" w:space="0"/>
            </w:tcBorders>
          </w:tcPr>
          <w:p>
            <w:pPr>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151"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tcPr>
          <w:p>
            <w:pPr>
              <w:spacing w:before="221" w:line="222" w:lineRule="auto"/>
              <w:ind w:left="129"/>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序</w:t>
            </w:r>
            <w:r>
              <w:rPr>
                <w:rFonts w:ascii="宋体" w:hAnsi="宋体" w:eastAsia="宋体" w:cs="宋体"/>
                <w:spacing w:val="-1"/>
                <w:szCs w:val="21"/>
                <w14:textOutline w14:w="3835" w14:cap="flat" w14:cmpd="sng" w14:algn="ctr">
                  <w14:solidFill>
                    <w14:srgbClr w14:val="000000"/>
                  </w14:solidFill>
                  <w14:prstDash w14:val="solid"/>
                  <w14:miter w14:val="0"/>
                </w14:textOutline>
              </w:rPr>
              <w:t>号</w:t>
            </w:r>
          </w:p>
        </w:tc>
        <w:tc>
          <w:tcPr>
            <w:tcW w:w="2792" w:type="dxa"/>
          </w:tcPr>
          <w:p>
            <w:pPr>
              <w:spacing w:before="221" w:line="220" w:lineRule="auto"/>
              <w:ind w:left="707"/>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货物名</w:t>
            </w:r>
            <w:r>
              <w:rPr>
                <w:rFonts w:ascii="宋体" w:hAnsi="宋体" w:eastAsia="宋体" w:cs="宋体"/>
                <w:spacing w:val="-1"/>
                <w:szCs w:val="21"/>
                <w14:textOutline w14:w="3835" w14:cap="flat" w14:cmpd="sng" w14:algn="ctr">
                  <w14:solidFill>
                    <w14:srgbClr w14:val="000000"/>
                  </w14:solidFill>
                  <w14:prstDash w14:val="solid"/>
                  <w14:miter w14:val="0"/>
                </w14:textOutline>
              </w:rPr>
              <w:t>称</w:t>
            </w:r>
          </w:p>
        </w:tc>
        <w:tc>
          <w:tcPr>
            <w:tcW w:w="1685" w:type="dxa"/>
          </w:tcPr>
          <w:p>
            <w:pPr>
              <w:spacing w:before="221" w:line="221" w:lineRule="auto"/>
              <w:ind w:firstLine="206" w:firstLineChars="100"/>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120" w:type="dxa"/>
          </w:tcPr>
          <w:p>
            <w:pPr>
              <w:spacing w:before="221" w:line="221" w:lineRule="auto"/>
              <w:ind w:left="355"/>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数量</w:t>
            </w:r>
          </w:p>
        </w:tc>
        <w:tc>
          <w:tcPr>
            <w:tcW w:w="2205" w:type="dxa"/>
          </w:tcPr>
          <w:p>
            <w:pPr>
              <w:spacing w:before="59" w:line="254" w:lineRule="auto"/>
              <w:ind w:right="308"/>
              <w:jc w:val="center"/>
              <w:rPr>
                <w:rFonts w:ascii="宋体" w:hAnsi="宋体" w:eastAsia="宋体" w:cs="宋体"/>
                <w:szCs w:val="21"/>
              </w:rPr>
            </w:pP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3"/>
                <w:szCs w:val="21"/>
                <w14:textOutline w14:w="3835" w14:cap="flat" w14:cmpd="sng" w14:algn="ctr">
                  <w14:solidFill>
                    <w14:srgbClr w14:val="000000"/>
                  </w14:solidFill>
                  <w14:prstDash w14:val="solid"/>
                  <w14:miter w14:val="0"/>
                </w14:textOutline>
              </w:rPr>
              <w:t>原</w:t>
            </w:r>
            <w:r>
              <w:rPr>
                <w:rFonts w:ascii="宋体" w:hAnsi="宋体" w:eastAsia="宋体" w:cs="宋体"/>
                <w:spacing w:val="-2"/>
                <w:szCs w:val="21"/>
                <w14:textOutline w14:w="3835" w14:cap="flat" w14:cmpd="sng" w14:algn="ctr">
                  <w14:solidFill>
                    <w14:srgbClr w14:val="000000"/>
                  </w14:solidFill>
                  <w14:prstDash w14:val="solid"/>
                  <w14:miter w14:val="0"/>
                </w14:textOutline>
              </w:rPr>
              <w:t>产地和</w:t>
            </w:r>
            <w:r>
              <w:rPr>
                <w:rFonts w:ascii="宋体" w:hAnsi="宋体" w:eastAsia="宋体" w:cs="宋体"/>
                <w:spacing w:val="-1"/>
                <w:szCs w:val="21"/>
                <w14:textOutline w14:w="3835" w14:cap="flat" w14:cmpd="sng" w14:algn="ctr">
                  <w14:solidFill>
                    <w14:srgbClr w14:val="000000"/>
                  </w14:solidFill>
                  <w14:prstDash w14:val="solid"/>
                  <w14:miter w14:val="0"/>
                </w14:textOutline>
              </w:rPr>
              <w:t>制造商名</w:t>
            </w:r>
            <w:r>
              <w:rPr>
                <w:rFonts w:ascii="宋体" w:hAnsi="宋体" w:eastAsia="宋体" w:cs="宋体"/>
                <w:szCs w:val="21"/>
                <w14:textOutline w14:w="3835" w14:cap="flat" w14:cmpd="sng" w14:algn="ctr">
                  <w14:solidFill>
                    <w14:srgbClr w14:val="000000"/>
                  </w14:solidFill>
                  <w14:prstDash w14:val="solid"/>
                  <w14:miter w14:val="0"/>
                </w14:textOutline>
              </w:rPr>
              <w:t>称</w:t>
            </w:r>
          </w:p>
        </w:tc>
        <w:tc>
          <w:tcPr>
            <w:tcW w:w="2280" w:type="dxa"/>
            <w:tcBorders>
              <w:right w:val="single" w:color="000000" w:sz="4" w:space="0"/>
            </w:tcBorders>
          </w:tcPr>
          <w:p>
            <w:pPr>
              <w:spacing w:before="58" w:line="219"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w:t>
            </w:r>
            <w:r>
              <w:rPr>
                <w:rFonts w:ascii="宋体" w:hAnsi="宋体" w:eastAsia="宋体" w:cs="宋体"/>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8" w:line="221" w:lineRule="auto"/>
              <w:ind w:firstLine="890" w:firstLineChars="500"/>
              <w:rPr>
                <w:rFonts w:ascii="宋体" w:hAnsi="宋体" w:eastAsia="宋体" w:cs="宋体"/>
                <w:szCs w:val="21"/>
              </w:rPr>
            </w:pPr>
            <w:r>
              <w:rPr>
                <w:rFonts w:ascii="宋体" w:hAnsi="宋体" w:eastAsia="宋体" w:cs="宋体"/>
                <w:spacing w:val="-16"/>
                <w:szCs w:val="21"/>
                <w14:textOutline w14:w="3835" w14:cap="flat" w14:cmpd="sng" w14:algn="ctr">
                  <w14:solidFill>
                    <w14:srgbClr w14:val="000000"/>
                  </w14:solidFill>
                  <w14:prstDash w14:val="solid"/>
                  <w14:miter w14:val="0"/>
                </w14:textOutline>
              </w:rPr>
              <w:t>(</w:t>
            </w:r>
            <w:r>
              <w:rPr>
                <w:rFonts w:ascii="宋体" w:hAnsi="宋体" w:eastAsia="宋体" w:cs="宋体"/>
                <w:spacing w:val="-14"/>
                <w:szCs w:val="21"/>
                <w14:textOutline w14:w="3835" w14:cap="flat" w14:cmpd="sng" w14:algn="ctr">
                  <w14:solidFill>
                    <w14:srgbClr w14:val="000000"/>
                  </w14:solidFill>
                  <w14:prstDash w14:val="solid"/>
                  <w14:miter w14:val="0"/>
                </w14:textOutline>
              </w:rPr>
              <w:t>元)</w:t>
            </w:r>
          </w:p>
        </w:tc>
        <w:tc>
          <w:tcPr>
            <w:tcW w:w="2151" w:type="dxa"/>
            <w:tcBorders>
              <w:left w:val="single" w:color="000000" w:sz="4" w:space="0"/>
            </w:tcBorders>
          </w:tcPr>
          <w:p>
            <w:pPr>
              <w:spacing w:before="58" w:line="219" w:lineRule="auto"/>
              <w:jc w:val="center"/>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总价[4</w:t>
            </w:r>
            <w:r>
              <w:rPr>
                <w:rFonts w:ascii="宋体" w:hAnsi="宋体" w:eastAsia="宋体" w:cs="宋体"/>
                <w:szCs w:val="21"/>
                <w14:textOutline w14:w="3835" w14:cap="flat" w14:cmpd="sng" w14:algn="ctr">
                  <w14:solidFill>
                    <w14:srgbClr w14:val="000000"/>
                  </w14:solidFill>
                  <w14:prstDash w14:val="solid"/>
                  <w14:miter w14:val="0"/>
                </w14:textOutline>
              </w:rPr>
              <w:t>×6]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58" w:line="219" w:lineRule="auto"/>
              <w:jc w:val="center"/>
              <w:rPr>
                <w:rFonts w:ascii="宋体" w:hAnsi="宋体" w:eastAsia="宋体" w:cs="宋体"/>
                <w:szCs w:val="21"/>
              </w:rPr>
            </w:pPr>
            <w:r>
              <w:rPr>
                <w:rFonts w:ascii="宋体" w:hAnsi="宋体" w:eastAsia="宋体" w:cs="宋体"/>
                <w:spacing w:val="27"/>
                <w:szCs w:val="21"/>
                <w14:textOutline w14:w="3835" w14:cap="flat" w14:cmpd="sng" w14:algn="ctr">
                  <w14:solidFill>
                    <w14:srgbClr w14:val="000000"/>
                  </w14:solidFill>
                  <w14:prstDash w14:val="solid"/>
                  <w14:miter w14:val="0"/>
                </w14:textOutline>
              </w:rPr>
              <w:t>(</w:t>
            </w:r>
            <w:r>
              <w:rPr>
                <w:rFonts w:ascii="宋体" w:hAnsi="宋体" w:eastAsia="宋体" w:cs="宋体"/>
                <w:spacing w:val="26"/>
                <w:szCs w:val="21"/>
                <w14:textOutline w14:w="3835" w14:cap="flat" w14:cmpd="sng" w14:algn="ctr">
                  <w14:solidFill>
                    <w14:srgbClr w14:val="000000"/>
                  </w14:solidFill>
                  <w14:prstDash w14:val="solid"/>
                  <w14:miter w14:val="0"/>
                </w14:textOutline>
              </w:rPr>
              <w:t>元)</w:t>
            </w:r>
          </w:p>
        </w:tc>
        <w:tc>
          <w:tcPr>
            <w:tcW w:w="1069" w:type="dxa"/>
          </w:tcPr>
          <w:p>
            <w:pPr>
              <w:spacing w:before="221" w:line="222" w:lineRule="auto"/>
              <w:ind w:firstLine="208" w:firstLineChars="10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left"/>
              <w:textAlignment w:val="auto"/>
              <w:rPr>
                <w:rFonts w:hint="eastAsia" w:ascii="宋体" w:hAnsi="宋体" w:eastAsia="宋体" w:cs="宋体"/>
                <w:color w:val="FF0000"/>
                <w:sz w:val="24"/>
                <w:szCs w:val="24"/>
              </w:rPr>
            </w:pPr>
            <w:r>
              <w:rPr>
                <w:rFonts w:hint="eastAsia" w:ascii="宋体" w:hAnsi="宋体" w:eastAsia="宋体" w:cs="宋体"/>
                <w:color w:val="auto"/>
                <w:sz w:val="24"/>
                <w:szCs w:val="24"/>
                <w:highlight w:val="none"/>
                <w:lang w:val="en-US" w:eastAsia="zh-CN"/>
              </w:rPr>
              <w:t>1</w:t>
            </w:r>
          </w:p>
        </w:tc>
        <w:tc>
          <w:tcPr>
            <w:tcW w:w="2792" w:type="dxa"/>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left"/>
              <w:textAlignment w:val="auto"/>
              <w:rPr>
                <w:rFonts w:hint="eastAsia" w:ascii="宋体" w:hAnsi="宋体" w:eastAsia="宋体" w:cs="宋体"/>
                <w:color w:val="FF0000"/>
                <w:sz w:val="24"/>
                <w:szCs w:val="24"/>
              </w:rPr>
            </w:pPr>
            <w:r>
              <w:rPr>
                <w:rFonts w:hint="eastAsia" w:ascii="宋体" w:hAnsi="宋体" w:eastAsia="宋体" w:cs="宋体"/>
                <w:color w:val="auto"/>
                <w:sz w:val="24"/>
                <w:szCs w:val="24"/>
                <w:highlight w:val="none"/>
                <w:lang w:val="en-US" w:eastAsia="zh-CN"/>
              </w:rPr>
              <w:t>数据采集器部分</w:t>
            </w:r>
          </w:p>
        </w:tc>
        <w:tc>
          <w:tcPr>
            <w:tcW w:w="1685" w:type="dxa"/>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sz w:val="24"/>
                <w:szCs w:val="24"/>
              </w:rPr>
            </w:pP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5</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left"/>
              <w:textAlignment w:val="center"/>
              <w:rPr>
                <w:rFonts w:hint="eastAsia" w:ascii="宋体" w:hAnsi="宋体" w:eastAsia="宋体" w:cs="宋体"/>
                <w:color w:val="FF0000"/>
                <w:sz w:val="24"/>
                <w:szCs w:val="24"/>
              </w:rPr>
            </w:pPr>
            <w:r>
              <w:rPr>
                <w:rFonts w:hint="eastAsia" w:ascii="宋体" w:hAnsi="宋体" w:eastAsia="宋体" w:cs="宋体"/>
                <w:i w:val="0"/>
                <w:iCs w:val="0"/>
                <w:color w:val="000000"/>
                <w:kern w:val="0"/>
                <w:sz w:val="24"/>
                <w:szCs w:val="24"/>
                <w:highlight w:val="none"/>
                <w:u w:val="none"/>
                <w:lang w:val="en-US" w:eastAsia="zh-CN" w:bidi="ar"/>
              </w:rPr>
              <w:t>1.1</w:t>
            </w:r>
          </w:p>
        </w:tc>
        <w:tc>
          <w:tcPr>
            <w:tcW w:w="2792" w:type="dxa"/>
            <w:vAlign w:val="center"/>
          </w:tcPr>
          <w:p>
            <w:pPr>
              <w:keepNext w:val="0"/>
              <w:keepLines w:val="0"/>
              <w:widowControl/>
              <w:suppressLineNumbers w:val="0"/>
              <w:jc w:val="left"/>
              <w:textAlignment w:val="center"/>
              <w:rPr>
                <w:rFonts w:hint="eastAsia" w:ascii="宋体" w:hAnsi="宋体" w:eastAsia="宋体" w:cs="宋体"/>
                <w:color w:val="FF0000"/>
                <w:sz w:val="24"/>
                <w:szCs w:val="24"/>
              </w:rPr>
            </w:pPr>
            <w:r>
              <w:rPr>
                <w:rFonts w:hint="eastAsia" w:ascii="宋体" w:hAnsi="宋体" w:eastAsia="宋体" w:cs="宋体"/>
                <w:i w:val="0"/>
                <w:iCs w:val="0"/>
                <w:color w:val="000000"/>
                <w:kern w:val="0"/>
                <w:sz w:val="24"/>
                <w:szCs w:val="24"/>
                <w:highlight w:val="none"/>
                <w:u w:val="none"/>
                <w:lang w:val="en-US" w:eastAsia="zh-CN" w:bidi="ar"/>
              </w:rPr>
              <w:t>主机箱</w:t>
            </w:r>
          </w:p>
        </w:tc>
        <w:tc>
          <w:tcPr>
            <w:tcW w:w="1685" w:type="dxa"/>
            <w:vAlign w:val="center"/>
          </w:tcPr>
          <w:p>
            <w:pPr>
              <w:keepNext w:val="0"/>
              <w:keepLines w:val="0"/>
              <w:widowControl/>
              <w:suppressLineNumbers w:val="0"/>
              <w:jc w:val="center"/>
              <w:textAlignment w:val="center"/>
              <w:rPr>
                <w:rFonts w:hint="eastAsia" w:ascii="宋体" w:hAnsi="宋体" w:eastAsia="宋体" w:cs="宋体"/>
                <w:sz w:val="24"/>
                <w:szCs w:val="24"/>
              </w:rPr>
            </w:pPr>
          </w:p>
        </w:tc>
        <w:tc>
          <w:tcPr>
            <w:tcW w:w="1120" w:type="dxa"/>
            <w:vAlign w:val="center"/>
          </w:tcPr>
          <w:p>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5</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left"/>
              <w:textAlignment w:val="center"/>
              <w:rPr>
                <w:rFonts w:hint="eastAsia" w:ascii="宋体" w:hAnsi="宋体" w:eastAsia="宋体" w:cs="宋体"/>
                <w:color w:val="FF0000"/>
                <w:sz w:val="24"/>
                <w:szCs w:val="24"/>
              </w:rPr>
            </w:pPr>
            <w:r>
              <w:rPr>
                <w:rFonts w:hint="eastAsia" w:ascii="宋体" w:hAnsi="宋体" w:eastAsia="宋体" w:cs="宋体"/>
                <w:i w:val="0"/>
                <w:iCs w:val="0"/>
                <w:color w:val="000000"/>
                <w:kern w:val="0"/>
                <w:sz w:val="24"/>
                <w:szCs w:val="24"/>
                <w:highlight w:val="none"/>
                <w:u w:val="none"/>
                <w:lang w:val="en-US" w:eastAsia="zh-CN" w:bidi="ar"/>
              </w:rPr>
              <w:t>1.2</w:t>
            </w:r>
          </w:p>
        </w:tc>
        <w:tc>
          <w:tcPr>
            <w:tcW w:w="2792" w:type="dxa"/>
            <w:vAlign w:val="center"/>
          </w:tcPr>
          <w:p>
            <w:pPr>
              <w:keepNext w:val="0"/>
              <w:keepLines w:val="0"/>
              <w:widowControl/>
              <w:suppressLineNumbers w:val="0"/>
              <w:jc w:val="left"/>
              <w:textAlignment w:val="center"/>
              <w:rPr>
                <w:rFonts w:hint="eastAsia" w:ascii="宋体" w:hAnsi="宋体" w:eastAsia="宋体" w:cs="宋体"/>
                <w:color w:val="FF0000"/>
                <w:sz w:val="24"/>
                <w:szCs w:val="24"/>
              </w:rPr>
            </w:pPr>
            <w:r>
              <w:rPr>
                <w:rFonts w:hint="eastAsia" w:ascii="宋体" w:hAnsi="宋体" w:eastAsia="宋体" w:cs="宋体"/>
                <w:i w:val="0"/>
                <w:iCs w:val="0"/>
                <w:color w:val="000000"/>
                <w:kern w:val="0"/>
                <w:sz w:val="24"/>
                <w:szCs w:val="24"/>
                <w:highlight w:val="none"/>
                <w:u w:val="none"/>
                <w:lang w:val="en-US" w:eastAsia="zh-CN" w:bidi="ar"/>
              </w:rPr>
              <w:t>驾驶员用显示器</w:t>
            </w:r>
          </w:p>
        </w:tc>
        <w:tc>
          <w:tcPr>
            <w:tcW w:w="1685" w:type="dxa"/>
            <w:vAlign w:val="center"/>
          </w:tcPr>
          <w:p>
            <w:pPr>
              <w:keepNext w:val="0"/>
              <w:keepLines w:val="0"/>
              <w:widowControl/>
              <w:suppressLineNumbers w:val="0"/>
              <w:jc w:val="center"/>
              <w:textAlignment w:val="center"/>
              <w:rPr>
                <w:rFonts w:hint="eastAsia" w:ascii="宋体" w:hAnsi="宋体" w:eastAsia="宋体" w:cs="宋体"/>
                <w:sz w:val="24"/>
                <w:szCs w:val="24"/>
              </w:rPr>
            </w:pPr>
          </w:p>
        </w:tc>
        <w:tc>
          <w:tcPr>
            <w:tcW w:w="1120" w:type="dxa"/>
            <w:vAlign w:val="center"/>
          </w:tcPr>
          <w:p>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5</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left"/>
              <w:textAlignment w:val="center"/>
              <w:rPr>
                <w:rFonts w:hint="eastAsia" w:ascii="宋体" w:hAnsi="宋体" w:eastAsia="宋体" w:cs="宋体"/>
                <w:color w:val="FF0000"/>
                <w:sz w:val="24"/>
                <w:szCs w:val="24"/>
              </w:rPr>
            </w:pPr>
            <w:r>
              <w:rPr>
                <w:rFonts w:hint="eastAsia" w:ascii="宋体" w:hAnsi="宋体" w:eastAsia="宋体" w:cs="宋体"/>
                <w:i w:val="0"/>
                <w:iCs w:val="0"/>
                <w:color w:val="000000"/>
                <w:kern w:val="0"/>
                <w:sz w:val="24"/>
                <w:szCs w:val="24"/>
                <w:highlight w:val="none"/>
                <w:u w:val="none"/>
                <w:lang w:val="en-US" w:eastAsia="zh-CN" w:bidi="ar"/>
              </w:rPr>
              <w:t>1.3</w:t>
            </w:r>
          </w:p>
        </w:tc>
        <w:tc>
          <w:tcPr>
            <w:tcW w:w="2792" w:type="dxa"/>
            <w:vAlign w:val="center"/>
          </w:tcPr>
          <w:p>
            <w:pPr>
              <w:keepNext w:val="0"/>
              <w:keepLines w:val="0"/>
              <w:widowControl/>
              <w:suppressLineNumbers w:val="0"/>
              <w:jc w:val="left"/>
              <w:textAlignment w:val="center"/>
              <w:rPr>
                <w:rFonts w:hint="eastAsia" w:ascii="宋体" w:hAnsi="宋体" w:eastAsia="宋体" w:cs="宋体"/>
                <w:color w:val="FF0000"/>
                <w:sz w:val="24"/>
                <w:szCs w:val="24"/>
              </w:rPr>
            </w:pPr>
            <w:r>
              <w:rPr>
                <w:rFonts w:hint="eastAsia" w:ascii="宋体" w:hAnsi="宋体" w:eastAsia="宋体" w:cs="宋体"/>
                <w:i w:val="0"/>
                <w:iCs w:val="0"/>
                <w:color w:val="000000"/>
                <w:kern w:val="0"/>
                <w:sz w:val="24"/>
                <w:szCs w:val="24"/>
                <w:highlight w:val="none"/>
                <w:u w:val="none"/>
                <w:lang w:val="en-US" w:eastAsia="zh-CN" w:bidi="ar"/>
              </w:rPr>
              <w:t>模拟量输入模块</w:t>
            </w:r>
          </w:p>
        </w:tc>
        <w:tc>
          <w:tcPr>
            <w:tcW w:w="1685" w:type="dxa"/>
            <w:vAlign w:val="center"/>
          </w:tcPr>
          <w:p>
            <w:pPr>
              <w:keepNext w:val="0"/>
              <w:keepLines w:val="0"/>
              <w:widowControl/>
              <w:suppressLineNumbers w:val="0"/>
              <w:jc w:val="center"/>
              <w:textAlignment w:val="center"/>
              <w:rPr>
                <w:rFonts w:hint="eastAsia" w:ascii="宋体" w:hAnsi="宋体" w:eastAsia="宋体" w:cs="宋体"/>
                <w:sz w:val="24"/>
                <w:szCs w:val="24"/>
              </w:rPr>
            </w:pPr>
          </w:p>
        </w:tc>
        <w:tc>
          <w:tcPr>
            <w:tcW w:w="1120" w:type="dxa"/>
            <w:vAlign w:val="center"/>
          </w:tcPr>
          <w:p>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80</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left"/>
              <w:textAlignment w:val="center"/>
              <w:rPr>
                <w:rFonts w:hint="eastAsia" w:ascii="宋体" w:hAnsi="宋体" w:eastAsia="宋体" w:cs="宋体"/>
                <w:color w:val="FF0000"/>
                <w:sz w:val="24"/>
                <w:szCs w:val="24"/>
              </w:rPr>
            </w:pPr>
            <w:r>
              <w:rPr>
                <w:rFonts w:hint="eastAsia" w:ascii="宋体" w:hAnsi="宋体" w:eastAsia="宋体" w:cs="宋体"/>
                <w:i w:val="0"/>
                <w:iCs w:val="0"/>
                <w:color w:val="000000"/>
                <w:kern w:val="0"/>
                <w:sz w:val="24"/>
                <w:szCs w:val="24"/>
                <w:highlight w:val="none"/>
                <w:u w:val="none"/>
                <w:lang w:val="en-US" w:eastAsia="zh-CN" w:bidi="ar"/>
              </w:rPr>
              <w:t>1.4</w:t>
            </w:r>
          </w:p>
        </w:tc>
        <w:tc>
          <w:tcPr>
            <w:tcW w:w="2792" w:type="dxa"/>
            <w:vAlign w:val="center"/>
          </w:tcPr>
          <w:p>
            <w:pPr>
              <w:keepNext w:val="0"/>
              <w:keepLines w:val="0"/>
              <w:widowControl/>
              <w:suppressLineNumbers w:val="0"/>
              <w:jc w:val="left"/>
              <w:textAlignment w:val="center"/>
              <w:rPr>
                <w:rFonts w:hint="eastAsia" w:ascii="宋体" w:hAnsi="宋体" w:eastAsia="宋体" w:cs="宋体"/>
                <w:color w:val="FF0000"/>
                <w:sz w:val="24"/>
                <w:szCs w:val="24"/>
              </w:rPr>
            </w:pPr>
            <w:r>
              <w:rPr>
                <w:rFonts w:hint="eastAsia" w:ascii="宋体" w:hAnsi="宋体" w:eastAsia="宋体" w:cs="宋体"/>
                <w:i w:val="0"/>
                <w:iCs w:val="0"/>
                <w:color w:val="000000"/>
                <w:kern w:val="0"/>
                <w:sz w:val="24"/>
                <w:szCs w:val="24"/>
                <w:highlight w:val="none"/>
                <w:u w:val="none"/>
                <w:lang w:val="en-US" w:eastAsia="zh-CN" w:bidi="ar"/>
              </w:rPr>
              <w:t>频率（脉冲）输入模块</w:t>
            </w:r>
          </w:p>
        </w:tc>
        <w:tc>
          <w:tcPr>
            <w:tcW w:w="1685" w:type="dxa"/>
            <w:vAlign w:val="center"/>
          </w:tcPr>
          <w:p>
            <w:pPr>
              <w:keepNext w:val="0"/>
              <w:keepLines w:val="0"/>
              <w:widowControl/>
              <w:suppressLineNumbers w:val="0"/>
              <w:jc w:val="center"/>
              <w:textAlignment w:val="center"/>
              <w:rPr>
                <w:rFonts w:hint="eastAsia" w:ascii="宋体" w:hAnsi="宋体" w:eastAsia="宋体" w:cs="宋体"/>
                <w:sz w:val="24"/>
                <w:szCs w:val="24"/>
              </w:rPr>
            </w:pPr>
          </w:p>
        </w:tc>
        <w:tc>
          <w:tcPr>
            <w:tcW w:w="1120" w:type="dxa"/>
            <w:vAlign w:val="center"/>
          </w:tcPr>
          <w:p>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20</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left"/>
              <w:textAlignment w:val="center"/>
              <w:rPr>
                <w:rFonts w:hint="eastAsia" w:ascii="宋体" w:hAnsi="宋体" w:eastAsia="宋体" w:cs="宋体"/>
                <w:color w:val="FF0000"/>
                <w:sz w:val="24"/>
                <w:szCs w:val="24"/>
              </w:rPr>
            </w:pPr>
            <w:r>
              <w:rPr>
                <w:rFonts w:hint="eastAsia" w:ascii="宋体" w:hAnsi="宋体" w:eastAsia="宋体" w:cs="宋体"/>
                <w:i w:val="0"/>
                <w:iCs w:val="0"/>
                <w:color w:val="000000"/>
                <w:kern w:val="0"/>
                <w:sz w:val="24"/>
                <w:szCs w:val="24"/>
                <w:highlight w:val="none"/>
                <w:u w:val="none"/>
                <w:lang w:val="en-US" w:eastAsia="zh-CN" w:bidi="ar"/>
              </w:rPr>
              <w:t>1.5</w:t>
            </w:r>
          </w:p>
        </w:tc>
        <w:tc>
          <w:tcPr>
            <w:tcW w:w="2792" w:type="dxa"/>
            <w:vAlign w:val="center"/>
          </w:tcPr>
          <w:p>
            <w:pPr>
              <w:keepNext w:val="0"/>
              <w:keepLines w:val="0"/>
              <w:widowControl/>
              <w:suppressLineNumbers w:val="0"/>
              <w:jc w:val="left"/>
              <w:textAlignment w:val="center"/>
              <w:rPr>
                <w:rFonts w:hint="eastAsia" w:ascii="宋体" w:hAnsi="宋体" w:eastAsia="宋体" w:cs="宋体"/>
                <w:color w:val="FF0000"/>
                <w:sz w:val="24"/>
                <w:szCs w:val="24"/>
              </w:rPr>
            </w:pPr>
            <w:r>
              <w:rPr>
                <w:rFonts w:hint="eastAsia" w:ascii="宋体" w:hAnsi="宋体" w:eastAsia="宋体" w:cs="宋体"/>
                <w:i w:val="0"/>
                <w:iCs w:val="0"/>
                <w:color w:val="000000"/>
                <w:kern w:val="0"/>
                <w:sz w:val="24"/>
                <w:szCs w:val="24"/>
                <w:highlight w:val="none"/>
                <w:u w:val="none"/>
                <w:lang w:val="en-US" w:eastAsia="zh-CN" w:bidi="ar"/>
              </w:rPr>
              <w:t>CAN模块</w:t>
            </w:r>
          </w:p>
        </w:tc>
        <w:tc>
          <w:tcPr>
            <w:tcW w:w="1685" w:type="dxa"/>
            <w:vAlign w:val="center"/>
          </w:tcPr>
          <w:p>
            <w:pPr>
              <w:keepNext w:val="0"/>
              <w:keepLines w:val="0"/>
              <w:widowControl/>
              <w:suppressLineNumbers w:val="0"/>
              <w:jc w:val="center"/>
              <w:textAlignment w:val="center"/>
              <w:rPr>
                <w:rFonts w:hint="eastAsia" w:ascii="宋体" w:hAnsi="宋体" w:eastAsia="宋体" w:cs="宋体"/>
                <w:sz w:val="24"/>
                <w:szCs w:val="24"/>
              </w:rPr>
            </w:pPr>
          </w:p>
        </w:tc>
        <w:tc>
          <w:tcPr>
            <w:tcW w:w="1120" w:type="dxa"/>
            <w:vAlign w:val="center"/>
          </w:tcPr>
          <w:p>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20</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keepNext w:val="0"/>
              <w:keepLines w:val="0"/>
              <w:widowControl/>
              <w:suppressLineNumbers w:val="0"/>
              <w:jc w:val="left"/>
              <w:textAlignment w:val="center"/>
              <w:rPr>
                <w:rFonts w:hint="eastAsia" w:ascii="宋体" w:hAnsi="宋体" w:eastAsia="宋体" w:cs="宋体"/>
                <w:color w:val="FF0000"/>
                <w:sz w:val="24"/>
                <w:szCs w:val="24"/>
              </w:rPr>
            </w:pPr>
            <w:r>
              <w:rPr>
                <w:rFonts w:hint="eastAsia" w:ascii="宋体" w:hAnsi="宋体" w:eastAsia="宋体" w:cs="宋体"/>
                <w:i w:val="0"/>
                <w:iCs w:val="0"/>
                <w:color w:val="000000"/>
                <w:kern w:val="0"/>
                <w:sz w:val="24"/>
                <w:szCs w:val="24"/>
                <w:highlight w:val="none"/>
                <w:u w:val="none"/>
                <w:lang w:val="en-US" w:eastAsia="zh-CN" w:bidi="ar"/>
              </w:rPr>
              <w:t>1.6</w:t>
            </w:r>
          </w:p>
        </w:tc>
        <w:tc>
          <w:tcPr>
            <w:tcW w:w="2792" w:type="dxa"/>
            <w:vAlign w:val="center"/>
          </w:tcPr>
          <w:p>
            <w:pPr>
              <w:keepNext w:val="0"/>
              <w:keepLines w:val="0"/>
              <w:widowControl/>
              <w:suppressLineNumbers w:val="0"/>
              <w:jc w:val="left"/>
              <w:textAlignment w:val="center"/>
              <w:rPr>
                <w:rFonts w:hint="eastAsia" w:ascii="宋体" w:hAnsi="宋体" w:eastAsia="宋体" w:cs="宋体"/>
                <w:color w:val="FF0000"/>
                <w:sz w:val="24"/>
                <w:szCs w:val="24"/>
              </w:rPr>
            </w:pPr>
            <w:r>
              <w:rPr>
                <w:rFonts w:hint="eastAsia" w:ascii="宋体" w:hAnsi="宋体" w:eastAsia="宋体" w:cs="宋体"/>
                <w:i w:val="0"/>
                <w:iCs w:val="0"/>
                <w:color w:val="000000"/>
                <w:kern w:val="0"/>
                <w:sz w:val="24"/>
                <w:szCs w:val="24"/>
                <w:highlight w:val="none"/>
                <w:u w:val="none"/>
                <w:lang w:val="en-US" w:eastAsia="zh-CN" w:bidi="ar"/>
              </w:rPr>
              <w:t>GNSS速度模块</w:t>
            </w:r>
          </w:p>
        </w:tc>
        <w:tc>
          <w:tcPr>
            <w:tcW w:w="1685" w:type="dxa"/>
            <w:vAlign w:val="center"/>
          </w:tcPr>
          <w:p>
            <w:pPr>
              <w:keepNext w:val="0"/>
              <w:keepLines w:val="0"/>
              <w:widowControl/>
              <w:suppressLineNumbers w:val="0"/>
              <w:jc w:val="center"/>
              <w:textAlignment w:val="center"/>
              <w:rPr>
                <w:rFonts w:hint="eastAsia" w:ascii="宋体" w:hAnsi="宋体" w:eastAsia="宋体" w:cs="宋体"/>
                <w:sz w:val="24"/>
                <w:szCs w:val="24"/>
              </w:rPr>
            </w:pPr>
          </w:p>
        </w:tc>
        <w:tc>
          <w:tcPr>
            <w:tcW w:w="1120" w:type="dxa"/>
            <w:vAlign w:val="center"/>
          </w:tcPr>
          <w:p>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5</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left"/>
              <w:textAlignment w:val="center"/>
              <w:rPr>
                <w:rFonts w:hint="eastAsia" w:ascii="宋体" w:hAnsi="宋体" w:eastAsia="宋体" w:cs="宋体"/>
                <w:color w:val="FF0000"/>
                <w:sz w:val="24"/>
                <w:szCs w:val="24"/>
              </w:rPr>
            </w:pPr>
            <w:r>
              <w:rPr>
                <w:rFonts w:hint="eastAsia" w:ascii="宋体" w:hAnsi="宋体" w:eastAsia="宋体" w:cs="宋体"/>
                <w:i w:val="0"/>
                <w:iCs w:val="0"/>
                <w:color w:val="000000"/>
                <w:kern w:val="0"/>
                <w:sz w:val="24"/>
                <w:szCs w:val="24"/>
                <w:highlight w:val="none"/>
                <w:u w:val="none"/>
                <w:lang w:val="en-US" w:eastAsia="zh-CN" w:bidi="ar"/>
              </w:rPr>
              <w:t>1.7</w:t>
            </w:r>
          </w:p>
        </w:tc>
        <w:tc>
          <w:tcPr>
            <w:tcW w:w="2792" w:type="dxa"/>
            <w:vAlign w:val="center"/>
          </w:tcPr>
          <w:p>
            <w:pPr>
              <w:keepNext w:val="0"/>
              <w:keepLines w:val="0"/>
              <w:widowControl/>
              <w:suppressLineNumbers w:val="0"/>
              <w:jc w:val="left"/>
              <w:textAlignment w:val="center"/>
              <w:rPr>
                <w:rFonts w:hint="eastAsia" w:ascii="宋体" w:hAnsi="宋体" w:eastAsia="宋体" w:cs="宋体"/>
                <w:color w:val="FF0000"/>
                <w:sz w:val="24"/>
                <w:szCs w:val="24"/>
              </w:rPr>
            </w:pPr>
            <w:r>
              <w:rPr>
                <w:rFonts w:hint="eastAsia" w:ascii="宋体" w:hAnsi="宋体" w:eastAsia="宋体" w:cs="宋体"/>
                <w:i w:val="0"/>
                <w:iCs w:val="0"/>
                <w:color w:val="000000"/>
                <w:kern w:val="0"/>
                <w:sz w:val="24"/>
                <w:szCs w:val="24"/>
                <w:highlight w:val="none"/>
                <w:u w:val="none"/>
                <w:lang w:val="en-US" w:eastAsia="zh-CN" w:bidi="ar"/>
              </w:rPr>
              <w:t>无线通讯模块</w:t>
            </w:r>
          </w:p>
        </w:tc>
        <w:tc>
          <w:tcPr>
            <w:tcW w:w="1685" w:type="dxa"/>
            <w:vAlign w:val="center"/>
          </w:tcPr>
          <w:p>
            <w:pPr>
              <w:keepNext w:val="0"/>
              <w:keepLines w:val="0"/>
              <w:widowControl/>
              <w:suppressLineNumbers w:val="0"/>
              <w:jc w:val="center"/>
              <w:textAlignment w:val="center"/>
              <w:rPr>
                <w:rFonts w:hint="eastAsia" w:ascii="宋体" w:hAnsi="宋体" w:eastAsia="宋体" w:cs="宋体"/>
                <w:sz w:val="24"/>
                <w:szCs w:val="24"/>
              </w:rPr>
            </w:pPr>
          </w:p>
        </w:tc>
        <w:tc>
          <w:tcPr>
            <w:tcW w:w="1120" w:type="dxa"/>
            <w:vAlign w:val="center"/>
          </w:tcPr>
          <w:p>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5</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left"/>
              <w:textAlignment w:val="center"/>
              <w:rPr>
                <w:rFonts w:hint="eastAsia" w:ascii="宋体" w:hAnsi="宋体" w:eastAsia="宋体" w:cs="宋体"/>
                <w:color w:val="FF0000"/>
                <w:sz w:val="24"/>
                <w:szCs w:val="24"/>
              </w:rPr>
            </w:pPr>
            <w:r>
              <w:rPr>
                <w:rFonts w:hint="eastAsia" w:ascii="宋体" w:hAnsi="宋体" w:eastAsia="宋体" w:cs="宋体"/>
                <w:i w:val="0"/>
                <w:iCs w:val="0"/>
                <w:color w:val="000000"/>
                <w:kern w:val="0"/>
                <w:sz w:val="24"/>
                <w:szCs w:val="24"/>
                <w:highlight w:val="none"/>
                <w:u w:val="none"/>
                <w:lang w:val="en-US" w:eastAsia="zh-CN" w:bidi="ar"/>
              </w:rPr>
              <w:t>1.8</w:t>
            </w:r>
          </w:p>
        </w:tc>
        <w:tc>
          <w:tcPr>
            <w:tcW w:w="2792" w:type="dxa"/>
            <w:vAlign w:val="center"/>
          </w:tcPr>
          <w:p>
            <w:pPr>
              <w:keepNext w:val="0"/>
              <w:keepLines w:val="0"/>
              <w:widowControl/>
              <w:suppressLineNumbers w:val="0"/>
              <w:jc w:val="left"/>
              <w:textAlignment w:val="center"/>
              <w:rPr>
                <w:rFonts w:hint="eastAsia" w:ascii="宋体" w:hAnsi="宋体" w:eastAsia="宋体" w:cs="宋体"/>
                <w:color w:val="FF0000"/>
                <w:sz w:val="24"/>
                <w:szCs w:val="24"/>
              </w:rPr>
            </w:pPr>
            <w:r>
              <w:rPr>
                <w:rFonts w:hint="eastAsia" w:ascii="宋体" w:hAnsi="宋体" w:eastAsia="宋体" w:cs="宋体"/>
                <w:i w:val="0"/>
                <w:iCs w:val="0"/>
                <w:color w:val="000000"/>
                <w:kern w:val="0"/>
                <w:sz w:val="24"/>
                <w:szCs w:val="24"/>
                <w:highlight w:val="none"/>
                <w:u w:val="none"/>
                <w:lang w:val="en-US" w:eastAsia="zh-CN" w:bidi="ar"/>
              </w:rPr>
              <w:t>触发器模块</w:t>
            </w:r>
          </w:p>
        </w:tc>
        <w:tc>
          <w:tcPr>
            <w:tcW w:w="1685" w:type="dxa"/>
            <w:vAlign w:val="center"/>
          </w:tcPr>
          <w:p>
            <w:pPr>
              <w:keepNext w:val="0"/>
              <w:keepLines w:val="0"/>
              <w:widowControl/>
              <w:suppressLineNumbers w:val="0"/>
              <w:jc w:val="center"/>
              <w:textAlignment w:val="center"/>
              <w:rPr>
                <w:rFonts w:hint="eastAsia" w:ascii="宋体" w:hAnsi="宋体" w:eastAsia="宋体" w:cs="宋体"/>
                <w:sz w:val="24"/>
                <w:szCs w:val="24"/>
              </w:rPr>
            </w:pPr>
          </w:p>
        </w:tc>
        <w:tc>
          <w:tcPr>
            <w:tcW w:w="1120" w:type="dxa"/>
            <w:vAlign w:val="center"/>
          </w:tcPr>
          <w:p>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5</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pPr>
              <w:keepNext w:val="0"/>
              <w:keepLines w:val="0"/>
              <w:widowControl/>
              <w:suppressLineNumbers w:val="0"/>
              <w:jc w:val="left"/>
              <w:textAlignment w:val="center"/>
              <w:rPr>
                <w:rFonts w:hint="eastAsia" w:ascii="宋体" w:hAnsi="宋体" w:eastAsia="宋体" w:cs="宋体"/>
                <w:color w:val="FF0000"/>
                <w:sz w:val="24"/>
                <w:szCs w:val="24"/>
              </w:rPr>
            </w:pPr>
            <w:r>
              <w:rPr>
                <w:rFonts w:hint="eastAsia" w:ascii="宋体" w:hAnsi="宋体" w:eastAsia="宋体" w:cs="宋体"/>
                <w:i w:val="0"/>
                <w:iCs w:val="0"/>
                <w:color w:val="000000"/>
                <w:kern w:val="0"/>
                <w:sz w:val="24"/>
                <w:szCs w:val="24"/>
                <w:highlight w:val="none"/>
                <w:u w:val="none"/>
                <w:lang w:val="en-US" w:eastAsia="zh-CN" w:bidi="ar"/>
              </w:rPr>
              <w:t>1.9</w:t>
            </w:r>
          </w:p>
        </w:tc>
        <w:tc>
          <w:tcPr>
            <w:tcW w:w="2792" w:type="dxa"/>
            <w:vAlign w:val="center"/>
          </w:tcPr>
          <w:p>
            <w:pPr>
              <w:keepNext w:val="0"/>
              <w:keepLines w:val="0"/>
              <w:widowControl/>
              <w:suppressLineNumbers w:val="0"/>
              <w:jc w:val="left"/>
              <w:textAlignment w:val="center"/>
              <w:rPr>
                <w:rFonts w:hint="eastAsia" w:ascii="宋体" w:hAnsi="宋体" w:eastAsia="宋体" w:cs="宋体"/>
                <w:color w:val="FF0000"/>
                <w:sz w:val="24"/>
                <w:szCs w:val="24"/>
              </w:rPr>
            </w:pPr>
            <w:r>
              <w:rPr>
                <w:rFonts w:hint="eastAsia" w:ascii="宋体" w:hAnsi="宋体" w:eastAsia="宋体" w:cs="宋体"/>
                <w:i w:val="0"/>
                <w:iCs w:val="0"/>
                <w:color w:val="000000"/>
                <w:kern w:val="0"/>
                <w:sz w:val="24"/>
                <w:szCs w:val="24"/>
                <w:highlight w:val="none"/>
                <w:u w:val="none"/>
                <w:lang w:val="en-US" w:eastAsia="zh-CN" w:bidi="ar"/>
              </w:rPr>
              <w:t>数据处理器</w:t>
            </w:r>
          </w:p>
        </w:tc>
        <w:tc>
          <w:tcPr>
            <w:tcW w:w="1685" w:type="dxa"/>
            <w:vAlign w:val="center"/>
          </w:tcPr>
          <w:p>
            <w:pPr>
              <w:keepNext w:val="0"/>
              <w:keepLines w:val="0"/>
              <w:widowControl/>
              <w:suppressLineNumbers w:val="0"/>
              <w:jc w:val="center"/>
              <w:textAlignment w:val="center"/>
              <w:rPr>
                <w:rFonts w:hint="eastAsia" w:ascii="宋体" w:hAnsi="宋体" w:eastAsia="宋体" w:cs="宋体"/>
                <w:sz w:val="24"/>
                <w:szCs w:val="24"/>
              </w:rPr>
            </w:pPr>
          </w:p>
        </w:tc>
        <w:tc>
          <w:tcPr>
            <w:tcW w:w="1120" w:type="dxa"/>
            <w:vAlign w:val="center"/>
          </w:tcPr>
          <w:p>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5</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left"/>
              <w:textAlignment w:val="center"/>
              <w:rPr>
                <w:rFonts w:hint="eastAsia" w:ascii="宋体" w:hAnsi="宋体" w:eastAsia="宋体" w:cs="宋体"/>
                <w:color w:val="FF0000"/>
                <w:position w:val="1"/>
                <w:sz w:val="24"/>
                <w:szCs w:val="24"/>
              </w:rPr>
            </w:pPr>
            <w:r>
              <w:rPr>
                <w:rFonts w:hint="eastAsia" w:ascii="宋体" w:hAnsi="宋体" w:eastAsia="宋体" w:cs="宋体"/>
                <w:i w:val="0"/>
                <w:iCs w:val="0"/>
                <w:color w:val="000000"/>
                <w:kern w:val="0"/>
                <w:sz w:val="24"/>
                <w:szCs w:val="24"/>
                <w:highlight w:val="none"/>
                <w:u w:val="none"/>
                <w:lang w:val="en-US" w:eastAsia="zh-CN" w:bidi="ar"/>
              </w:rPr>
              <w:t>1.10</w:t>
            </w:r>
          </w:p>
        </w:tc>
        <w:tc>
          <w:tcPr>
            <w:tcW w:w="2792" w:type="dxa"/>
            <w:vAlign w:val="center"/>
          </w:tcPr>
          <w:p>
            <w:pPr>
              <w:keepNext w:val="0"/>
              <w:keepLines w:val="0"/>
              <w:widowControl/>
              <w:suppressLineNumbers w:val="0"/>
              <w:jc w:val="left"/>
              <w:textAlignment w:val="center"/>
              <w:rPr>
                <w:rFonts w:hint="eastAsia" w:ascii="宋体" w:hAnsi="宋体" w:eastAsia="宋体" w:cs="宋体"/>
                <w:color w:val="FF0000"/>
                <w:sz w:val="24"/>
                <w:szCs w:val="24"/>
              </w:rPr>
            </w:pPr>
            <w:r>
              <w:rPr>
                <w:rFonts w:hint="eastAsia" w:ascii="宋体" w:hAnsi="宋体" w:eastAsia="宋体" w:cs="宋体"/>
                <w:i w:val="0"/>
                <w:iCs w:val="0"/>
                <w:color w:val="000000"/>
                <w:kern w:val="0"/>
                <w:sz w:val="24"/>
                <w:szCs w:val="24"/>
                <w:highlight w:val="none"/>
                <w:u w:val="none"/>
                <w:lang w:val="en-US" w:eastAsia="zh-CN" w:bidi="ar"/>
              </w:rPr>
              <w:t>车载电源调配模块</w:t>
            </w:r>
          </w:p>
        </w:tc>
        <w:tc>
          <w:tcPr>
            <w:tcW w:w="1685" w:type="dxa"/>
            <w:vAlign w:val="center"/>
          </w:tcPr>
          <w:p>
            <w:pPr>
              <w:keepNext w:val="0"/>
              <w:keepLines w:val="0"/>
              <w:widowControl/>
              <w:suppressLineNumbers w:val="0"/>
              <w:jc w:val="center"/>
              <w:textAlignment w:val="center"/>
              <w:rPr>
                <w:rFonts w:hint="eastAsia" w:ascii="宋体" w:hAnsi="宋体" w:eastAsia="宋体" w:cs="宋体"/>
                <w:sz w:val="24"/>
                <w:szCs w:val="24"/>
              </w:rPr>
            </w:pPr>
          </w:p>
        </w:tc>
        <w:tc>
          <w:tcPr>
            <w:tcW w:w="1120" w:type="dxa"/>
            <w:vAlign w:val="center"/>
          </w:tcPr>
          <w:p>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5</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1.11</w:t>
            </w:r>
          </w:p>
        </w:tc>
        <w:tc>
          <w:tcPr>
            <w:tcW w:w="2792"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采集及分析软件</w:t>
            </w:r>
          </w:p>
        </w:tc>
        <w:tc>
          <w:tcPr>
            <w:tcW w:w="1685" w:type="dxa"/>
            <w:vAlign w:val="center"/>
          </w:tcPr>
          <w:p>
            <w:pPr>
              <w:keepNext w:val="0"/>
              <w:keepLines w:val="0"/>
              <w:widowControl/>
              <w:suppressLineNumbers w:val="0"/>
              <w:jc w:val="center"/>
              <w:textAlignment w:val="center"/>
              <w:rPr>
                <w:rFonts w:hint="eastAsia" w:ascii="宋体" w:hAnsi="宋体" w:eastAsia="宋体" w:cs="宋体"/>
                <w:sz w:val="24"/>
                <w:szCs w:val="24"/>
              </w:rPr>
            </w:pPr>
          </w:p>
        </w:tc>
        <w:tc>
          <w:tcPr>
            <w:tcW w:w="1120" w:type="dxa"/>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left"/>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w:t>
            </w:r>
          </w:p>
        </w:tc>
        <w:tc>
          <w:tcPr>
            <w:tcW w:w="2792" w:type="dxa"/>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left"/>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传感器配件部分</w:t>
            </w:r>
          </w:p>
        </w:tc>
        <w:tc>
          <w:tcPr>
            <w:tcW w:w="1685" w:type="dxa"/>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sz w:val="24"/>
                <w:szCs w:val="24"/>
              </w:rPr>
            </w:pP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left"/>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2.1</w:t>
            </w:r>
          </w:p>
        </w:tc>
        <w:tc>
          <w:tcPr>
            <w:tcW w:w="2792" w:type="dxa"/>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left"/>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超级惯导</w:t>
            </w:r>
          </w:p>
        </w:tc>
        <w:tc>
          <w:tcPr>
            <w:tcW w:w="1685" w:type="dxa"/>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sz w:val="24"/>
                <w:szCs w:val="24"/>
              </w:rPr>
            </w:pP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2</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left"/>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2.2</w:t>
            </w:r>
          </w:p>
        </w:tc>
        <w:tc>
          <w:tcPr>
            <w:tcW w:w="2792" w:type="dxa"/>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left"/>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测力方向盘</w:t>
            </w:r>
          </w:p>
        </w:tc>
        <w:tc>
          <w:tcPr>
            <w:tcW w:w="1685" w:type="dxa"/>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sz w:val="24"/>
                <w:szCs w:val="24"/>
              </w:rPr>
            </w:pP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2</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2.3</w:t>
            </w:r>
          </w:p>
        </w:tc>
        <w:tc>
          <w:tcPr>
            <w:tcW w:w="2792"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踏板力计</w:t>
            </w:r>
          </w:p>
        </w:tc>
        <w:tc>
          <w:tcPr>
            <w:tcW w:w="1685" w:type="dxa"/>
            <w:vAlign w:val="center"/>
          </w:tcPr>
          <w:p>
            <w:pPr>
              <w:keepNext w:val="0"/>
              <w:keepLines w:val="0"/>
              <w:widowControl/>
              <w:suppressLineNumbers w:val="0"/>
              <w:jc w:val="center"/>
              <w:textAlignment w:val="center"/>
              <w:rPr>
                <w:rFonts w:hint="eastAsia" w:ascii="宋体" w:hAnsi="宋体" w:eastAsia="宋体" w:cs="宋体"/>
                <w:sz w:val="24"/>
                <w:szCs w:val="24"/>
              </w:rPr>
            </w:pP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189" w:lineRule="auto"/>
              <w:ind w:left="0" w:lef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2.4</w:t>
            </w:r>
          </w:p>
        </w:tc>
        <w:tc>
          <w:tcPr>
            <w:tcW w:w="2792"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制动管路压力传感器</w:t>
            </w:r>
          </w:p>
        </w:tc>
        <w:tc>
          <w:tcPr>
            <w:tcW w:w="1685" w:type="dxa"/>
            <w:vAlign w:val="center"/>
          </w:tcPr>
          <w:p>
            <w:pPr>
              <w:keepNext w:val="0"/>
              <w:keepLines w:val="0"/>
              <w:widowControl/>
              <w:suppressLineNumbers w:val="0"/>
              <w:jc w:val="center"/>
              <w:textAlignment w:val="center"/>
              <w:rPr>
                <w:rFonts w:hint="eastAsia" w:ascii="宋体" w:hAnsi="宋体" w:eastAsia="宋体" w:cs="宋体"/>
                <w:sz w:val="24"/>
                <w:szCs w:val="24"/>
              </w:rPr>
            </w:pP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190" w:lineRule="auto"/>
              <w:ind w:left="0" w:lef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2"/>
                <w:sz w:val="24"/>
                <w:szCs w:val="24"/>
                <w:highlight w:val="none"/>
              </w:rPr>
              <w:t>2</w:t>
            </w:r>
            <w:r>
              <w:rPr>
                <w:rFonts w:hint="eastAsia" w:ascii="宋体" w:hAnsi="宋体" w:eastAsia="宋体" w:cs="宋体"/>
                <w:color w:val="auto"/>
                <w:spacing w:val="-1"/>
                <w:sz w:val="24"/>
                <w:szCs w:val="24"/>
                <w:highlight w:val="none"/>
              </w:rPr>
              <w:t>0</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2.5</w:t>
            </w:r>
          </w:p>
        </w:tc>
        <w:tc>
          <w:tcPr>
            <w:tcW w:w="2792"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拉线位移传感器</w:t>
            </w:r>
          </w:p>
        </w:tc>
        <w:tc>
          <w:tcPr>
            <w:tcW w:w="1685" w:type="dxa"/>
            <w:vAlign w:val="center"/>
          </w:tcPr>
          <w:p>
            <w:pPr>
              <w:keepNext w:val="0"/>
              <w:keepLines w:val="0"/>
              <w:widowControl/>
              <w:suppressLineNumbers w:val="0"/>
              <w:jc w:val="center"/>
              <w:textAlignment w:val="center"/>
              <w:rPr>
                <w:rFonts w:hint="eastAsia" w:ascii="宋体" w:hAnsi="宋体" w:eastAsia="宋体" w:cs="宋体"/>
                <w:sz w:val="24"/>
                <w:szCs w:val="24"/>
              </w:rPr>
            </w:pP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191" w:lineRule="auto"/>
              <w:ind w:left="0" w:lef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10"/>
                <w:sz w:val="24"/>
                <w:szCs w:val="24"/>
                <w:highlight w:val="none"/>
                <w:lang w:val="en-US" w:eastAsia="zh-CN"/>
              </w:rPr>
              <w:t>3</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2.6</w:t>
            </w:r>
          </w:p>
        </w:tc>
        <w:tc>
          <w:tcPr>
            <w:tcW w:w="2792"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拉压力计</w:t>
            </w:r>
          </w:p>
        </w:tc>
        <w:tc>
          <w:tcPr>
            <w:tcW w:w="1685" w:type="dxa"/>
            <w:vAlign w:val="center"/>
          </w:tcPr>
          <w:p>
            <w:pPr>
              <w:keepNext w:val="0"/>
              <w:keepLines w:val="0"/>
              <w:widowControl/>
              <w:suppressLineNumbers w:val="0"/>
              <w:jc w:val="center"/>
              <w:textAlignment w:val="center"/>
              <w:rPr>
                <w:rFonts w:hint="eastAsia" w:ascii="宋体" w:hAnsi="宋体" w:eastAsia="宋体" w:cs="宋体"/>
                <w:sz w:val="24"/>
                <w:szCs w:val="24"/>
              </w:rPr>
            </w:pP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191" w:lineRule="auto"/>
              <w:ind w:left="0" w:lef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10"/>
                <w:kern w:val="2"/>
                <w:sz w:val="24"/>
                <w:szCs w:val="24"/>
                <w:highlight w:val="none"/>
                <w:lang w:val="en-US" w:eastAsia="zh-CN" w:bidi="ar-SA"/>
              </w:rPr>
              <w:t>3</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color w:val="FF0000"/>
                <w:position w:val="1"/>
                <w:szCs w:val="21"/>
              </w:rPr>
            </w:pPr>
          </w:p>
        </w:tc>
        <w:tc>
          <w:tcPr>
            <w:tcW w:w="2792" w:type="dxa"/>
          </w:tcPr>
          <w:p>
            <w:pPr>
              <w:rPr>
                <w:rFonts w:ascii="宋体" w:hAnsi="宋体" w:eastAsia="宋体" w:cs="宋体"/>
                <w:color w:val="FF0000"/>
              </w:rPr>
            </w:pPr>
            <w:r>
              <w:rPr>
                <w:rFonts w:ascii="宋体" w:hAnsi="宋体" w:eastAsia="宋体" w:cs="宋体"/>
                <w:color w:val="FF0000"/>
              </w:rPr>
              <w:t>...以上投标设备不足之处请往下添加序号自行补充</w:t>
            </w: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754"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151"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3"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yellow"/>
          <w:lang w:eastAsia="zh-CN"/>
          <w14:textOutline w14:w="3835" w14:cap="flat" w14:cmpd="sng" w14:algn="ctr">
            <w14:solidFill>
              <w14:srgbClr w14:val="000000"/>
            </w14:solidFill>
            <w14:prstDash w14:val="solid"/>
            <w14:miter w14:val="0"/>
          </w14:textOutline>
        </w:rPr>
        <w:t>CGZX2023040148</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1" w:hRule="atLeast"/>
        </w:trPr>
        <w:tc>
          <w:tcPr>
            <w:tcW w:w="799" w:type="dxa"/>
          </w:tcPr>
          <w:p>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rPr>
                <w:rFonts w:ascii="宋体" w:hAnsi="宋体" w:eastAsia="宋体" w:cs="宋体"/>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4" w:type="default"/>
          <w:pgSz w:w="16841" w:h="11907"/>
          <w:pgMar w:top="400" w:right="1699" w:bottom="1184" w:left="1481" w:header="0" w:footer="1022" w:gutter="0"/>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yellow"/>
          <w:lang w:eastAsia="zh-CN"/>
          <w14:textOutline w14:w="3835" w14:cap="flat" w14:cmpd="sng" w14:algn="ctr">
            <w14:solidFill>
              <w14:srgbClr w14:val="000000"/>
            </w14:solidFill>
            <w14:prstDash w14:val="solid"/>
            <w14:miter w14:val="0"/>
          </w14:textOutline>
        </w:rPr>
        <w:t>CGZX2023040148</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20" w:lineRule="exact"/>
      </w:pPr>
    </w:p>
    <w:tbl>
      <w:tblPr>
        <w:tblStyle w:val="127"/>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783" w:type="dxa"/>
          </w:tcPr>
          <w:p>
            <w:pPr>
              <w:spacing w:before="267" w:line="222"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241"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255"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699"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3668"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83" w:type="dxa"/>
          </w:tcPr>
          <w:p>
            <w:pPr>
              <w:spacing w:before="300" w:line="186" w:lineRule="auto"/>
              <w:ind w:left="443"/>
              <w:rPr>
                <w:rFonts w:ascii="宋体" w:hAnsi="宋体" w:eastAsia="宋体" w:cs="宋体"/>
                <w:szCs w:val="21"/>
              </w:rPr>
            </w:pPr>
            <w:r>
              <w:rPr>
                <w:rFonts w:ascii="宋体" w:hAnsi="宋体" w:eastAsia="宋体" w:cs="宋体"/>
                <w:szCs w:val="21"/>
              </w:rPr>
              <w:t>1</w:t>
            </w:r>
          </w:p>
        </w:tc>
        <w:tc>
          <w:tcPr>
            <w:tcW w:w="3995" w:type="dxa"/>
          </w:tcPr>
          <w:p>
            <w:pPr>
              <w:spacing w:before="266" w:line="221" w:lineRule="auto"/>
              <w:jc w:val="center"/>
              <w:rPr>
                <w:rFonts w:ascii="宋体" w:hAnsi="宋体" w:eastAsia="宋体" w:cs="宋体"/>
                <w:color w:val="FF0000"/>
                <w:szCs w:val="21"/>
              </w:rPr>
            </w:pPr>
            <w:r>
              <w:rPr>
                <w:rFonts w:ascii="宋体" w:hAnsi="宋体" w:eastAsia="宋体" w:cs="宋体"/>
                <w:color w:val="FF0000"/>
                <w:spacing w:val="-1"/>
                <w:szCs w:val="21"/>
              </w:rPr>
              <w:t>现场指导安装</w:t>
            </w:r>
          </w:p>
        </w:tc>
        <w:tc>
          <w:tcPr>
            <w:tcW w:w="1241" w:type="dxa"/>
          </w:tcPr>
          <w:p>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783" w:type="dxa"/>
          </w:tcPr>
          <w:p>
            <w:pPr>
              <w:spacing w:before="302" w:line="185" w:lineRule="auto"/>
              <w:ind w:left="430"/>
              <w:rPr>
                <w:rFonts w:ascii="宋体" w:hAnsi="宋体" w:eastAsia="宋体" w:cs="宋体"/>
                <w:szCs w:val="21"/>
              </w:rPr>
            </w:pPr>
            <w:r>
              <w:rPr>
                <w:rFonts w:ascii="宋体" w:hAnsi="宋体" w:eastAsia="宋体" w:cs="宋体"/>
                <w:szCs w:val="21"/>
              </w:rPr>
              <w:t>2</w:t>
            </w:r>
          </w:p>
        </w:tc>
        <w:tc>
          <w:tcPr>
            <w:tcW w:w="3995" w:type="dxa"/>
          </w:tcPr>
          <w:p>
            <w:pPr>
              <w:spacing w:before="266" w:line="221" w:lineRule="auto"/>
              <w:jc w:val="center"/>
              <w:rPr>
                <w:rFonts w:ascii="宋体" w:hAnsi="宋体" w:eastAsia="宋体" w:cs="宋体"/>
                <w:color w:val="FF0000"/>
                <w:szCs w:val="21"/>
              </w:rPr>
            </w:pPr>
            <w:r>
              <w:rPr>
                <w:rFonts w:ascii="宋体" w:hAnsi="宋体" w:eastAsia="宋体" w:cs="宋体"/>
                <w:color w:val="FF0000"/>
                <w:spacing w:val="-1"/>
                <w:szCs w:val="21"/>
              </w:rPr>
              <w:t>现场指导调试、</w:t>
            </w:r>
            <w:r>
              <w:rPr>
                <w:rFonts w:ascii="宋体" w:hAnsi="宋体" w:eastAsia="宋体" w:cs="宋体"/>
                <w:color w:val="FF0000"/>
                <w:szCs w:val="21"/>
              </w:rPr>
              <w:t>试车</w:t>
            </w:r>
          </w:p>
        </w:tc>
        <w:tc>
          <w:tcPr>
            <w:tcW w:w="1241" w:type="dxa"/>
          </w:tcPr>
          <w:p>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783" w:type="dxa"/>
          </w:tcPr>
          <w:p>
            <w:pPr>
              <w:spacing w:before="301" w:line="185" w:lineRule="auto"/>
              <w:ind w:left="427"/>
              <w:rPr>
                <w:rFonts w:ascii="宋体" w:hAnsi="宋体" w:eastAsia="宋体" w:cs="宋体"/>
                <w:szCs w:val="21"/>
              </w:rPr>
            </w:pPr>
            <w:r>
              <w:rPr>
                <w:rFonts w:hint="eastAsia" w:ascii="宋体" w:hAnsi="宋体" w:eastAsia="宋体" w:cs="宋体"/>
                <w:szCs w:val="21"/>
              </w:rPr>
              <w:t>3</w:t>
            </w:r>
          </w:p>
        </w:tc>
        <w:tc>
          <w:tcPr>
            <w:tcW w:w="3995" w:type="dxa"/>
          </w:tcPr>
          <w:p>
            <w:pPr>
              <w:spacing w:before="266" w:line="221" w:lineRule="auto"/>
              <w:jc w:val="center"/>
              <w:rPr>
                <w:rFonts w:ascii="宋体" w:hAnsi="宋体" w:eastAsia="宋体" w:cs="宋体"/>
                <w:color w:val="FF0000"/>
                <w:szCs w:val="21"/>
              </w:rPr>
            </w:pPr>
            <w:r>
              <w:rPr>
                <w:rFonts w:hint="eastAsia" w:ascii="宋体" w:hAnsi="宋体" w:eastAsia="宋体" w:cs="宋体"/>
                <w:color w:val="FF0000"/>
                <w:szCs w:val="21"/>
              </w:rPr>
              <w:t>现场技术支持解决技术难题</w:t>
            </w:r>
          </w:p>
        </w:tc>
        <w:tc>
          <w:tcPr>
            <w:tcW w:w="1241" w:type="dxa"/>
          </w:tcPr>
          <w:p>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783" w:type="dxa"/>
          </w:tcPr>
          <w:p>
            <w:pPr>
              <w:spacing w:before="306" w:line="182" w:lineRule="auto"/>
              <w:ind w:left="432"/>
              <w:rPr>
                <w:rFonts w:ascii="宋体" w:hAnsi="宋体" w:eastAsia="宋体" w:cs="宋体"/>
                <w:szCs w:val="21"/>
              </w:rPr>
            </w:pPr>
            <w:r>
              <w:rPr>
                <w:rFonts w:hint="eastAsia" w:ascii="宋体" w:hAnsi="宋体" w:eastAsia="宋体" w:cs="宋体"/>
                <w:szCs w:val="21"/>
              </w:rPr>
              <w:t>4</w:t>
            </w:r>
          </w:p>
        </w:tc>
        <w:tc>
          <w:tcPr>
            <w:tcW w:w="3995" w:type="dxa"/>
          </w:tcPr>
          <w:p>
            <w:pPr>
              <w:spacing w:before="268" w:line="221" w:lineRule="auto"/>
              <w:jc w:val="center"/>
              <w:rPr>
                <w:rFonts w:ascii="宋体" w:hAnsi="宋体" w:eastAsia="宋体" w:cs="宋体"/>
                <w:color w:val="FF0000"/>
                <w:szCs w:val="21"/>
              </w:rPr>
            </w:pPr>
            <w:r>
              <w:rPr>
                <w:rFonts w:hint="eastAsia" w:ascii="宋体" w:hAnsi="宋体" w:eastAsia="宋体" w:cs="宋体"/>
                <w:color w:val="FF0000"/>
                <w:szCs w:val="21"/>
                <w:lang w:bidi="ar"/>
              </w:rPr>
              <w:t>企业管理费</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83" w:type="dxa"/>
          </w:tcPr>
          <w:p>
            <w:pPr>
              <w:spacing w:before="306" w:line="182" w:lineRule="auto"/>
              <w:ind w:left="432"/>
              <w:rPr>
                <w:rFonts w:ascii="宋体" w:hAnsi="宋体" w:eastAsia="宋体" w:cs="宋体"/>
                <w:szCs w:val="21"/>
              </w:rPr>
            </w:pPr>
          </w:p>
        </w:tc>
        <w:tc>
          <w:tcPr>
            <w:tcW w:w="3995" w:type="dxa"/>
          </w:tcPr>
          <w:p>
            <w:pPr>
              <w:spacing w:before="268" w:line="221" w:lineRule="auto"/>
              <w:jc w:val="center"/>
              <w:rPr>
                <w:rFonts w:ascii="宋体" w:hAnsi="宋体" w:eastAsia="宋体" w:cs="宋体"/>
                <w:color w:val="FF0000"/>
                <w:spacing w:val="15"/>
                <w:szCs w:val="21"/>
              </w:rPr>
            </w:pPr>
            <w:r>
              <w:rPr>
                <w:rFonts w:hint="eastAsia" w:ascii="宋体" w:hAnsi="宋体" w:eastAsia="宋体" w:cs="宋体"/>
                <w:color w:val="FF0000"/>
                <w:szCs w:val="21"/>
                <w:lang w:bidi="ar"/>
              </w:rPr>
              <w:t>检验检测费</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783" w:type="dxa"/>
          </w:tcPr>
          <w:p>
            <w:pPr>
              <w:spacing w:before="306" w:line="182" w:lineRule="auto"/>
              <w:ind w:left="432"/>
              <w:rPr>
                <w:rFonts w:ascii="宋体" w:hAnsi="宋体" w:eastAsia="宋体" w:cs="宋体"/>
                <w:szCs w:val="21"/>
              </w:rPr>
            </w:pPr>
          </w:p>
        </w:tc>
        <w:tc>
          <w:tcPr>
            <w:tcW w:w="3995" w:type="dxa"/>
          </w:tcPr>
          <w:p>
            <w:pPr>
              <w:spacing w:before="268" w:line="221" w:lineRule="auto"/>
              <w:jc w:val="center"/>
              <w:rPr>
                <w:rFonts w:ascii="宋体" w:hAnsi="宋体" w:eastAsia="宋体" w:cs="宋体"/>
                <w:color w:val="FF0000"/>
                <w:spacing w:val="15"/>
                <w:szCs w:val="21"/>
              </w:rPr>
            </w:pPr>
            <w:r>
              <w:rPr>
                <w:rFonts w:ascii="宋体" w:hAnsi="宋体" w:eastAsia="宋体" w:cs="宋体"/>
                <w:color w:val="FF0000"/>
                <w:spacing w:val="-1"/>
                <w:szCs w:val="21"/>
              </w:rPr>
              <w:t>.......以上不足之处请往下添加序号自行补充</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78"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241"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255"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69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66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6"/>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5" w:type="default"/>
          <w:pgSz w:w="16841" w:h="11907"/>
          <w:pgMar w:top="400" w:right="1699" w:bottom="1184" w:left="1481" w:header="0" w:footer="1022" w:gutter="0"/>
          <w:cols w:space="720" w:num="1"/>
        </w:sectPr>
      </w:pPr>
    </w:p>
    <w:p>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jc w:val="center"/>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yellow"/>
          <w:lang w:eastAsia="zh-CN"/>
          <w14:textOutline w14:w="3835" w14:cap="flat" w14:cmpd="sng" w14:algn="ctr">
            <w14:solidFill>
              <w14:srgbClr w14:val="000000"/>
            </w14:solidFill>
            <w14:prstDash w14:val="solid"/>
            <w14:miter w14:val="0"/>
          </w14:textOutline>
        </w:rPr>
        <w:t>CGZX2023040148</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940"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770"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88"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pPr>
              <w:spacing w:before="146" w:line="211" w:lineRule="auto"/>
              <w:ind w:left="89"/>
              <w:rPr>
                <w:rFonts w:ascii="宋体" w:hAnsi="宋体" w:eastAsia="宋体" w:cs="宋体"/>
                <w:szCs w:val="21"/>
              </w:rPr>
            </w:pPr>
            <w:r>
              <w:rPr>
                <w:rFonts w:ascii="宋体" w:hAnsi="宋体" w:eastAsia="宋体" w:cs="宋体"/>
                <w:spacing w:val="4"/>
                <w:szCs w:val="21"/>
                <w14:textOutline w14:w="3835" w14:cap="flat" w14:cmpd="sng" w14:algn="ctr">
                  <w14:solidFill>
                    <w14:srgbClr w14:val="000000"/>
                  </w14:solidFill>
                  <w14:prstDash w14:val="solid"/>
                  <w14:miter w14:val="0"/>
                </w14:textOutline>
              </w:rPr>
              <w:t>序</w:t>
            </w:r>
            <w:r>
              <w:rPr>
                <w:rFonts w:ascii="宋体" w:hAnsi="宋体" w:eastAsia="宋体" w:cs="宋体"/>
                <w:spacing w:val="4"/>
                <w:szCs w:val="21"/>
              </w:rPr>
              <w:t xml:space="preserve"> </w:t>
            </w:r>
            <w:r>
              <w:rPr>
                <w:rFonts w:ascii="宋体" w:hAnsi="宋体" w:eastAsia="宋体" w:cs="宋体"/>
                <w:spacing w:val="4"/>
                <w:szCs w:val="21"/>
                <w14:textOutline w14:w="3835" w14:cap="flat" w14:cmpd="sng" w14:algn="ctr">
                  <w14:solidFill>
                    <w14:srgbClr w14:val="000000"/>
                  </w14:solidFill>
                  <w14:prstDash w14:val="solid"/>
                  <w14:miter w14:val="0"/>
                </w14:textOutline>
              </w:rPr>
              <w:t>号</w:t>
            </w:r>
          </w:p>
        </w:tc>
        <w:tc>
          <w:tcPr>
            <w:tcW w:w="2543" w:type="dxa"/>
          </w:tcPr>
          <w:p>
            <w:pPr>
              <w:spacing w:before="252" w:line="221" w:lineRule="auto"/>
              <w:ind w:left="53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ascii="宋体" w:hAnsi="宋体" w:eastAsia="宋体" w:cs="宋体"/>
                <w:szCs w:val="21"/>
                <w14:textOutline w14:w="3835" w14:cap="flat" w14:cmpd="sng" w14:algn="ctr">
                  <w14:solidFill>
                    <w14:srgbClr w14:val="000000"/>
                  </w14:solidFill>
                  <w14:prstDash w14:val="solid"/>
                  <w14:miter w14:val="0"/>
                </w14:textOutline>
              </w:rPr>
              <w:t>工具名称</w:t>
            </w:r>
          </w:p>
        </w:tc>
        <w:tc>
          <w:tcPr>
            <w:tcW w:w="2100" w:type="dxa"/>
          </w:tcPr>
          <w:p>
            <w:pPr>
              <w:spacing w:before="252" w:line="221" w:lineRule="auto"/>
              <w:ind w:left="534"/>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tcPr>
          <w:p>
            <w:pPr>
              <w:spacing w:before="252" w:line="221" w:lineRule="auto"/>
              <w:ind w:left="215"/>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数量</w:t>
            </w:r>
          </w:p>
        </w:tc>
        <w:tc>
          <w:tcPr>
            <w:tcW w:w="1940" w:type="dxa"/>
          </w:tcPr>
          <w:p>
            <w:pPr>
              <w:spacing w:before="89" w:line="327" w:lineRule="exact"/>
              <w:ind w:left="708"/>
              <w:rPr>
                <w:rFonts w:ascii="宋体" w:hAnsi="宋体" w:eastAsia="宋体" w:cs="宋体"/>
                <w:szCs w:val="21"/>
              </w:rPr>
            </w:pP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原产地</w:t>
            </w:r>
            <w:r>
              <w:rPr>
                <w:rFonts w:ascii="宋体" w:hAnsi="宋体" w:eastAsia="宋体" w:cs="宋体"/>
                <w:spacing w:val="-1"/>
                <w:position w:val="8"/>
                <w:szCs w:val="21"/>
                <w14:textOutline w14:w="3835" w14:cap="flat" w14:cmpd="sng" w14:algn="ctr">
                  <w14:solidFill>
                    <w14:srgbClr w14:val="000000"/>
                  </w14:solidFill>
                  <w14:prstDash w14:val="solid"/>
                  <w14:miter w14:val="0"/>
                </w14:textOutline>
              </w:rPr>
              <w:t>和</w:t>
            </w:r>
          </w:p>
          <w:p>
            <w:pPr>
              <w:spacing w:line="221" w:lineRule="auto"/>
              <w:ind w:left="59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ascii="宋体" w:hAnsi="宋体" w:eastAsia="宋体" w:cs="宋体"/>
                <w:szCs w:val="21"/>
                <w14:textOutline w14:w="3835" w14:cap="flat" w14:cmpd="sng" w14:algn="ctr">
                  <w14:solidFill>
                    <w14:srgbClr w14:val="000000"/>
                  </w14:solidFill>
                  <w14:prstDash w14:val="solid"/>
                  <w14:miter w14:val="0"/>
                </w14:textOutline>
              </w:rPr>
              <w:t>名称</w:t>
            </w:r>
          </w:p>
        </w:tc>
        <w:tc>
          <w:tcPr>
            <w:tcW w:w="1770" w:type="dxa"/>
          </w:tcPr>
          <w:p>
            <w:pPr>
              <w:spacing w:before="90" w:line="219"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w:t>
            </w:r>
            <w:r>
              <w:rPr>
                <w:rFonts w:ascii="宋体" w:hAnsi="宋体" w:eastAsia="宋体" w:cs="宋体"/>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7" w:line="221" w:lineRule="auto"/>
              <w:ind w:firstLine="712" w:firstLineChars="400"/>
              <w:rPr>
                <w:rFonts w:ascii="宋体" w:hAnsi="宋体" w:eastAsia="宋体" w:cs="宋体"/>
                <w:szCs w:val="21"/>
              </w:rPr>
            </w:pPr>
            <w:r>
              <w:rPr>
                <w:rFonts w:ascii="宋体" w:hAnsi="宋体" w:eastAsia="宋体" w:cs="宋体"/>
                <w:spacing w:val="-16"/>
                <w:szCs w:val="21"/>
                <w14:textOutline w14:w="3835" w14:cap="flat" w14:cmpd="sng" w14:algn="ctr">
                  <w14:solidFill>
                    <w14:srgbClr w14:val="000000"/>
                  </w14:solidFill>
                  <w14:prstDash w14:val="solid"/>
                  <w14:miter w14:val="0"/>
                </w14:textOutline>
              </w:rPr>
              <w:t>(</w:t>
            </w:r>
            <w:r>
              <w:rPr>
                <w:rFonts w:ascii="宋体" w:hAnsi="宋体" w:eastAsia="宋体" w:cs="宋体"/>
                <w:spacing w:val="-14"/>
                <w:szCs w:val="21"/>
                <w14:textOutline w14:w="3835" w14:cap="flat" w14:cmpd="sng" w14:algn="ctr">
                  <w14:solidFill>
                    <w14:srgbClr w14:val="000000"/>
                  </w14:solidFill>
                  <w14:prstDash w14:val="solid"/>
                  <w14:miter w14:val="0"/>
                </w14:textOutline>
              </w:rPr>
              <w:t>元)</w:t>
            </w:r>
          </w:p>
        </w:tc>
        <w:tc>
          <w:tcPr>
            <w:tcW w:w="1888" w:type="dxa"/>
          </w:tcPr>
          <w:p>
            <w:pPr>
              <w:spacing w:before="90" w:line="219" w:lineRule="auto"/>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ascii="宋体" w:hAnsi="宋体" w:eastAsia="宋体" w:cs="宋体"/>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7" w:line="221" w:lineRule="auto"/>
              <w:ind w:left="747"/>
              <w:rPr>
                <w:rFonts w:ascii="宋体" w:hAnsi="宋体" w:eastAsia="宋体" w:cs="宋体"/>
                <w:szCs w:val="21"/>
              </w:rPr>
            </w:pPr>
            <w:r>
              <w:rPr>
                <w:rFonts w:ascii="宋体" w:hAnsi="宋体" w:eastAsia="宋体" w:cs="宋体"/>
                <w:spacing w:val="27"/>
                <w:szCs w:val="21"/>
                <w14:textOutline w14:w="3835" w14:cap="flat" w14:cmpd="sng" w14:algn="ctr">
                  <w14:solidFill>
                    <w14:srgbClr w14:val="000000"/>
                  </w14:solidFill>
                  <w14:prstDash w14:val="solid"/>
                  <w14:miter w14:val="0"/>
                </w14:textOutline>
              </w:rPr>
              <w:t>(</w:t>
            </w:r>
            <w:r>
              <w:rPr>
                <w:rFonts w:ascii="宋体" w:hAnsi="宋体" w:eastAsia="宋体" w:cs="宋体"/>
                <w:spacing w:val="26"/>
                <w:szCs w:val="21"/>
                <w14:textOutline w14:w="3835" w14:cap="flat" w14:cmpd="sng" w14:algn="ctr">
                  <w14:solidFill>
                    <w14:srgbClr w14:val="000000"/>
                  </w14:solidFill>
                  <w14:prstDash w14:val="solid"/>
                  <w14:miter w14:val="0"/>
                </w14:textOutline>
              </w:rPr>
              <w:t>元)</w:t>
            </w:r>
          </w:p>
        </w:tc>
        <w:tc>
          <w:tcPr>
            <w:tcW w:w="1120" w:type="dxa"/>
          </w:tcPr>
          <w:p>
            <w:pPr>
              <w:spacing w:before="89" w:line="327" w:lineRule="exact"/>
              <w:ind w:left="360"/>
              <w:rPr>
                <w:rFonts w:ascii="宋体" w:hAnsi="宋体" w:eastAsia="宋体" w:cs="宋体"/>
                <w:szCs w:val="21"/>
              </w:rPr>
            </w:pPr>
            <w:r>
              <w:rPr>
                <w:rFonts w:ascii="宋体" w:hAnsi="宋体" w:eastAsia="宋体" w:cs="宋体"/>
                <w:spacing w:val="-3"/>
                <w:position w:val="8"/>
                <w:szCs w:val="21"/>
                <w14:textOutline w14:w="3835" w14:cap="flat" w14:cmpd="sng" w14:algn="ctr">
                  <w14:solidFill>
                    <w14:srgbClr w14:val="000000"/>
                  </w14:solidFill>
                  <w14:prstDash w14:val="solid"/>
                  <w14:miter w14:val="0"/>
                </w14:textOutline>
              </w:rPr>
              <w:t>更</w:t>
            </w: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换</w:t>
            </w:r>
          </w:p>
          <w:p>
            <w:pPr>
              <w:spacing w:line="221" w:lineRule="auto"/>
              <w:ind w:left="358"/>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周期</w:t>
            </w:r>
          </w:p>
        </w:tc>
        <w:tc>
          <w:tcPr>
            <w:tcW w:w="1125" w:type="dxa"/>
          </w:tcPr>
          <w:p>
            <w:pPr>
              <w:spacing w:before="253" w:line="222" w:lineRule="auto"/>
              <w:ind w:left="252"/>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4"/>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vAlign w:val="center"/>
          </w:tcPr>
          <w:p>
            <w:pPr>
              <w:pStyle w:val="124"/>
              <w:spacing w:before="60" w:after="60"/>
              <w:jc w:val="center"/>
              <w:rPr>
                <w:rFonts w:ascii="宋体" w:hAnsi="宋体" w:eastAsia="宋体" w:cs="宋体"/>
                <w:color w:val="FF0000"/>
                <w:szCs w:val="21"/>
              </w:rPr>
            </w:pPr>
          </w:p>
        </w:tc>
        <w:tc>
          <w:tcPr>
            <w:tcW w:w="2100" w:type="dxa"/>
            <w:vAlign w:val="center"/>
          </w:tcPr>
          <w:p>
            <w:pPr>
              <w:jc w:val="center"/>
              <w:rPr>
                <w:rFonts w:ascii="Arial"/>
                <w:color w:val="FF0000"/>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124"/>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vAlign w:val="center"/>
          </w:tcPr>
          <w:p>
            <w:pPr>
              <w:pStyle w:val="124"/>
              <w:spacing w:before="60" w:after="60"/>
              <w:rPr>
                <w:rFonts w:ascii="宋体" w:hAnsi="宋体" w:eastAsia="宋体" w:cs="宋体"/>
                <w:color w:val="FF0000"/>
                <w:szCs w:val="21"/>
              </w:rPr>
            </w:pPr>
          </w:p>
        </w:tc>
        <w:tc>
          <w:tcPr>
            <w:tcW w:w="2100" w:type="dxa"/>
            <w:vAlign w:val="center"/>
          </w:tcPr>
          <w:p>
            <w:pPr>
              <w:jc w:val="center"/>
              <w:rPr>
                <w:rFonts w:ascii="Arial"/>
                <w:color w:val="FF0000"/>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vAlign w:val="center"/>
          </w:tcPr>
          <w:p>
            <w:pPr>
              <w:pStyle w:val="124"/>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vAlign w:val="center"/>
          </w:tcPr>
          <w:p>
            <w:pPr>
              <w:pStyle w:val="124"/>
              <w:spacing w:before="60" w:after="60"/>
              <w:rPr>
                <w:rFonts w:ascii="宋体" w:hAnsi="宋体" w:eastAsia="宋体" w:cs="宋体"/>
                <w:color w:val="FF0000"/>
                <w:szCs w:val="21"/>
              </w:rPr>
            </w:pPr>
          </w:p>
        </w:tc>
        <w:tc>
          <w:tcPr>
            <w:tcW w:w="2100" w:type="dxa"/>
            <w:vAlign w:val="center"/>
          </w:tcPr>
          <w:p>
            <w:pPr>
              <w:jc w:val="center"/>
              <w:rPr>
                <w:rFonts w:ascii="Arial"/>
                <w:color w:val="FF0000"/>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5" w:hRule="atLeast"/>
        </w:trPr>
        <w:tc>
          <w:tcPr>
            <w:tcW w:w="509" w:type="dxa"/>
            <w:vAlign w:val="center"/>
          </w:tcPr>
          <w:p>
            <w:pPr>
              <w:pStyle w:val="124"/>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vAlign w:val="center"/>
          </w:tcPr>
          <w:p>
            <w:pPr>
              <w:pStyle w:val="124"/>
              <w:spacing w:before="60" w:after="60"/>
              <w:rPr>
                <w:rFonts w:ascii="宋体" w:hAnsi="宋体" w:eastAsia="宋体" w:cs="宋体"/>
                <w:color w:val="FF0000"/>
                <w:szCs w:val="21"/>
              </w:rPr>
            </w:pPr>
          </w:p>
        </w:tc>
        <w:tc>
          <w:tcPr>
            <w:tcW w:w="2100" w:type="dxa"/>
            <w:vAlign w:val="center"/>
          </w:tcPr>
          <w:p>
            <w:pPr>
              <w:jc w:val="center"/>
              <w:rPr>
                <w:rFonts w:ascii="Arial"/>
                <w:color w:val="FF0000"/>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vAlign w:val="center"/>
          </w:tcPr>
          <w:p>
            <w:pPr>
              <w:pStyle w:val="124"/>
              <w:spacing w:before="60" w:after="60"/>
              <w:jc w:val="center"/>
              <w:rPr>
                <w:rFonts w:ascii="宋体" w:hAnsi="宋体" w:eastAsia="宋体" w:cs="宋体"/>
                <w:szCs w:val="21"/>
              </w:rPr>
            </w:pPr>
            <w:r>
              <w:rPr>
                <w:rFonts w:hint="eastAsia" w:ascii="宋体" w:hAnsi="宋体" w:eastAsia="宋体" w:cs="宋体"/>
                <w:szCs w:val="21"/>
              </w:rPr>
              <w:t>5</w:t>
            </w:r>
          </w:p>
        </w:tc>
        <w:tc>
          <w:tcPr>
            <w:tcW w:w="2543" w:type="dxa"/>
            <w:vAlign w:val="center"/>
          </w:tcPr>
          <w:p>
            <w:pPr>
              <w:pStyle w:val="124"/>
              <w:spacing w:before="60" w:after="60"/>
              <w:rPr>
                <w:rFonts w:ascii="宋体" w:hAnsi="宋体" w:eastAsia="宋体" w:cs="宋体"/>
                <w:color w:val="FF0000"/>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00" w:type="dxa"/>
            <w:vAlign w:val="center"/>
          </w:tcPr>
          <w:p>
            <w:pPr>
              <w:jc w:val="center"/>
              <w:rPr>
                <w:rFonts w:ascii="Arial"/>
                <w:color w:val="FF0000"/>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9702"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33" w:type="dxa"/>
            <w:gridSpan w:val="3"/>
          </w:tcPr>
          <w:p>
            <w:pPr>
              <w:spacing w:before="207" w:line="219" w:lineRule="auto"/>
              <w:ind w:firstLine="630" w:firstLineChars="300"/>
              <w:rPr>
                <w:rFonts w:ascii="宋体" w:hAnsi="宋体" w:eastAsia="宋体" w:cs="宋体"/>
                <w:szCs w:val="21"/>
              </w:rPr>
            </w:pPr>
            <w:r>
              <w:rPr>
                <w:rFonts w:ascii="宋体" w:hAnsi="宋体" w:eastAsia="宋体" w:cs="宋体"/>
                <w:szCs w:val="21"/>
              </w:rPr>
              <w:t>总价合计</w:t>
            </w:r>
            <w:r>
              <w:rPr>
                <w:rFonts w:hint="eastAsia" w:ascii="宋体" w:hAnsi="宋体" w:eastAsia="宋体" w:cs="宋体"/>
                <w:szCs w:val="21"/>
              </w:rPr>
              <w:t>（不含税）</w:t>
            </w:r>
            <w:r>
              <w:rPr>
                <w:rFonts w:ascii="宋体" w:hAnsi="宋体" w:eastAsia="宋体" w:cs="宋体"/>
                <w:szCs w:val="21"/>
              </w:rPr>
              <w:t>￥    元</w:t>
            </w:r>
          </w:p>
        </w:tc>
      </w:tr>
    </w:tbl>
    <w:p>
      <w:pPr>
        <w:spacing w:before="69" w:line="219" w:lineRule="auto"/>
        <w:rPr>
          <w:rFonts w:ascii="宋体" w:hAnsi="宋体" w:eastAsia="宋体" w:cs="宋体"/>
          <w:spacing w:val="-3"/>
          <w:szCs w:val="21"/>
        </w:rPr>
      </w:pPr>
    </w:p>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6" w:type="default"/>
          <w:pgSz w:w="16841" w:h="11907"/>
          <w:pgMar w:top="400" w:right="1500" w:bottom="1184" w:left="1480" w:header="0" w:footer="1022" w:gutter="0"/>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416" w:firstLineChars="20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color w:val="FF0000"/>
          <w:spacing w:val="-1"/>
          <w:szCs w:val="21"/>
          <w:highlight w:val="yellow"/>
          <w:lang w:eastAsia="zh-CN"/>
          <w14:textOutline w14:w="3835" w14:cap="flat" w14:cmpd="sng" w14:algn="ctr">
            <w14:solidFill>
              <w14:srgbClr w14:val="000000"/>
            </w14:solidFill>
            <w14:prstDash w14:val="solid"/>
            <w14:miter w14:val="0"/>
          </w14:textOutline>
        </w:rPr>
        <w:t>CGZX2023040148</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7"/>
        <w:tblW w:w="13785"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8"/>
        <w:gridCol w:w="5765"/>
        <w:gridCol w:w="3354"/>
        <w:gridCol w:w="31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538"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128"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538"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12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538"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12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538"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12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538"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12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538" w:type="dxa"/>
          </w:tcPr>
          <w:p>
            <w:pPr>
              <w:spacing w:before="300" w:line="185" w:lineRule="auto"/>
              <w:ind w:left="492"/>
              <w:rPr>
                <w:rFonts w:ascii="宋体" w:hAnsi="宋体" w:eastAsia="宋体" w:cs="宋体"/>
                <w:szCs w:val="21"/>
              </w:rPr>
            </w:pPr>
            <w:r>
              <w:rPr>
                <w:rFonts w:hint="eastAsia" w:ascii="宋体" w:hAnsi="宋体" w:eastAsia="宋体" w:cs="宋体"/>
                <w:szCs w:val="21"/>
              </w:rPr>
              <w:t>5</w:t>
            </w:r>
          </w:p>
        </w:tc>
        <w:tc>
          <w:tcPr>
            <w:tcW w:w="5765" w:type="dxa"/>
          </w:tcPr>
          <w:p>
            <w:pPr>
              <w:spacing w:before="265" w:line="222" w:lineRule="auto"/>
              <w:ind w:left="2378" w:firstLine="188" w:firstLineChars="100"/>
              <w:rPr>
                <w:rFonts w:ascii="宋体" w:hAnsi="宋体" w:eastAsia="宋体" w:cs="宋体"/>
                <w:spacing w:val="-11"/>
                <w:szCs w:val="21"/>
              </w:rPr>
            </w:pPr>
          </w:p>
        </w:tc>
        <w:tc>
          <w:tcPr>
            <w:tcW w:w="3354" w:type="dxa"/>
          </w:tcPr>
          <w:p>
            <w:pPr>
              <w:rPr>
                <w:rFonts w:ascii="Arial"/>
              </w:rPr>
            </w:pPr>
          </w:p>
        </w:tc>
        <w:tc>
          <w:tcPr>
            <w:tcW w:w="312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303"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128"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303"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128"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6"/>
      </w:pPr>
    </w:p>
    <w:p>
      <w:pPr>
        <w:pStyle w:val="16"/>
      </w:pP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sectPr>
          <w:footerReference r:id="rId27" w:type="default"/>
          <w:pgSz w:w="16841" w:h="11907"/>
          <w:pgMar w:top="400" w:right="1699" w:bottom="1168" w:left="1481" w:header="0" w:footer="990" w:gutter="0"/>
          <w:cols w:equalWidth="0" w:num="1">
            <w:col w:w="13660"/>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ascii="宋体" w:hAnsi="宋体" w:eastAsia="宋体" w:cs="宋体"/>
          <w:spacing w:val="-5"/>
          <w:sz w:val="24"/>
          <w:szCs w:val="24"/>
          <w:u w:val="single"/>
          <w:lang w:eastAsia="zh-CN"/>
        </w:rPr>
        <w:t>整车道路性能测试系统采购项目</w:t>
      </w:r>
      <w:r>
        <w:rPr>
          <w:rFonts w:ascii="宋体" w:hAnsi="宋体" w:eastAsia="宋体" w:cs="宋体"/>
          <w:spacing w:val="-5"/>
          <w:sz w:val="24"/>
          <w:szCs w:val="24"/>
          <w:u w:val="single"/>
        </w:rPr>
        <w:t xml:space="preserve"> </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28"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lang w:eastAsia="zh-CN"/>
        </w:rPr>
        <w:t>整车道路性能测试系统采购项目</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6"/>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5</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Times New Roman" w:hAnsi="Times New Roman" w:eastAsia="宋体" w:cs="Times New Roman"/>
                <w:b/>
                <w:szCs w:val="20"/>
                <w:lang w:eastAsia="zh-CN"/>
              </w:rPr>
            </w:pPr>
            <w:r>
              <w:rPr>
                <w:rFonts w:hint="eastAsia" w:ascii="宋体" w:hAnsi="宋体" w:eastAsia="宋体" w:cs="宋体"/>
                <w:b/>
                <w:szCs w:val="20"/>
              </w:rPr>
              <w:t>项目名称：</w:t>
            </w:r>
            <w:r>
              <w:rPr>
                <w:rFonts w:hint="eastAsia" w:ascii="宋体" w:hAnsi="宋体" w:eastAsia="宋体" w:cs="宋体"/>
                <w:b/>
                <w:szCs w:val="20"/>
                <w:lang w:eastAsia="zh-CN"/>
              </w:rPr>
              <w:t>整车道路性能测试系统采购项目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6"/>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pStyle w:val="2"/>
        <w:rPr>
          <w:rFonts w:asciiTheme="minorEastAsia" w:hAnsiTheme="minorEastAsia" w:cstheme="minorEastAsia"/>
          <w:sz w:val="20"/>
          <w:szCs w:val="20"/>
        </w:rPr>
      </w:pPr>
    </w:p>
    <w:p>
      <w:pPr>
        <w:rPr>
          <w:rFonts w:asciiTheme="minorEastAsia" w:hAnsiTheme="minorEastAsia" w:cstheme="minorEastAsia"/>
          <w:sz w:val="20"/>
          <w:szCs w:val="20"/>
        </w:rPr>
      </w:pPr>
    </w:p>
    <w:p>
      <w:pPr>
        <w:pStyle w:val="2"/>
        <w:rPr>
          <w:rFonts w:asciiTheme="minorEastAsia" w:hAnsiTheme="minorEastAsia" w:cstheme="minorEastAsia"/>
          <w:sz w:val="20"/>
          <w:szCs w:val="20"/>
        </w:rPr>
      </w:pPr>
    </w:p>
    <w:p>
      <w:pPr>
        <w:rPr>
          <w:rFonts w:asciiTheme="minorEastAsia" w:hAnsiTheme="minorEastAsia" w:cstheme="minorEastAsia"/>
          <w:sz w:val="20"/>
          <w:szCs w:val="20"/>
        </w:rPr>
      </w:pPr>
    </w:p>
    <w:p>
      <w:pPr>
        <w:pStyle w:val="2"/>
        <w:rPr>
          <w:rFonts w:asciiTheme="minorEastAsia" w:hAnsiTheme="minorEastAsia" w:cstheme="minorEastAsia"/>
          <w:sz w:val="20"/>
          <w:szCs w:val="20"/>
        </w:rPr>
      </w:pPr>
    </w:p>
    <w:p>
      <w:pPr>
        <w:rPr>
          <w:rFonts w:asciiTheme="minorEastAsia" w:hAnsiTheme="minorEastAsia" w:cstheme="minorEastAsia"/>
          <w:sz w:val="20"/>
          <w:szCs w:val="20"/>
        </w:rPr>
      </w:pPr>
    </w:p>
    <w:p>
      <w:pPr>
        <w:pStyle w:val="2"/>
        <w:rPr>
          <w:rFonts w:asciiTheme="minorEastAsia" w:hAnsiTheme="minorEastAsia" w:cstheme="minorEastAsia"/>
          <w:sz w:val="20"/>
          <w:szCs w:val="20"/>
        </w:rPr>
      </w:pPr>
    </w:p>
    <w:p>
      <w:pPr>
        <w:rPr>
          <w:rFonts w:asciiTheme="minorEastAsia" w:hAnsiTheme="minorEastAsia" w:cstheme="minorEastAsia"/>
          <w:sz w:val="20"/>
          <w:szCs w:val="20"/>
        </w:rPr>
      </w:pPr>
    </w:p>
    <w:p>
      <w:pPr>
        <w:pStyle w:val="2"/>
        <w:rPr>
          <w:rFonts w:asciiTheme="minorEastAsia" w:hAnsiTheme="minorEastAsia" w:cstheme="minorEastAsia"/>
          <w:sz w:val="20"/>
          <w:szCs w:val="20"/>
        </w:rPr>
      </w:pPr>
    </w:p>
    <w:p>
      <w:pPr>
        <w:rPr>
          <w:rFonts w:asciiTheme="minorEastAsia" w:hAnsiTheme="minorEastAsia" w:cstheme="minorEastAsia"/>
          <w:sz w:val="20"/>
          <w:szCs w:val="20"/>
        </w:rPr>
      </w:pPr>
    </w:p>
    <w:p>
      <w:pPr>
        <w:pStyle w:val="2"/>
        <w:rPr>
          <w:rFonts w:asciiTheme="minorEastAsia" w:hAnsiTheme="minorEastAsia" w:cstheme="minorEastAsia"/>
          <w:sz w:val="20"/>
          <w:szCs w:val="20"/>
        </w:rPr>
      </w:pPr>
    </w:p>
    <w:p>
      <w:pPr>
        <w:rPr>
          <w:rFonts w:asciiTheme="minorEastAsia" w:hAnsiTheme="minorEastAsia" w:cstheme="minorEastAsia"/>
          <w:sz w:val="20"/>
          <w:szCs w:val="20"/>
        </w:rPr>
      </w:pPr>
    </w:p>
    <w:p>
      <w:pPr>
        <w:pStyle w:val="2"/>
        <w:rPr>
          <w:rFonts w:asciiTheme="minorEastAsia" w:hAnsiTheme="minorEastAsia" w:cstheme="minorEastAsia"/>
          <w:sz w:val="20"/>
          <w:szCs w:val="20"/>
        </w:rPr>
      </w:pPr>
    </w:p>
    <w:p>
      <w:pPr>
        <w:rPr>
          <w:rFonts w:asciiTheme="minorEastAsia" w:hAnsiTheme="minorEastAsia" w:cstheme="minorEastAsia"/>
          <w:sz w:val="20"/>
          <w:szCs w:val="20"/>
        </w:rPr>
      </w:pPr>
    </w:p>
    <w:p>
      <w:pPr>
        <w:pStyle w:val="2"/>
        <w:rPr>
          <w:rFonts w:asciiTheme="minorEastAsia" w:hAnsiTheme="minorEastAsia" w:cstheme="minorEastAsia"/>
          <w:sz w:val="20"/>
          <w:szCs w:val="20"/>
        </w:rPr>
      </w:pPr>
    </w:p>
    <w:p>
      <w:pPr>
        <w:rPr>
          <w:rFonts w:asciiTheme="minorEastAsia" w:hAnsiTheme="minorEastAsia" w:cstheme="minorEastAsia"/>
          <w:sz w:val="20"/>
          <w:szCs w:val="20"/>
        </w:rPr>
      </w:pPr>
      <w:r>
        <w:rPr>
          <w:rFonts w:asciiTheme="minorEastAsia" w:hAnsiTheme="minorEastAsia" w:cstheme="minorEastAsia"/>
          <w:sz w:val="20"/>
          <w:szCs w:val="20"/>
        </w:rPr>
        <w:br w:type="page"/>
      </w:r>
    </w:p>
    <w:p>
      <w:pPr>
        <w:pStyle w:val="2"/>
        <w:sectPr>
          <w:headerReference r:id="rId30" w:type="first"/>
          <w:footerReference r:id="rId32" w:type="first"/>
          <w:headerReference r:id="rId29" w:type="default"/>
          <w:footerReference r:id="rId31" w:type="default"/>
          <w:pgSz w:w="11906" w:h="16838"/>
          <w:pgMar w:top="1588" w:right="1418" w:bottom="1134" w:left="1418" w:header="851" w:footer="992" w:gutter="0"/>
          <w:cols w:space="720" w:num="1"/>
          <w:titlePg/>
          <w:docGrid w:type="lines" w:linePitch="312" w:charSpace="0"/>
        </w:sectPr>
      </w:pPr>
    </w:p>
    <w:p>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p>
      <w:pPr>
        <w:pStyle w:val="2"/>
        <w:jc w:val="center"/>
        <w:rPr>
          <w:rFonts w:ascii="宋体" w:hAnsi="宋体"/>
          <w:szCs w:val="24"/>
        </w:rPr>
      </w:pPr>
      <w:r>
        <w:rPr>
          <w:rFonts w:hint="eastAsia" w:ascii="宋体" w:hAnsi="宋体"/>
          <w:szCs w:val="24"/>
        </w:rPr>
        <w:t>技术标评审表（50分）</w:t>
      </w:r>
    </w:p>
    <w:tbl>
      <w:tblPr>
        <w:tblStyle w:val="35"/>
        <w:tblW w:w="14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895"/>
        <w:gridCol w:w="2010"/>
        <w:gridCol w:w="992"/>
        <w:gridCol w:w="9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94"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评价类型</w:t>
            </w:r>
          </w:p>
        </w:tc>
        <w:tc>
          <w:tcPr>
            <w:tcW w:w="895"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2010"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内   容</w:t>
            </w:r>
          </w:p>
        </w:tc>
        <w:tc>
          <w:tcPr>
            <w:tcW w:w="992"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标准分</w:t>
            </w:r>
          </w:p>
        </w:tc>
        <w:tc>
          <w:tcPr>
            <w:tcW w:w="9131"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 w:hRule="atLeast"/>
          <w:jc w:val="center"/>
        </w:trPr>
        <w:tc>
          <w:tcPr>
            <w:tcW w:w="1094" w:type="dxa"/>
            <w:vMerge w:val="restart"/>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技术</w:t>
            </w:r>
          </w:p>
          <w:p>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50</w:t>
            </w:r>
            <w:r>
              <w:rPr>
                <w:rFonts w:hint="eastAsia" w:ascii="宋体" w:hAnsi="宋体" w:eastAsia="宋体" w:cs="宋体"/>
                <w:sz w:val="21"/>
                <w:szCs w:val="21"/>
                <w:highlight w:val="none"/>
              </w:rPr>
              <w:t>分</w:t>
            </w:r>
          </w:p>
        </w:tc>
        <w:tc>
          <w:tcPr>
            <w:tcW w:w="895"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010"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lang w:val="en-US" w:eastAsia="zh-CN"/>
              </w:rPr>
            </w:pPr>
            <w:r>
              <w:rPr>
                <w:rFonts w:hint="eastAsia" w:ascii="宋体" w:hAnsi="宋体" w:eastAsia="宋体" w:cs="宋体"/>
                <w:color w:val="000000"/>
                <w:sz w:val="21"/>
                <w:szCs w:val="21"/>
                <w:highlight w:val="none"/>
              </w:rPr>
              <w:t>产品</w:t>
            </w:r>
            <w:r>
              <w:rPr>
                <w:rFonts w:hint="eastAsia" w:ascii="宋体" w:hAnsi="宋体" w:eastAsia="宋体" w:cs="宋体"/>
                <w:color w:val="000000"/>
                <w:sz w:val="21"/>
                <w:szCs w:val="21"/>
                <w:highlight w:val="none"/>
                <w:lang w:val="en-US" w:eastAsia="zh-CN"/>
              </w:rPr>
              <w:t>核心技术能力</w:t>
            </w:r>
          </w:p>
        </w:tc>
        <w:tc>
          <w:tcPr>
            <w:tcW w:w="992"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5</w:t>
            </w:r>
          </w:p>
        </w:tc>
        <w:tc>
          <w:tcPr>
            <w:tcW w:w="9131" w:type="dxa"/>
            <w:vAlign w:val="center"/>
          </w:tcPr>
          <w:p>
            <w:pPr>
              <w:keepNext w:val="0"/>
              <w:keepLines w:val="0"/>
              <w:numPr>
                <w:ilvl w:val="0"/>
                <w:numId w:val="0"/>
              </w:numPr>
              <w:suppressLineNumbers w:val="0"/>
              <w:spacing w:before="0" w:beforeAutospacing="0" w:after="0" w:afterAutospacing="0" w:line="360" w:lineRule="auto"/>
              <w:ind w:left="0" w:right="0"/>
              <w:jc w:val="both"/>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设备制造商装备制造能力、生产设备、加工工艺、完善程度，0-5分；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9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895"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2010"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r>
              <w:rPr>
                <w:rFonts w:hint="eastAsia" w:ascii="宋体" w:hAnsi="宋体" w:eastAsia="宋体" w:cs="宋体"/>
                <w:sz w:val="21"/>
                <w:szCs w:val="21"/>
                <w:highlight w:val="none"/>
              </w:rPr>
              <w:t>技术方案的先进性</w:t>
            </w:r>
          </w:p>
        </w:tc>
        <w:tc>
          <w:tcPr>
            <w:tcW w:w="992"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9131" w:type="dxa"/>
            <w:vAlign w:val="center"/>
          </w:tcPr>
          <w:p>
            <w:pPr>
              <w:keepNext w:val="0"/>
              <w:keepLines w:val="0"/>
              <w:suppressLineNumbers w:val="0"/>
              <w:spacing w:before="0" w:beforeAutospacing="0" w:after="0" w:afterAutospacing="0" w:line="360" w:lineRule="auto"/>
              <w:ind w:left="0" w:right="0"/>
              <w:jc w:val="both"/>
              <w:rPr>
                <w:rFonts w:hint="eastAsia" w:ascii="宋体" w:hAnsi="宋体" w:eastAsia="宋体" w:cs="宋体"/>
                <w:bCs/>
                <w:sz w:val="21"/>
                <w:szCs w:val="21"/>
                <w:highlight w:val="none"/>
                <w:lang w:eastAsia="zh-CN"/>
              </w:rPr>
            </w:pPr>
            <w:r>
              <w:rPr>
                <w:rFonts w:hint="eastAsia" w:ascii="宋体" w:hAnsi="宋体" w:eastAsia="宋体" w:cs="宋体"/>
                <w:bCs/>
                <w:sz w:val="21"/>
                <w:szCs w:val="21"/>
                <w:highlight w:val="none"/>
              </w:rPr>
              <w:t>产品技术先进性、成熟度，性能稳定性，能够提供重要或者权威客户产品认可证明文件</w:t>
            </w:r>
            <w:r>
              <w:rPr>
                <w:rFonts w:hint="eastAsia" w:ascii="宋体" w:hAnsi="宋体" w:eastAsia="宋体" w:cs="宋体"/>
                <w:bCs/>
                <w:sz w:val="21"/>
                <w:szCs w:val="21"/>
                <w:highlight w:val="none"/>
                <w:lang w:eastAsia="zh-CN"/>
              </w:rPr>
              <w:t>，</w:t>
            </w:r>
            <w:r>
              <w:rPr>
                <w:rFonts w:hint="eastAsia" w:ascii="宋体" w:hAnsi="宋体" w:eastAsia="宋体" w:cs="宋体"/>
                <w:sz w:val="21"/>
                <w:szCs w:val="21"/>
                <w:highlight w:val="none"/>
                <w:lang w:val="en-US" w:eastAsia="zh-CN"/>
              </w:rPr>
              <w:t>0-5分</w:t>
            </w:r>
            <w:r>
              <w:rPr>
                <w:rFonts w:hint="eastAsia" w:ascii="宋体" w:hAnsi="宋体" w:eastAsia="宋体" w:cs="宋体"/>
                <w:bCs/>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109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895"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2010" w:type="dxa"/>
            <w:vAlign w:val="center"/>
          </w:tcPr>
          <w:p>
            <w:pPr>
              <w:keepNext w:val="0"/>
              <w:keepLines w:val="0"/>
              <w:suppressLineNumbers w:val="0"/>
              <w:tabs>
                <w:tab w:val="left" w:pos="7854"/>
              </w:tabs>
              <w:spacing w:before="0" w:beforeAutospacing="0" w:after="0" w:afterAutospacing="0" w:line="300" w:lineRule="exact"/>
              <w:ind w:left="0" w:right="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技术参数要求</w:t>
            </w:r>
          </w:p>
        </w:tc>
        <w:tc>
          <w:tcPr>
            <w:tcW w:w="992"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9131" w:type="dxa"/>
            <w:vAlign w:val="center"/>
          </w:tcPr>
          <w:p>
            <w:pPr>
              <w:keepNext w:val="0"/>
              <w:keepLines w:val="0"/>
              <w:suppressLineNumbers w:val="0"/>
              <w:spacing w:before="0" w:beforeAutospacing="0" w:after="0" w:afterAutospacing="0" w:line="360" w:lineRule="auto"/>
              <w:ind w:left="0" w:right="0"/>
              <w:jc w:val="both"/>
              <w:rPr>
                <w:rFonts w:hint="eastAsia" w:ascii="宋体" w:hAnsi="宋体" w:eastAsia="宋体" w:cs="宋体"/>
                <w:bCs/>
                <w:sz w:val="21"/>
                <w:szCs w:val="21"/>
                <w:highlight w:val="none"/>
                <w:lang w:val="en-US"/>
              </w:rPr>
            </w:pPr>
            <w:r>
              <w:rPr>
                <w:rFonts w:hint="eastAsia" w:ascii="宋体" w:hAnsi="宋体" w:eastAsia="宋体" w:cs="宋体"/>
                <w:bCs/>
                <w:sz w:val="21"/>
                <w:szCs w:val="21"/>
                <w:highlight w:val="none"/>
                <w:lang w:val="en-US" w:eastAsia="zh-CN"/>
              </w:rPr>
              <w:t>根据投标方所列数据采集器、测力方向盘、压力传感器等部件关键技术指标描述全面性、准确性，</w:t>
            </w:r>
            <w:r>
              <w:rPr>
                <w:rFonts w:hint="eastAsia" w:ascii="宋体" w:hAnsi="宋体" w:eastAsia="宋体" w:cs="宋体"/>
                <w:sz w:val="21"/>
                <w:szCs w:val="21"/>
                <w:highlight w:val="none"/>
                <w:lang w:val="en-US" w:eastAsia="zh-CN"/>
              </w:rPr>
              <w:t>0-15分。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109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895"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2010" w:type="dxa"/>
            <w:vAlign w:val="center"/>
          </w:tcPr>
          <w:p>
            <w:pPr>
              <w:keepNext w:val="0"/>
              <w:keepLines w:val="0"/>
              <w:suppressLineNumbers w:val="0"/>
              <w:tabs>
                <w:tab w:val="left" w:pos="7854"/>
              </w:tabs>
              <w:spacing w:before="0" w:beforeAutospacing="0" w:after="0" w:afterAutospacing="0" w:line="300" w:lineRule="exact"/>
              <w:ind w:left="0" w:right="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操作及维护便利性</w:t>
            </w:r>
          </w:p>
        </w:tc>
        <w:tc>
          <w:tcPr>
            <w:tcW w:w="992"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9131" w:type="dxa"/>
            <w:vAlign w:val="center"/>
          </w:tcPr>
          <w:p>
            <w:pPr>
              <w:keepNext w:val="0"/>
              <w:keepLines w:val="0"/>
              <w:suppressLineNumbers w:val="0"/>
              <w:spacing w:before="0" w:beforeAutospacing="0" w:after="0" w:afterAutospacing="0" w:line="360" w:lineRule="auto"/>
              <w:ind w:left="0" w:right="0"/>
              <w:jc w:val="both"/>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维修、操作方便，产品附件配置齐全，质量可靠，设备在使用期内的维护费用方面，</w:t>
            </w:r>
            <w:r>
              <w:rPr>
                <w:rFonts w:hint="eastAsia" w:ascii="宋体" w:hAnsi="宋体" w:eastAsia="宋体" w:cs="宋体"/>
                <w:sz w:val="21"/>
                <w:szCs w:val="21"/>
                <w:highlight w:val="none"/>
                <w:lang w:val="en-US" w:eastAsia="zh-CN"/>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jc w:val="center"/>
        </w:trPr>
        <w:tc>
          <w:tcPr>
            <w:tcW w:w="109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895"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2010"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供货及</w:t>
            </w:r>
            <w:r>
              <w:rPr>
                <w:rFonts w:hint="eastAsia" w:ascii="宋体" w:hAnsi="宋体" w:eastAsia="宋体" w:cs="宋体"/>
                <w:sz w:val="21"/>
                <w:szCs w:val="21"/>
                <w:highlight w:val="none"/>
              </w:rPr>
              <w:t>售后服务</w:t>
            </w:r>
          </w:p>
        </w:tc>
        <w:tc>
          <w:tcPr>
            <w:tcW w:w="992"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9131" w:type="dxa"/>
            <w:vAlign w:val="center"/>
          </w:tcPr>
          <w:p>
            <w:pPr>
              <w:keepNext w:val="0"/>
              <w:keepLines w:val="0"/>
              <w:suppressLineNumbers w:val="0"/>
              <w:spacing w:before="0" w:beforeAutospacing="0" w:after="0" w:afterAutospacing="0" w:line="360" w:lineRule="auto"/>
              <w:ind w:left="0" w:right="0"/>
              <w:jc w:val="both"/>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从供货期长短、</w:t>
            </w:r>
            <w:r>
              <w:rPr>
                <w:rFonts w:hint="eastAsia" w:ascii="宋体" w:hAnsi="宋体" w:eastAsia="宋体" w:cs="宋体"/>
                <w:bCs/>
                <w:sz w:val="21"/>
                <w:szCs w:val="21"/>
                <w:highlight w:val="none"/>
              </w:rPr>
              <w:t>投标人提供相应培训计划的完善</w:t>
            </w:r>
            <w:r>
              <w:rPr>
                <w:rFonts w:hint="eastAsia" w:ascii="宋体" w:hAnsi="宋体" w:eastAsia="宋体" w:cs="宋体"/>
                <w:bCs/>
                <w:sz w:val="21"/>
                <w:szCs w:val="21"/>
                <w:highlight w:val="none"/>
                <w:lang w:val="en-US" w:eastAsia="zh-CN"/>
              </w:rPr>
              <w:t>程度、</w:t>
            </w:r>
            <w:r>
              <w:rPr>
                <w:rFonts w:hint="eastAsia" w:ascii="宋体" w:hAnsi="宋体" w:eastAsia="宋体" w:cs="宋体"/>
                <w:bCs/>
                <w:sz w:val="21"/>
                <w:szCs w:val="21"/>
                <w:highlight w:val="none"/>
              </w:rPr>
              <w:t>售后服务体系</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rPr>
              <w:t>承诺到现场响应时间</w:t>
            </w:r>
            <w:r>
              <w:rPr>
                <w:rFonts w:hint="eastAsia" w:ascii="宋体" w:hAnsi="宋体" w:eastAsia="宋体" w:cs="宋体"/>
                <w:bCs/>
                <w:sz w:val="21"/>
                <w:szCs w:val="21"/>
                <w:highlight w:val="none"/>
                <w:lang w:val="en-US" w:eastAsia="zh-CN"/>
              </w:rPr>
              <w:t>等角度进行评分0-5</w:t>
            </w:r>
            <w:r>
              <w:rPr>
                <w:rFonts w:hint="eastAsia" w:ascii="宋体" w:hAnsi="宋体" w:eastAsia="宋体" w:cs="宋体"/>
                <w:bCs/>
                <w:sz w:val="21"/>
                <w:szCs w:val="21"/>
                <w:highlight w:val="none"/>
              </w:rPr>
              <w:t>分</w:t>
            </w:r>
            <w:r>
              <w:rPr>
                <w:rFonts w:hint="eastAsia" w:ascii="宋体" w:hAnsi="宋体" w:eastAsia="宋体" w:cs="宋体"/>
                <w:bCs/>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9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895"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2010"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r>
              <w:rPr>
                <w:rFonts w:hint="eastAsia" w:ascii="宋体" w:hAnsi="宋体" w:eastAsia="宋体" w:cs="宋体"/>
                <w:sz w:val="21"/>
                <w:szCs w:val="21"/>
                <w:highlight w:val="none"/>
              </w:rPr>
              <w:t>同类型项目业绩</w:t>
            </w:r>
          </w:p>
        </w:tc>
        <w:tc>
          <w:tcPr>
            <w:tcW w:w="992"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9131" w:type="dxa"/>
            <w:vAlign w:val="center"/>
          </w:tcPr>
          <w:p>
            <w:pPr>
              <w:keepNext w:val="0"/>
              <w:keepLines w:val="0"/>
              <w:numPr>
                <w:ilvl w:val="-1"/>
                <w:numId w:val="0"/>
              </w:numPr>
              <w:suppressLineNumbers w:val="0"/>
              <w:spacing w:before="0" w:beforeAutospacing="0" w:after="0" w:afterAutospacing="0" w:line="360" w:lineRule="auto"/>
              <w:ind w:left="0" w:right="0"/>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拟投标人有与本次招标设备同类的项目经验，在中国境内外有至少销售产品给商用车企业或汽车检测机构使用的案例；投标时提供近三年在国内乘用车、商用车企业、检测机构同类设备的合同复印件数量，0-5分；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109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895"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2010"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r>
              <w:rPr>
                <w:rFonts w:hint="eastAsia" w:ascii="宋体" w:hAnsi="宋体" w:eastAsia="宋体" w:cs="宋体"/>
                <w:bCs/>
                <w:sz w:val="21"/>
                <w:szCs w:val="21"/>
                <w:highlight w:val="none"/>
              </w:rPr>
              <w:t>品牌知名度</w:t>
            </w:r>
          </w:p>
        </w:tc>
        <w:tc>
          <w:tcPr>
            <w:tcW w:w="992"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9131"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Cs/>
                <w:sz w:val="21"/>
                <w:szCs w:val="21"/>
                <w:highlight w:val="none"/>
                <w:lang w:eastAsia="zh-CN"/>
              </w:rPr>
            </w:pPr>
            <w:r>
              <w:rPr>
                <w:rFonts w:hint="eastAsia" w:ascii="宋体" w:hAnsi="宋体" w:eastAsia="宋体" w:cs="宋体"/>
                <w:bCs/>
                <w:sz w:val="21"/>
                <w:szCs w:val="21"/>
                <w:highlight w:val="none"/>
              </w:rPr>
              <w:t>一流供应商，提供能够证明企业研发能力诸如发明专利、实用新型专利及软件著作权等材料，</w:t>
            </w:r>
            <w:r>
              <w:rPr>
                <w:rFonts w:hint="eastAsia" w:ascii="宋体" w:hAnsi="宋体" w:eastAsia="宋体" w:cs="宋体"/>
                <w:bCs/>
                <w:sz w:val="21"/>
                <w:szCs w:val="21"/>
                <w:highlight w:val="none"/>
                <w:lang w:val="en-US" w:eastAsia="zh-CN"/>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109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895"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p>
        </w:tc>
        <w:tc>
          <w:tcPr>
            <w:tcW w:w="2010"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Cs/>
                <w:sz w:val="21"/>
                <w:szCs w:val="21"/>
                <w:highlight w:val="none"/>
              </w:rPr>
            </w:pPr>
            <w:r>
              <w:rPr>
                <w:rFonts w:hint="eastAsia" w:ascii="宋体" w:hAnsi="宋体" w:eastAsia="宋体" w:cs="宋体"/>
                <w:bCs/>
                <w:sz w:val="21"/>
                <w:szCs w:val="21"/>
                <w:highlight w:val="none"/>
              </w:rPr>
              <w:t>现场答疑</w:t>
            </w:r>
          </w:p>
        </w:tc>
        <w:tc>
          <w:tcPr>
            <w:tcW w:w="992"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9131"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Cs/>
                <w:sz w:val="21"/>
                <w:szCs w:val="21"/>
                <w:highlight w:val="none"/>
              </w:rPr>
            </w:pPr>
            <w:r>
              <w:rPr>
                <w:rFonts w:hint="eastAsia" w:ascii="宋体" w:hAnsi="宋体" w:eastAsia="宋体" w:cs="宋体"/>
                <w:bCs/>
                <w:sz w:val="21"/>
                <w:szCs w:val="21"/>
                <w:highlight w:val="none"/>
              </w:rPr>
              <w:t>投标人代表对方案、技术优势的讲解，以及就该项目难点回答评标专家现场提问，0-</w:t>
            </w:r>
            <w:r>
              <w:rPr>
                <w:rFonts w:hint="eastAsia" w:ascii="宋体" w:hAnsi="宋体" w:eastAsia="宋体" w:cs="宋体"/>
                <w:bCs/>
                <w:sz w:val="21"/>
                <w:szCs w:val="21"/>
                <w:highlight w:val="none"/>
                <w:lang w:val="en-US" w:eastAsia="zh-CN"/>
              </w:rPr>
              <w:t>5</w:t>
            </w:r>
            <w:r>
              <w:rPr>
                <w:rFonts w:hint="eastAsia" w:ascii="宋体" w:hAnsi="宋体" w:eastAsia="宋体" w:cs="宋体"/>
                <w:bCs/>
                <w:sz w:val="21"/>
                <w:szCs w:val="21"/>
                <w:highlight w:val="none"/>
              </w:rPr>
              <w:t>分。</w:t>
            </w:r>
          </w:p>
        </w:tc>
      </w:tr>
    </w:tbl>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w:t>
      </w:r>
      <w:r>
        <w:rPr>
          <w:rFonts w:hint="eastAsia" w:ascii="宋体" w:hAnsi="宋体" w:eastAsia="宋体" w:cs="宋体"/>
          <w:color w:val="000000"/>
          <w:sz w:val="24"/>
          <w:szCs w:val="24"/>
          <w:lang w:val="en-US" w:eastAsia="zh-CN"/>
        </w:rPr>
        <w:t>技术标评审</w:t>
      </w:r>
      <w:r>
        <w:rPr>
          <w:rFonts w:hint="eastAsia" w:ascii="宋体" w:hAnsi="宋体" w:eastAsia="宋体" w:cs="宋体"/>
          <w:color w:val="000000"/>
          <w:sz w:val="24"/>
          <w:szCs w:val="24"/>
        </w:rPr>
        <w:t>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pStyle w:val="2"/>
        <w:ind w:firstLine="480" w:firstLineChars="200"/>
        <w:rPr>
          <w:rFonts w:hint="eastAsia" w:ascii="宋体" w:hAnsi="宋体" w:cs="宋体"/>
          <w:b w:val="0"/>
          <w:bCs w:val="0"/>
          <w:color w:val="000000"/>
          <w:szCs w:val="24"/>
        </w:rPr>
        <w:sectPr>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b w:val="0"/>
          <w:bCs w:val="0"/>
          <w:color w:val="000000"/>
          <w:sz w:val="24"/>
          <w:szCs w:val="24"/>
        </w:rPr>
        <w:t>c、评标过程中，若出现本办法以外的特殊情况时，将暂停评标，有关情况处理意见待招标工作小组确认后，再行评定。</w:t>
      </w:r>
    </w:p>
    <w:p>
      <w:pPr>
        <w:pStyle w:val="16"/>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4"/>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5"/>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6"/>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7"/>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ascii="宋体" w:hAnsi="宋体" w:eastAsia="宋体" w:cs="宋体"/>
          <w:color w:val="000000"/>
        </w:rPr>
      </w:pPr>
    </w:p>
    <w:p>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8"/>
                    <a:stretch>
                      <a:fillRect/>
                    </a:stretch>
                  </pic:blipFill>
                  <pic:spPr>
                    <a:xfrm>
                      <a:off x="0" y="0"/>
                      <a:ext cx="5760085" cy="2810122"/>
                    </a:xfrm>
                    <a:prstGeom prst="rect">
                      <a:avLst/>
                    </a:prstGeom>
                  </pic:spPr>
                </pic:pic>
              </a:graphicData>
            </a:graphic>
          </wp:inline>
        </w:drawing>
      </w:r>
    </w:p>
    <w:p>
      <w:pPr>
        <w:pStyle w:val="16"/>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9"/>
                    <a:stretch>
                      <a:fillRect/>
                    </a:stretch>
                  </pic:blipFill>
                  <pic:spPr>
                    <a:xfrm>
                      <a:off x="0" y="0"/>
                      <a:ext cx="5760085" cy="2820042"/>
                    </a:xfrm>
                    <a:prstGeom prst="rect">
                      <a:avLst/>
                    </a:prstGeom>
                  </pic:spPr>
                </pic:pic>
              </a:graphicData>
            </a:graphic>
          </wp:inline>
        </w:drawing>
      </w:r>
    </w:p>
    <w:p>
      <w:pPr>
        <w:pStyle w:val="16"/>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3"/>
          <w:rFonts w:hint="eastAsia" w:ascii="宋体" w:hAnsi="宋体" w:eastAsia="宋体" w:cs="宋体"/>
          <w:sz w:val="24"/>
          <w:szCs w:val="24"/>
        </w:rPr>
        <w:t>http://ecaitong.sinotruk.com:8012/</w:t>
      </w:r>
      <w:r>
        <w:rPr>
          <w:rStyle w:val="43"/>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scm</w:t>
      </w:r>
      <w:r>
        <w:rPr>
          <w:rFonts w:hint="eastAsia" w:ascii="宋体" w:hAnsi="宋体" w:eastAsia="宋体" w:cs="宋体"/>
          <w:color w:val="000000"/>
          <w:sz w:val="24"/>
          <w:szCs w:val="24"/>
        </w:rPr>
        <w:t>@202</w:t>
      </w:r>
      <w:r>
        <w:rPr>
          <w:rFonts w:hint="eastAsia" w:ascii="宋体" w:hAnsi="宋体" w:eastAsia="宋体" w:cs="宋体"/>
          <w:color w:val="000000"/>
          <w:sz w:val="24"/>
          <w:szCs w:val="24"/>
          <w:lang w:val="en-US" w:eastAsia="zh-CN"/>
        </w:rPr>
        <w:t>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0"/>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1"/>
                    <a:stretch>
                      <a:fillRect/>
                    </a:stretch>
                  </pic:blipFill>
                  <pic:spPr>
                    <a:xfrm>
                      <a:off x="0" y="0"/>
                      <a:ext cx="5760085" cy="2125673"/>
                    </a:xfrm>
                    <a:prstGeom prst="rect">
                      <a:avLst/>
                    </a:prstGeom>
                  </pic:spPr>
                </pic:pic>
              </a:graphicData>
            </a:graphic>
          </wp:inline>
        </w:drawing>
      </w:r>
    </w:p>
    <w:p>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2"/>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3"/>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4"/>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5"/>
                    <a:stretch>
                      <a:fillRect/>
                    </a:stretch>
                  </pic:blipFill>
                  <pic:spPr>
                    <a:xfrm>
                      <a:off x="0" y="0"/>
                      <a:ext cx="5760085" cy="1956600"/>
                    </a:xfrm>
                    <a:prstGeom prst="rect">
                      <a:avLst/>
                    </a:prstGeom>
                  </pic:spPr>
                </pic:pic>
              </a:graphicData>
            </a:graphic>
          </wp:inline>
        </w:drawing>
      </w:r>
    </w:p>
    <w:p>
      <w:pPr>
        <w:pStyle w:val="16"/>
        <w:rPr>
          <w:rFonts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FVW4tAgAAWQQAAA4AAABkcnMvZTJvRG9jLnhtbK1UzY7TMBC+I/EO&#10;lu80aVes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qb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KFVW4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Z4pMsAgAAW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tniky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5lnQ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DmWdC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muik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Jmuik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DmE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D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n/DmE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gIjwt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egIjw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Vts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UBW2y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feoY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sfeoY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gwGI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vX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gwGI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hABc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F3TVTqPjpx/fT&#10;z4fTr28EZxCotX6GuHuLyNC9Mx3aZjj3OIy8u8qp+AUjAj/kPV7kFV0gPF6aTqbTHC4O37ABfvZ4&#10;3Tof3gujSDQK6lC/JCs7bHzoQ4eQmE2bdSNlqqHUpC3o1es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GEAFy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sU1ctAgAAV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wsU1c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18F119"/>
    <w:multiLevelType w:val="singleLevel"/>
    <w:tmpl w:val="8518F119"/>
    <w:lvl w:ilvl="0" w:tentative="0">
      <w:start w:val="1"/>
      <w:numFmt w:val="decimal"/>
      <w:lvlText w:val="%1)"/>
      <w:lvlJc w:val="left"/>
      <w:pPr>
        <w:ind w:left="425" w:hanging="425"/>
      </w:pPr>
      <w:rPr>
        <w:rFonts w:hint="default" w:ascii="Times New Roman" w:hAnsi="Times New Roman" w:cs="Times New Roman"/>
        <w:b w:val="0"/>
        <w:bCs w:val="0"/>
      </w:r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AB5C7F29"/>
    <w:multiLevelType w:val="singleLevel"/>
    <w:tmpl w:val="AB5C7F29"/>
    <w:lvl w:ilvl="0" w:tentative="0">
      <w:start w:val="1"/>
      <w:numFmt w:val="decimal"/>
      <w:lvlText w:val="%1)"/>
      <w:lvlJc w:val="left"/>
      <w:pPr>
        <w:ind w:left="425" w:hanging="425"/>
      </w:pPr>
      <w:rPr>
        <w:rFonts w:hint="default" w:ascii="Times New Roman" w:hAnsi="Times New Roman" w:cs="Times New Roman"/>
      </w:rPr>
    </w:lvl>
  </w:abstractNum>
  <w:abstractNum w:abstractNumId="3">
    <w:nsid w:val="B2A0CEB7"/>
    <w:multiLevelType w:val="singleLevel"/>
    <w:tmpl w:val="B2A0CEB7"/>
    <w:lvl w:ilvl="0" w:tentative="0">
      <w:start w:val="1"/>
      <w:numFmt w:val="decimal"/>
      <w:lvlText w:val="%1)"/>
      <w:lvlJc w:val="left"/>
      <w:pPr>
        <w:ind w:left="425" w:hanging="425"/>
      </w:pPr>
      <w:rPr>
        <w:rFonts w:hint="default" w:ascii="Times New Roman" w:hAnsi="Times New Roman" w:cs="Times New Roman"/>
        <w:b w:val="0"/>
        <w:bCs w:val="0"/>
      </w:rPr>
    </w:lvl>
  </w:abstractNum>
  <w:abstractNum w:abstractNumId="4">
    <w:nsid w:val="C76FF8E7"/>
    <w:multiLevelType w:val="singleLevel"/>
    <w:tmpl w:val="C76FF8E7"/>
    <w:lvl w:ilvl="0" w:tentative="0">
      <w:start w:val="1"/>
      <w:numFmt w:val="decimal"/>
      <w:lvlText w:val="%1)"/>
      <w:lvlJc w:val="left"/>
      <w:pPr>
        <w:ind w:left="425" w:hanging="425"/>
      </w:pPr>
      <w:rPr>
        <w:rFonts w:hint="default" w:ascii="Times New Roman" w:hAnsi="Times New Roman" w:cs="Times New Roman"/>
        <w:b w:val="0"/>
        <w:bCs w:val="0"/>
      </w:rPr>
    </w:lvl>
  </w:abstractNum>
  <w:abstractNum w:abstractNumId="5">
    <w:nsid w:val="D897DEE3"/>
    <w:multiLevelType w:val="singleLevel"/>
    <w:tmpl w:val="D897DEE3"/>
    <w:lvl w:ilvl="0" w:tentative="0">
      <w:start w:val="1"/>
      <w:numFmt w:val="decimal"/>
      <w:lvlText w:val="%1)"/>
      <w:lvlJc w:val="left"/>
      <w:pPr>
        <w:ind w:left="425" w:hanging="425"/>
      </w:pPr>
      <w:rPr>
        <w:rFonts w:hint="default" w:ascii="Times New Roman" w:hAnsi="Times New Roman" w:cs="Times New Roman"/>
      </w:rPr>
    </w:lvl>
  </w:abstractNum>
  <w:abstractNum w:abstractNumId="6">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7">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8">
    <w:nsid w:val="01ED0094"/>
    <w:multiLevelType w:val="singleLevel"/>
    <w:tmpl w:val="01ED0094"/>
    <w:lvl w:ilvl="0" w:tentative="0">
      <w:start w:val="1"/>
      <w:numFmt w:val="decimal"/>
      <w:lvlText w:val="%1)"/>
      <w:lvlJc w:val="left"/>
      <w:pPr>
        <w:ind w:left="425" w:hanging="425"/>
      </w:pPr>
      <w:rPr>
        <w:rFonts w:hint="default" w:ascii="Times New Roman" w:hAnsi="Times New Roman" w:cs="Times New Roman"/>
      </w:rPr>
    </w:lvl>
  </w:abstractNum>
  <w:abstractNum w:abstractNumId="9">
    <w:nsid w:val="027F6270"/>
    <w:multiLevelType w:val="singleLevel"/>
    <w:tmpl w:val="027F6270"/>
    <w:lvl w:ilvl="0" w:tentative="0">
      <w:start w:val="1"/>
      <w:numFmt w:val="decimal"/>
      <w:lvlText w:val="%1)"/>
      <w:lvlJc w:val="left"/>
      <w:pPr>
        <w:ind w:left="425" w:hanging="425"/>
      </w:pPr>
      <w:rPr>
        <w:rFonts w:hint="default" w:ascii="Times New Roman" w:hAnsi="Times New Roman" w:cs="Times New Roman"/>
        <w:b w:val="0"/>
        <w:bCs w:val="0"/>
      </w:rPr>
    </w:lvl>
  </w:abstractNum>
  <w:abstractNum w:abstractNumId="10">
    <w:nsid w:val="07C238ED"/>
    <w:multiLevelType w:val="singleLevel"/>
    <w:tmpl w:val="07C238ED"/>
    <w:lvl w:ilvl="0" w:tentative="0">
      <w:start w:val="1"/>
      <w:numFmt w:val="decimal"/>
      <w:suff w:val="space"/>
      <w:lvlText w:val="1.%1 "/>
      <w:lvlJc w:val="left"/>
      <w:pPr>
        <w:tabs>
          <w:tab w:val="left" w:pos="420"/>
        </w:tabs>
        <w:ind w:left="425" w:leftChars="0" w:hanging="425" w:firstLineChars="0"/>
      </w:pPr>
      <w:rPr>
        <w:rFonts w:hint="default" w:ascii="宋体" w:hAnsi="宋体" w:eastAsia="宋体" w:cs="宋体"/>
        <w:b/>
        <w:sz w:val="24"/>
        <w:szCs w:val="22"/>
      </w:rPr>
    </w:lvl>
  </w:abstractNum>
  <w:abstractNum w:abstractNumId="11">
    <w:nsid w:val="17B1CF9E"/>
    <w:multiLevelType w:val="singleLevel"/>
    <w:tmpl w:val="17B1CF9E"/>
    <w:lvl w:ilvl="0" w:tentative="0">
      <w:start w:val="1"/>
      <w:numFmt w:val="decimal"/>
      <w:lvlText w:val="%1)"/>
      <w:lvlJc w:val="left"/>
      <w:pPr>
        <w:ind w:left="425" w:hanging="425"/>
      </w:pPr>
      <w:rPr>
        <w:rFonts w:hint="default" w:ascii="Times New Roman" w:hAnsi="Times New Roman" w:cs="Times New Roman"/>
        <w:b w:val="0"/>
        <w:bCs w:val="0"/>
      </w:rPr>
    </w:lvl>
  </w:abstractNum>
  <w:abstractNum w:abstractNumId="12">
    <w:nsid w:val="17FDB3A0"/>
    <w:multiLevelType w:val="singleLevel"/>
    <w:tmpl w:val="17FDB3A0"/>
    <w:lvl w:ilvl="0" w:tentative="0">
      <w:start w:val="1"/>
      <w:numFmt w:val="decimal"/>
      <w:lvlText w:val="%1)"/>
      <w:lvlJc w:val="left"/>
      <w:pPr>
        <w:ind w:left="425" w:hanging="425"/>
      </w:pPr>
      <w:rPr>
        <w:rFonts w:hint="default" w:ascii="Times New Roman" w:hAnsi="Times New Roman" w:cs="Times New Roman"/>
        <w:b w:val="0"/>
        <w:bCs w:val="0"/>
      </w:rPr>
    </w:lvl>
  </w:abstractNum>
  <w:abstractNum w:abstractNumId="13">
    <w:nsid w:val="1B5839A6"/>
    <w:multiLevelType w:val="singleLevel"/>
    <w:tmpl w:val="1B5839A6"/>
    <w:lvl w:ilvl="0" w:tentative="0">
      <w:start w:val="1"/>
      <w:numFmt w:val="decimal"/>
      <w:lvlText w:val="%1)"/>
      <w:lvlJc w:val="left"/>
      <w:pPr>
        <w:ind w:left="425" w:hanging="425"/>
      </w:pPr>
      <w:rPr>
        <w:rFonts w:hint="default" w:ascii="Times New Roman" w:hAnsi="Times New Roman" w:cs="Times New Roman"/>
        <w:b w:val="0"/>
        <w:bCs w:val="0"/>
      </w:rPr>
    </w:lvl>
  </w:abstractNum>
  <w:abstractNum w:abstractNumId="1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5">
    <w:nsid w:val="27444B36"/>
    <w:multiLevelType w:val="singleLevel"/>
    <w:tmpl w:val="27444B36"/>
    <w:lvl w:ilvl="0" w:tentative="0">
      <w:start w:val="1"/>
      <w:numFmt w:val="decimal"/>
      <w:lvlText w:val="%1)"/>
      <w:lvlJc w:val="left"/>
      <w:pPr>
        <w:ind w:left="425" w:hanging="425"/>
      </w:pPr>
      <w:rPr>
        <w:rFonts w:hint="default" w:ascii="Times New Roman" w:hAnsi="Times New Roman" w:cs="Times New Roman"/>
        <w:b w:val="0"/>
        <w:bCs w:val="0"/>
      </w:rPr>
    </w:lvl>
  </w:abstractNum>
  <w:abstractNum w:abstractNumId="16">
    <w:nsid w:val="2B30BB5A"/>
    <w:multiLevelType w:val="singleLevel"/>
    <w:tmpl w:val="2B30BB5A"/>
    <w:lvl w:ilvl="0" w:tentative="0">
      <w:start w:val="1"/>
      <w:numFmt w:val="decimal"/>
      <w:lvlText w:val="%1)"/>
      <w:lvlJc w:val="left"/>
      <w:pPr>
        <w:ind w:left="425" w:hanging="425"/>
      </w:pPr>
      <w:rPr>
        <w:rFonts w:hint="default" w:ascii="Times New Roman" w:hAnsi="Times New Roman" w:cs="Times New Roman"/>
      </w:rPr>
    </w:lvl>
  </w:abstractNum>
  <w:abstractNum w:abstractNumId="1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8">
    <w:nsid w:val="363426D8"/>
    <w:multiLevelType w:val="multilevel"/>
    <w:tmpl w:val="363426D8"/>
    <w:lvl w:ilvl="0" w:tentative="0">
      <w:start w:val="1"/>
      <w:numFmt w:val="decimal"/>
      <w:lvlText w:val="（%1）"/>
      <w:lvlJc w:val="left"/>
      <w:pPr>
        <w:tabs>
          <w:tab w:val="left" w:pos="720"/>
        </w:tabs>
        <w:ind w:left="720" w:hanging="7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pStyle w:val="132"/>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390EA6B6"/>
    <w:multiLevelType w:val="singleLevel"/>
    <w:tmpl w:val="390EA6B6"/>
    <w:lvl w:ilvl="0" w:tentative="0">
      <w:start w:val="1"/>
      <w:numFmt w:val="decimal"/>
      <w:lvlText w:val="%1)"/>
      <w:lvlJc w:val="left"/>
      <w:pPr>
        <w:ind w:left="425" w:hanging="425"/>
      </w:pPr>
      <w:rPr>
        <w:rFonts w:hint="default" w:ascii="Times New Roman" w:hAnsi="Times New Roman" w:cs="Times New Roman"/>
        <w:b w:val="0"/>
        <w:bCs w:val="0"/>
      </w:rPr>
    </w:lvl>
  </w:abstractNum>
  <w:abstractNum w:abstractNumId="20">
    <w:nsid w:val="405DAA8D"/>
    <w:multiLevelType w:val="singleLevel"/>
    <w:tmpl w:val="405DAA8D"/>
    <w:lvl w:ilvl="0" w:tentative="0">
      <w:start w:val="1"/>
      <w:numFmt w:val="decimal"/>
      <w:suff w:val="nothing"/>
      <w:lvlText w:val="%1  "/>
      <w:lvlJc w:val="left"/>
      <w:pPr>
        <w:tabs>
          <w:tab w:val="left" w:pos="0"/>
        </w:tabs>
        <w:ind w:left="0" w:firstLine="403"/>
      </w:pPr>
      <w:rPr>
        <w:rFonts w:hint="default" w:ascii="宋体" w:hAnsi="宋体" w:eastAsia="宋体" w:cs="宋体"/>
        <w:b/>
        <w:bCs/>
        <w:sz w:val="24"/>
        <w:szCs w:val="24"/>
      </w:rPr>
    </w:lvl>
  </w:abstractNum>
  <w:abstractNum w:abstractNumId="2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22">
    <w:nsid w:val="4FA02B49"/>
    <w:multiLevelType w:val="singleLevel"/>
    <w:tmpl w:val="4FA02B49"/>
    <w:lvl w:ilvl="0" w:tentative="0">
      <w:start w:val="1"/>
      <w:numFmt w:val="decimal"/>
      <w:lvlText w:val="%1)"/>
      <w:lvlJc w:val="left"/>
      <w:pPr>
        <w:ind w:left="425" w:hanging="425"/>
      </w:pPr>
      <w:rPr>
        <w:rFonts w:hint="default" w:ascii="Times New Roman" w:hAnsi="Times New Roman" w:cs="Times New Roman"/>
        <w:b w:val="0"/>
        <w:bCs w:val="0"/>
      </w:rPr>
    </w:lvl>
  </w:abstractNum>
  <w:abstractNum w:abstractNumId="23">
    <w:nsid w:val="5C72D272"/>
    <w:multiLevelType w:val="singleLevel"/>
    <w:tmpl w:val="5C72D272"/>
    <w:lvl w:ilvl="0" w:tentative="0">
      <w:start w:val="1"/>
      <w:numFmt w:val="decimal"/>
      <w:suff w:val="nothing"/>
      <w:lvlText w:val="2.%1  "/>
      <w:lvlJc w:val="left"/>
      <w:pPr>
        <w:tabs>
          <w:tab w:val="left" w:pos="0"/>
        </w:tabs>
        <w:ind w:left="0" w:firstLine="403"/>
      </w:pPr>
      <w:rPr>
        <w:rFonts w:hint="default" w:ascii="Times New Roman" w:hAnsi="Times New Roman" w:eastAsia="宋体" w:cs="Times New Roman"/>
        <w:b/>
        <w:bCs/>
        <w:sz w:val="24"/>
        <w:szCs w:val="24"/>
      </w:rPr>
    </w:lvl>
  </w:abstractNum>
  <w:abstractNum w:abstractNumId="24">
    <w:nsid w:val="63651339"/>
    <w:multiLevelType w:val="singleLevel"/>
    <w:tmpl w:val="63651339"/>
    <w:lvl w:ilvl="0" w:tentative="0">
      <w:start w:val="1"/>
      <w:numFmt w:val="decimal"/>
      <w:lvlText w:val="%1)"/>
      <w:lvlJc w:val="left"/>
      <w:pPr>
        <w:ind w:left="425" w:hanging="425"/>
      </w:pPr>
      <w:rPr>
        <w:rFonts w:hint="default" w:ascii="Times New Roman" w:hAnsi="Times New Roman" w:cs="Times New Roman"/>
        <w:b w:val="0"/>
        <w:bCs w:val="0"/>
      </w:rPr>
    </w:lvl>
  </w:abstractNum>
  <w:abstractNum w:abstractNumId="25">
    <w:nsid w:val="6A020492"/>
    <w:multiLevelType w:val="singleLevel"/>
    <w:tmpl w:val="6A020492"/>
    <w:lvl w:ilvl="0" w:tentative="0">
      <w:start w:val="2"/>
      <w:numFmt w:val="decimal"/>
      <w:lvlText w:val="%1."/>
      <w:lvlJc w:val="left"/>
      <w:pPr>
        <w:tabs>
          <w:tab w:val="left" w:pos="312"/>
        </w:tabs>
      </w:pPr>
    </w:lvl>
  </w:abstractNum>
  <w:abstractNum w:abstractNumId="26">
    <w:nsid w:val="6E8C6948"/>
    <w:multiLevelType w:val="singleLevel"/>
    <w:tmpl w:val="6E8C6948"/>
    <w:lvl w:ilvl="0" w:tentative="0">
      <w:start w:val="1"/>
      <w:numFmt w:val="chineseCounting"/>
      <w:suff w:val="space"/>
      <w:lvlText w:val="第%1部分"/>
      <w:lvlJc w:val="left"/>
      <w:rPr>
        <w:rFonts w:hint="eastAsia"/>
      </w:rPr>
    </w:lvl>
  </w:abstractNum>
  <w:abstractNum w:abstractNumId="27">
    <w:nsid w:val="74B8CE28"/>
    <w:multiLevelType w:val="singleLevel"/>
    <w:tmpl w:val="74B8CE28"/>
    <w:lvl w:ilvl="0" w:tentative="0">
      <w:start w:val="1"/>
      <w:numFmt w:val="decimal"/>
      <w:lvlText w:val="%1)"/>
      <w:lvlJc w:val="left"/>
      <w:pPr>
        <w:ind w:left="425" w:hanging="425"/>
      </w:pPr>
      <w:rPr>
        <w:rFonts w:hint="default" w:ascii="Times New Roman" w:hAnsi="Times New Roman" w:cs="Times New Roman"/>
        <w:b w:val="0"/>
        <w:bCs w:val="0"/>
      </w:rPr>
    </w:lvl>
  </w:abstractNum>
  <w:abstractNum w:abstractNumId="28">
    <w:nsid w:val="7554CDC1"/>
    <w:multiLevelType w:val="singleLevel"/>
    <w:tmpl w:val="7554CDC1"/>
    <w:lvl w:ilvl="0" w:tentative="0">
      <w:start w:val="1"/>
      <w:numFmt w:val="decimal"/>
      <w:lvlText w:val="%1)"/>
      <w:lvlJc w:val="left"/>
      <w:pPr>
        <w:ind w:left="425" w:hanging="425"/>
      </w:pPr>
      <w:rPr>
        <w:rFonts w:hint="default" w:ascii="Times New Roman" w:hAnsi="Times New Roman" w:cs="Times New Roman"/>
        <w:b w:val="0"/>
        <w:bCs w:val="0"/>
      </w:rPr>
    </w:lvl>
  </w:abstractNum>
  <w:abstractNum w:abstractNumId="29">
    <w:nsid w:val="78C8A030"/>
    <w:multiLevelType w:val="singleLevel"/>
    <w:tmpl w:val="78C8A030"/>
    <w:lvl w:ilvl="0" w:tentative="0">
      <w:start w:val="1"/>
      <w:numFmt w:val="decimal"/>
      <w:lvlText w:val="%1)"/>
      <w:lvlJc w:val="left"/>
      <w:pPr>
        <w:ind w:left="425" w:hanging="425"/>
      </w:pPr>
      <w:rPr>
        <w:rFonts w:hint="default" w:ascii="Times New Roman" w:hAnsi="Times New Roman" w:cs="Times New Roman"/>
        <w:b w:val="0"/>
        <w:bCs w:val="0"/>
      </w:rPr>
    </w:lvl>
  </w:abstractNum>
  <w:abstractNum w:abstractNumId="30">
    <w:nsid w:val="7ABE3A03"/>
    <w:multiLevelType w:val="singleLevel"/>
    <w:tmpl w:val="7ABE3A03"/>
    <w:lvl w:ilvl="0" w:tentative="0">
      <w:start w:val="1"/>
      <w:numFmt w:val="decimal"/>
      <w:suff w:val="nothing"/>
      <w:lvlText w:val="3.%1  "/>
      <w:lvlJc w:val="left"/>
      <w:pPr>
        <w:tabs>
          <w:tab w:val="left" w:pos="0"/>
        </w:tabs>
        <w:ind w:left="0" w:firstLine="403"/>
      </w:pPr>
      <w:rPr>
        <w:rFonts w:hint="default" w:ascii="宋体" w:hAnsi="宋体" w:eastAsia="宋体" w:cs="宋体"/>
        <w:sz w:val="24"/>
        <w:szCs w:val="24"/>
      </w:rPr>
    </w:lvl>
  </w:abstractNum>
  <w:num w:numId="1">
    <w:abstractNumId w:val="18"/>
  </w:num>
  <w:num w:numId="2">
    <w:abstractNumId w:val="26"/>
  </w:num>
  <w:num w:numId="3">
    <w:abstractNumId w:val="1"/>
  </w:num>
  <w:num w:numId="4">
    <w:abstractNumId w:val="14"/>
  </w:num>
  <w:num w:numId="5">
    <w:abstractNumId w:val="7"/>
  </w:num>
  <w:num w:numId="6">
    <w:abstractNumId w:val="21"/>
  </w:num>
  <w:num w:numId="7">
    <w:abstractNumId w:val="6"/>
  </w:num>
  <w:num w:numId="8">
    <w:abstractNumId w:val="17"/>
  </w:num>
  <w:num w:numId="9">
    <w:abstractNumId w:val="25"/>
  </w:num>
  <w:num w:numId="10">
    <w:abstractNumId w:val="20"/>
  </w:num>
  <w:num w:numId="11">
    <w:abstractNumId w:val="10"/>
  </w:num>
  <w:num w:numId="12">
    <w:abstractNumId w:val="23"/>
  </w:num>
  <w:num w:numId="13">
    <w:abstractNumId w:val="16"/>
  </w:num>
  <w:num w:numId="14">
    <w:abstractNumId w:val="8"/>
  </w:num>
  <w:num w:numId="15">
    <w:abstractNumId w:val="12"/>
  </w:num>
  <w:num w:numId="16">
    <w:abstractNumId w:val="5"/>
  </w:num>
  <w:num w:numId="17">
    <w:abstractNumId w:val="15"/>
  </w:num>
  <w:num w:numId="18">
    <w:abstractNumId w:val="28"/>
  </w:num>
  <w:num w:numId="19">
    <w:abstractNumId w:val="2"/>
  </w:num>
  <w:num w:numId="20">
    <w:abstractNumId w:val="29"/>
  </w:num>
  <w:num w:numId="21">
    <w:abstractNumId w:val="19"/>
  </w:num>
  <w:num w:numId="22">
    <w:abstractNumId w:val="27"/>
  </w:num>
  <w:num w:numId="23">
    <w:abstractNumId w:val="13"/>
  </w:num>
  <w:num w:numId="24">
    <w:abstractNumId w:val="22"/>
  </w:num>
  <w:num w:numId="25">
    <w:abstractNumId w:val="30"/>
  </w:num>
  <w:num w:numId="26">
    <w:abstractNumId w:val="24"/>
  </w:num>
  <w:num w:numId="27">
    <w:abstractNumId w:val="4"/>
  </w:num>
  <w:num w:numId="28">
    <w:abstractNumId w:val="11"/>
  </w:num>
  <w:num w:numId="29">
    <w:abstractNumId w:val="0"/>
  </w:num>
  <w:num w:numId="30">
    <w:abstractNumId w:val="3"/>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GQyNWM1MmMwNTBmZDE3MjE4NWEyZmQzODJiYmYifQ=="/>
  </w:docVars>
  <w:rsids>
    <w:rsidRoot w:val="0056018A"/>
    <w:rsid w:val="000139F5"/>
    <w:rsid w:val="00022B06"/>
    <w:rsid w:val="00036836"/>
    <w:rsid w:val="0005777A"/>
    <w:rsid w:val="00065382"/>
    <w:rsid w:val="00080223"/>
    <w:rsid w:val="000A305B"/>
    <w:rsid w:val="000A5309"/>
    <w:rsid w:val="000B27AB"/>
    <w:rsid w:val="000D6A51"/>
    <w:rsid w:val="000F45A3"/>
    <w:rsid w:val="001C1EE3"/>
    <w:rsid w:val="001C713C"/>
    <w:rsid w:val="001D75B9"/>
    <w:rsid w:val="00200F05"/>
    <w:rsid w:val="00220056"/>
    <w:rsid w:val="002308E5"/>
    <w:rsid w:val="002626ED"/>
    <w:rsid w:val="00265A40"/>
    <w:rsid w:val="00282FDE"/>
    <w:rsid w:val="0029130A"/>
    <w:rsid w:val="00330D3C"/>
    <w:rsid w:val="003A4540"/>
    <w:rsid w:val="003B1C2B"/>
    <w:rsid w:val="003B4D7D"/>
    <w:rsid w:val="003E0AB3"/>
    <w:rsid w:val="00401C42"/>
    <w:rsid w:val="004076DE"/>
    <w:rsid w:val="00413D86"/>
    <w:rsid w:val="00460AFB"/>
    <w:rsid w:val="00470130"/>
    <w:rsid w:val="00483B0A"/>
    <w:rsid w:val="004B5126"/>
    <w:rsid w:val="004F7838"/>
    <w:rsid w:val="00503391"/>
    <w:rsid w:val="00552960"/>
    <w:rsid w:val="0056018A"/>
    <w:rsid w:val="00567344"/>
    <w:rsid w:val="005829DC"/>
    <w:rsid w:val="005B7FE4"/>
    <w:rsid w:val="005C0B4E"/>
    <w:rsid w:val="005C421F"/>
    <w:rsid w:val="005F16F0"/>
    <w:rsid w:val="0065185D"/>
    <w:rsid w:val="00680629"/>
    <w:rsid w:val="00686C52"/>
    <w:rsid w:val="006B132C"/>
    <w:rsid w:val="006F1414"/>
    <w:rsid w:val="007432BF"/>
    <w:rsid w:val="007525BF"/>
    <w:rsid w:val="007800DC"/>
    <w:rsid w:val="007838AA"/>
    <w:rsid w:val="00783D5E"/>
    <w:rsid w:val="00785FD6"/>
    <w:rsid w:val="007B212D"/>
    <w:rsid w:val="00806A61"/>
    <w:rsid w:val="00824BFD"/>
    <w:rsid w:val="008453B3"/>
    <w:rsid w:val="00870A7E"/>
    <w:rsid w:val="008B5614"/>
    <w:rsid w:val="008D3B56"/>
    <w:rsid w:val="008D5CEF"/>
    <w:rsid w:val="009360F9"/>
    <w:rsid w:val="00964F00"/>
    <w:rsid w:val="009B511E"/>
    <w:rsid w:val="009E0F5E"/>
    <w:rsid w:val="00A21EB2"/>
    <w:rsid w:val="00A31561"/>
    <w:rsid w:val="00A54E95"/>
    <w:rsid w:val="00A75CE3"/>
    <w:rsid w:val="00A80564"/>
    <w:rsid w:val="00A960B2"/>
    <w:rsid w:val="00AE6633"/>
    <w:rsid w:val="00B01FF1"/>
    <w:rsid w:val="00B6248A"/>
    <w:rsid w:val="00B72516"/>
    <w:rsid w:val="00B92C97"/>
    <w:rsid w:val="00BA3C70"/>
    <w:rsid w:val="00BB4E42"/>
    <w:rsid w:val="00BD533C"/>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27A"/>
    <w:rsid w:val="00E34C35"/>
    <w:rsid w:val="00E650A8"/>
    <w:rsid w:val="00E878B4"/>
    <w:rsid w:val="00EB3D00"/>
    <w:rsid w:val="00F71720"/>
    <w:rsid w:val="00FE040F"/>
    <w:rsid w:val="00FE42B3"/>
    <w:rsid w:val="014832F2"/>
    <w:rsid w:val="014D51C1"/>
    <w:rsid w:val="01A32794"/>
    <w:rsid w:val="01C43A72"/>
    <w:rsid w:val="01C52478"/>
    <w:rsid w:val="02094A42"/>
    <w:rsid w:val="02355837"/>
    <w:rsid w:val="027408EE"/>
    <w:rsid w:val="02873BB9"/>
    <w:rsid w:val="02963F39"/>
    <w:rsid w:val="02BA7274"/>
    <w:rsid w:val="02DF57A3"/>
    <w:rsid w:val="03251978"/>
    <w:rsid w:val="0325718A"/>
    <w:rsid w:val="03545DBF"/>
    <w:rsid w:val="037B371D"/>
    <w:rsid w:val="03BA08C7"/>
    <w:rsid w:val="042921B6"/>
    <w:rsid w:val="04904FA7"/>
    <w:rsid w:val="04A5009E"/>
    <w:rsid w:val="04AD02B8"/>
    <w:rsid w:val="04DF17D4"/>
    <w:rsid w:val="05412745"/>
    <w:rsid w:val="05491761"/>
    <w:rsid w:val="05726DA2"/>
    <w:rsid w:val="05A351AD"/>
    <w:rsid w:val="05F9748A"/>
    <w:rsid w:val="06266F78"/>
    <w:rsid w:val="063E7B7A"/>
    <w:rsid w:val="06582413"/>
    <w:rsid w:val="067E33B8"/>
    <w:rsid w:val="069A3EBB"/>
    <w:rsid w:val="06D118A6"/>
    <w:rsid w:val="06E82FCB"/>
    <w:rsid w:val="06F34B95"/>
    <w:rsid w:val="071535E2"/>
    <w:rsid w:val="07571DAC"/>
    <w:rsid w:val="07BE7CD4"/>
    <w:rsid w:val="08E64121"/>
    <w:rsid w:val="0942017F"/>
    <w:rsid w:val="098350DA"/>
    <w:rsid w:val="09A3345C"/>
    <w:rsid w:val="09BA1FBB"/>
    <w:rsid w:val="09CB139F"/>
    <w:rsid w:val="0A0106F5"/>
    <w:rsid w:val="0A112AB7"/>
    <w:rsid w:val="0AD71BC7"/>
    <w:rsid w:val="0AD81455"/>
    <w:rsid w:val="0AF420EB"/>
    <w:rsid w:val="0B2B2BF5"/>
    <w:rsid w:val="0B2F3908"/>
    <w:rsid w:val="0B3F6206"/>
    <w:rsid w:val="0BE12DB6"/>
    <w:rsid w:val="0C626CE4"/>
    <w:rsid w:val="0C897AA5"/>
    <w:rsid w:val="0D0C2B7B"/>
    <w:rsid w:val="0D9308F8"/>
    <w:rsid w:val="0DE0663D"/>
    <w:rsid w:val="0E1A1D85"/>
    <w:rsid w:val="0E750568"/>
    <w:rsid w:val="0EF95ECE"/>
    <w:rsid w:val="0F2D7A80"/>
    <w:rsid w:val="0F4277E5"/>
    <w:rsid w:val="0FA75561"/>
    <w:rsid w:val="0FB83603"/>
    <w:rsid w:val="0FBC07B0"/>
    <w:rsid w:val="0FCA77F1"/>
    <w:rsid w:val="101C3295"/>
    <w:rsid w:val="10270545"/>
    <w:rsid w:val="103539E9"/>
    <w:rsid w:val="108A1D4B"/>
    <w:rsid w:val="10A10111"/>
    <w:rsid w:val="10BE093E"/>
    <w:rsid w:val="111B0FE9"/>
    <w:rsid w:val="115F67A8"/>
    <w:rsid w:val="119A7465"/>
    <w:rsid w:val="11C07DA5"/>
    <w:rsid w:val="11F76665"/>
    <w:rsid w:val="12096398"/>
    <w:rsid w:val="12491386"/>
    <w:rsid w:val="128F607B"/>
    <w:rsid w:val="129F2533"/>
    <w:rsid w:val="12E60579"/>
    <w:rsid w:val="13695B36"/>
    <w:rsid w:val="1372609F"/>
    <w:rsid w:val="13AE369B"/>
    <w:rsid w:val="13BA3B64"/>
    <w:rsid w:val="13E57CC1"/>
    <w:rsid w:val="13FA7090"/>
    <w:rsid w:val="14193377"/>
    <w:rsid w:val="145A6A37"/>
    <w:rsid w:val="1467440F"/>
    <w:rsid w:val="15433A9B"/>
    <w:rsid w:val="154371B0"/>
    <w:rsid w:val="158A65B6"/>
    <w:rsid w:val="15A71F89"/>
    <w:rsid w:val="15B40B18"/>
    <w:rsid w:val="15FC2F04"/>
    <w:rsid w:val="16181FAC"/>
    <w:rsid w:val="16750AB1"/>
    <w:rsid w:val="168756A0"/>
    <w:rsid w:val="16F94849"/>
    <w:rsid w:val="17045E51"/>
    <w:rsid w:val="172011D4"/>
    <w:rsid w:val="17252C3B"/>
    <w:rsid w:val="173F0A2E"/>
    <w:rsid w:val="17770BC2"/>
    <w:rsid w:val="17A119AA"/>
    <w:rsid w:val="18480522"/>
    <w:rsid w:val="18586F2B"/>
    <w:rsid w:val="192A2804"/>
    <w:rsid w:val="195B507D"/>
    <w:rsid w:val="19A766B9"/>
    <w:rsid w:val="19CE76BA"/>
    <w:rsid w:val="19F26070"/>
    <w:rsid w:val="19FF46E1"/>
    <w:rsid w:val="1A1523CE"/>
    <w:rsid w:val="1AA730BD"/>
    <w:rsid w:val="1B111D18"/>
    <w:rsid w:val="1B264783"/>
    <w:rsid w:val="1B333D5D"/>
    <w:rsid w:val="1B587618"/>
    <w:rsid w:val="1B5F19C7"/>
    <w:rsid w:val="1BCC093D"/>
    <w:rsid w:val="1C024584"/>
    <w:rsid w:val="1C1C709B"/>
    <w:rsid w:val="1CEF4A97"/>
    <w:rsid w:val="1D5C514E"/>
    <w:rsid w:val="1D7F72F5"/>
    <w:rsid w:val="1D865D14"/>
    <w:rsid w:val="1D8705EC"/>
    <w:rsid w:val="1E43150B"/>
    <w:rsid w:val="1EA93E80"/>
    <w:rsid w:val="1ED33FB6"/>
    <w:rsid w:val="1EE81332"/>
    <w:rsid w:val="1F32415A"/>
    <w:rsid w:val="1F4719E1"/>
    <w:rsid w:val="1FC55BA1"/>
    <w:rsid w:val="1FD925EF"/>
    <w:rsid w:val="20107567"/>
    <w:rsid w:val="20AB56C6"/>
    <w:rsid w:val="21104A68"/>
    <w:rsid w:val="21602B55"/>
    <w:rsid w:val="2176507C"/>
    <w:rsid w:val="217F0425"/>
    <w:rsid w:val="21BE35AF"/>
    <w:rsid w:val="21C11174"/>
    <w:rsid w:val="21DC5877"/>
    <w:rsid w:val="21ED1832"/>
    <w:rsid w:val="22244B28"/>
    <w:rsid w:val="223B5680"/>
    <w:rsid w:val="22467FD4"/>
    <w:rsid w:val="225936CC"/>
    <w:rsid w:val="229451FD"/>
    <w:rsid w:val="22A12DB6"/>
    <w:rsid w:val="23C962E8"/>
    <w:rsid w:val="247E4FED"/>
    <w:rsid w:val="24B30BE8"/>
    <w:rsid w:val="24E34060"/>
    <w:rsid w:val="251F7F55"/>
    <w:rsid w:val="253A0491"/>
    <w:rsid w:val="25E036B2"/>
    <w:rsid w:val="25E9082A"/>
    <w:rsid w:val="25F42473"/>
    <w:rsid w:val="26AF2D79"/>
    <w:rsid w:val="26B34B91"/>
    <w:rsid w:val="270D66E8"/>
    <w:rsid w:val="27231852"/>
    <w:rsid w:val="278B0DAB"/>
    <w:rsid w:val="278F1E9D"/>
    <w:rsid w:val="27A64735"/>
    <w:rsid w:val="27C923FA"/>
    <w:rsid w:val="27CC4DF2"/>
    <w:rsid w:val="27ED433A"/>
    <w:rsid w:val="281864F2"/>
    <w:rsid w:val="286903EF"/>
    <w:rsid w:val="287F5DD3"/>
    <w:rsid w:val="288047CB"/>
    <w:rsid w:val="289E62FA"/>
    <w:rsid w:val="28BC3D0D"/>
    <w:rsid w:val="2916410F"/>
    <w:rsid w:val="291E2CA6"/>
    <w:rsid w:val="29331862"/>
    <w:rsid w:val="298F561F"/>
    <w:rsid w:val="299E147F"/>
    <w:rsid w:val="29CF26DC"/>
    <w:rsid w:val="29D1744E"/>
    <w:rsid w:val="2A1C5DA0"/>
    <w:rsid w:val="2A200D39"/>
    <w:rsid w:val="2A507EFF"/>
    <w:rsid w:val="2ABF3E12"/>
    <w:rsid w:val="2ADC05A4"/>
    <w:rsid w:val="2B6F0D7F"/>
    <w:rsid w:val="2B8716BD"/>
    <w:rsid w:val="2B894C74"/>
    <w:rsid w:val="2C7F39CF"/>
    <w:rsid w:val="2D025012"/>
    <w:rsid w:val="2D4178F0"/>
    <w:rsid w:val="2DAE631A"/>
    <w:rsid w:val="2DD877E0"/>
    <w:rsid w:val="2DDB2E87"/>
    <w:rsid w:val="2DE616C9"/>
    <w:rsid w:val="2DFC2451"/>
    <w:rsid w:val="2E6E566D"/>
    <w:rsid w:val="2E7F188E"/>
    <w:rsid w:val="2E8B1366"/>
    <w:rsid w:val="2EBC0905"/>
    <w:rsid w:val="2EC73739"/>
    <w:rsid w:val="2EDC1C09"/>
    <w:rsid w:val="2F5C684F"/>
    <w:rsid w:val="2F6B3D97"/>
    <w:rsid w:val="307776D1"/>
    <w:rsid w:val="30862574"/>
    <w:rsid w:val="30B631E1"/>
    <w:rsid w:val="311933AA"/>
    <w:rsid w:val="317D15BB"/>
    <w:rsid w:val="31D07E6C"/>
    <w:rsid w:val="321F266A"/>
    <w:rsid w:val="323F65DA"/>
    <w:rsid w:val="32412074"/>
    <w:rsid w:val="32DE0199"/>
    <w:rsid w:val="32E9302D"/>
    <w:rsid w:val="33353039"/>
    <w:rsid w:val="335B2774"/>
    <w:rsid w:val="339A479B"/>
    <w:rsid w:val="33A4642E"/>
    <w:rsid w:val="33D4039C"/>
    <w:rsid w:val="33D47E05"/>
    <w:rsid w:val="3413677D"/>
    <w:rsid w:val="342B544B"/>
    <w:rsid w:val="34395261"/>
    <w:rsid w:val="349A7C69"/>
    <w:rsid w:val="34C06413"/>
    <w:rsid w:val="34DE1E4F"/>
    <w:rsid w:val="34F07DB1"/>
    <w:rsid w:val="35B2048C"/>
    <w:rsid w:val="35D354B8"/>
    <w:rsid w:val="35D4025C"/>
    <w:rsid w:val="360B5E16"/>
    <w:rsid w:val="362666BC"/>
    <w:rsid w:val="367B5207"/>
    <w:rsid w:val="368A6B11"/>
    <w:rsid w:val="36A302BA"/>
    <w:rsid w:val="36E65423"/>
    <w:rsid w:val="36F37E4A"/>
    <w:rsid w:val="37085B1F"/>
    <w:rsid w:val="372E04CB"/>
    <w:rsid w:val="38C017FC"/>
    <w:rsid w:val="390D33AB"/>
    <w:rsid w:val="391E6D06"/>
    <w:rsid w:val="3986014B"/>
    <w:rsid w:val="39900E42"/>
    <w:rsid w:val="3A074847"/>
    <w:rsid w:val="3A583210"/>
    <w:rsid w:val="3A942275"/>
    <w:rsid w:val="3A944AE9"/>
    <w:rsid w:val="3A9B19D4"/>
    <w:rsid w:val="3AA90FE6"/>
    <w:rsid w:val="3AA9318F"/>
    <w:rsid w:val="3AB62DA0"/>
    <w:rsid w:val="3B7D3FD5"/>
    <w:rsid w:val="3B7F12F6"/>
    <w:rsid w:val="3B823DDF"/>
    <w:rsid w:val="3C237ED3"/>
    <w:rsid w:val="3CAA596A"/>
    <w:rsid w:val="3CB1587B"/>
    <w:rsid w:val="3CB735F2"/>
    <w:rsid w:val="3D186684"/>
    <w:rsid w:val="3D8B2178"/>
    <w:rsid w:val="3DA32BB0"/>
    <w:rsid w:val="3DD115F5"/>
    <w:rsid w:val="3DE435F0"/>
    <w:rsid w:val="3DE5122C"/>
    <w:rsid w:val="3DF37E53"/>
    <w:rsid w:val="3ED26DE9"/>
    <w:rsid w:val="3EED17D0"/>
    <w:rsid w:val="3F0C0304"/>
    <w:rsid w:val="3FC25C2F"/>
    <w:rsid w:val="3FEC147E"/>
    <w:rsid w:val="40376375"/>
    <w:rsid w:val="407209E5"/>
    <w:rsid w:val="412732B7"/>
    <w:rsid w:val="4127791F"/>
    <w:rsid w:val="41281794"/>
    <w:rsid w:val="413C1FDF"/>
    <w:rsid w:val="418331C2"/>
    <w:rsid w:val="41B0259C"/>
    <w:rsid w:val="41BC6F1C"/>
    <w:rsid w:val="41EF2363"/>
    <w:rsid w:val="41F77860"/>
    <w:rsid w:val="42025BE2"/>
    <w:rsid w:val="42323A7F"/>
    <w:rsid w:val="424A4B98"/>
    <w:rsid w:val="42581D3A"/>
    <w:rsid w:val="42584B94"/>
    <w:rsid w:val="42AD752A"/>
    <w:rsid w:val="42FE0080"/>
    <w:rsid w:val="431467C7"/>
    <w:rsid w:val="43315D2E"/>
    <w:rsid w:val="434D1CD9"/>
    <w:rsid w:val="43824A1C"/>
    <w:rsid w:val="43D110E1"/>
    <w:rsid w:val="43E873C9"/>
    <w:rsid w:val="440178DB"/>
    <w:rsid w:val="44905B1F"/>
    <w:rsid w:val="45316885"/>
    <w:rsid w:val="457E43CC"/>
    <w:rsid w:val="45A95EE9"/>
    <w:rsid w:val="45FB0F21"/>
    <w:rsid w:val="465B4795"/>
    <w:rsid w:val="470D5A07"/>
    <w:rsid w:val="47200EE3"/>
    <w:rsid w:val="472753AE"/>
    <w:rsid w:val="472E3BD0"/>
    <w:rsid w:val="47435AC2"/>
    <w:rsid w:val="47544B78"/>
    <w:rsid w:val="47587AF7"/>
    <w:rsid w:val="47745A86"/>
    <w:rsid w:val="47E239AC"/>
    <w:rsid w:val="480F4B73"/>
    <w:rsid w:val="48DB38E3"/>
    <w:rsid w:val="48DD0A15"/>
    <w:rsid w:val="49001B5E"/>
    <w:rsid w:val="49376DB0"/>
    <w:rsid w:val="49804BB7"/>
    <w:rsid w:val="49826DCB"/>
    <w:rsid w:val="499013E7"/>
    <w:rsid w:val="49C8088A"/>
    <w:rsid w:val="4A301C93"/>
    <w:rsid w:val="4A3302AB"/>
    <w:rsid w:val="4A4A4BFA"/>
    <w:rsid w:val="4AC85D49"/>
    <w:rsid w:val="4AE308A9"/>
    <w:rsid w:val="4B9A1456"/>
    <w:rsid w:val="4BA32C82"/>
    <w:rsid w:val="4BE70627"/>
    <w:rsid w:val="4C0A5AE1"/>
    <w:rsid w:val="4C130AB8"/>
    <w:rsid w:val="4C5A284D"/>
    <w:rsid w:val="4CB96B43"/>
    <w:rsid w:val="4CD63947"/>
    <w:rsid w:val="4CFC49F4"/>
    <w:rsid w:val="4D073D73"/>
    <w:rsid w:val="4D1E27BA"/>
    <w:rsid w:val="4D23574A"/>
    <w:rsid w:val="4D2E3A85"/>
    <w:rsid w:val="4D4C4DB0"/>
    <w:rsid w:val="4D7322D5"/>
    <w:rsid w:val="4DD7034C"/>
    <w:rsid w:val="4DE312CB"/>
    <w:rsid w:val="4E1F4862"/>
    <w:rsid w:val="4E2E4393"/>
    <w:rsid w:val="4E535EF2"/>
    <w:rsid w:val="4EAA19A9"/>
    <w:rsid w:val="4EDD4BFC"/>
    <w:rsid w:val="4F017C92"/>
    <w:rsid w:val="4F08773C"/>
    <w:rsid w:val="4F31409F"/>
    <w:rsid w:val="4F5E3DDA"/>
    <w:rsid w:val="4F817C52"/>
    <w:rsid w:val="4F846A83"/>
    <w:rsid w:val="50070E2C"/>
    <w:rsid w:val="504B57F2"/>
    <w:rsid w:val="50C62BC7"/>
    <w:rsid w:val="50E65BBF"/>
    <w:rsid w:val="50ED1473"/>
    <w:rsid w:val="50F72A66"/>
    <w:rsid w:val="5123368C"/>
    <w:rsid w:val="5130747C"/>
    <w:rsid w:val="515C765A"/>
    <w:rsid w:val="51905BB3"/>
    <w:rsid w:val="51946FCB"/>
    <w:rsid w:val="51DD796B"/>
    <w:rsid w:val="51DF373B"/>
    <w:rsid w:val="51F43C48"/>
    <w:rsid w:val="529E3882"/>
    <w:rsid w:val="52EF4CB5"/>
    <w:rsid w:val="52F959F0"/>
    <w:rsid w:val="5302488E"/>
    <w:rsid w:val="53357698"/>
    <w:rsid w:val="539A4AC7"/>
    <w:rsid w:val="54345897"/>
    <w:rsid w:val="54672CD7"/>
    <w:rsid w:val="54A61722"/>
    <w:rsid w:val="54B31FAF"/>
    <w:rsid w:val="55326D63"/>
    <w:rsid w:val="5550794C"/>
    <w:rsid w:val="555D1A10"/>
    <w:rsid w:val="569C26D6"/>
    <w:rsid w:val="56AC4A78"/>
    <w:rsid w:val="56DB16B9"/>
    <w:rsid w:val="56F91B04"/>
    <w:rsid w:val="571B3530"/>
    <w:rsid w:val="577A3463"/>
    <w:rsid w:val="57E718ED"/>
    <w:rsid w:val="57F967AD"/>
    <w:rsid w:val="58052975"/>
    <w:rsid w:val="58E525CA"/>
    <w:rsid w:val="593D045A"/>
    <w:rsid w:val="5960739E"/>
    <w:rsid w:val="59715A31"/>
    <w:rsid w:val="59796F2C"/>
    <w:rsid w:val="59896D0A"/>
    <w:rsid w:val="59B72684"/>
    <w:rsid w:val="5A9579AE"/>
    <w:rsid w:val="5AC468CD"/>
    <w:rsid w:val="5B342B9A"/>
    <w:rsid w:val="5B426256"/>
    <w:rsid w:val="5B630802"/>
    <w:rsid w:val="5B807F68"/>
    <w:rsid w:val="5B9A0FAF"/>
    <w:rsid w:val="5BC743E9"/>
    <w:rsid w:val="5C034D53"/>
    <w:rsid w:val="5CA36CB7"/>
    <w:rsid w:val="5E1D6F56"/>
    <w:rsid w:val="5E52187F"/>
    <w:rsid w:val="5E620850"/>
    <w:rsid w:val="5E6A13CD"/>
    <w:rsid w:val="5E705D15"/>
    <w:rsid w:val="5E93326C"/>
    <w:rsid w:val="5EFB4BA4"/>
    <w:rsid w:val="5F5F46B5"/>
    <w:rsid w:val="5F7C1227"/>
    <w:rsid w:val="5FBA3CC0"/>
    <w:rsid w:val="5FD90D61"/>
    <w:rsid w:val="60177697"/>
    <w:rsid w:val="602329DB"/>
    <w:rsid w:val="607777D6"/>
    <w:rsid w:val="60BC76A1"/>
    <w:rsid w:val="60DF7FBD"/>
    <w:rsid w:val="60F11A9E"/>
    <w:rsid w:val="610B7637"/>
    <w:rsid w:val="61446072"/>
    <w:rsid w:val="615F5624"/>
    <w:rsid w:val="61D215CF"/>
    <w:rsid w:val="625C563D"/>
    <w:rsid w:val="626A1704"/>
    <w:rsid w:val="62B362C8"/>
    <w:rsid w:val="62C1330E"/>
    <w:rsid w:val="62C90F25"/>
    <w:rsid w:val="6342085E"/>
    <w:rsid w:val="63631E53"/>
    <w:rsid w:val="636F415C"/>
    <w:rsid w:val="646E3CD1"/>
    <w:rsid w:val="6472739A"/>
    <w:rsid w:val="64786E14"/>
    <w:rsid w:val="647E0640"/>
    <w:rsid w:val="64917820"/>
    <w:rsid w:val="64AA1CC5"/>
    <w:rsid w:val="64BE25DF"/>
    <w:rsid w:val="65463A24"/>
    <w:rsid w:val="656B2909"/>
    <w:rsid w:val="65A3045D"/>
    <w:rsid w:val="65D97752"/>
    <w:rsid w:val="65E25E59"/>
    <w:rsid w:val="66307F76"/>
    <w:rsid w:val="66580EAF"/>
    <w:rsid w:val="666176C6"/>
    <w:rsid w:val="66694D0D"/>
    <w:rsid w:val="66C67BED"/>
    <w:rsid w:val="66F041A8"/>
    <w:rsid w:val="6721178A"/>
    <w:rsid w:val="6739399A"/>
    <w:rsid w:val="673F39DE"/>
    <w:rsid w:val="674C5D22"/>
    <w:rsid w:val="67604F32"/>
    <w:rsid w:val="67663AF8"/>
    <w:rsid w:val="67762CFD"/>
    <w:rsid w:val="677A678D"/>
    <w:rsid w:val="68011379"/>
    <w:rsid w:val="68252C37"/>
    <w:rsid w:val="68817BAC"/>
    <w:rsid w:val="689A5E59"/>
    <w:rsid w:val="68EE72DF"/>
    <w:rsid w:val="69485FEA"/>
    <w:rsid w:val="69677DC0"/>
    <w:rsid w:val="69937EC7"/>
    <w:rsid w:val="69D64558"/>
    <w:rsid w:val="6A042548"/>
    <w:rsid w:val="6A471EFD"/>
    <w:rsid w:val="6AB57116"/>
    <w:rsid w:val="6B17424A"/>
    <w:rsid w:val="6B2218FA"/>
    <w:rsid w:val="6B5E00AD"/>
    <w:rsid w:val="6B691672"/>
    <w:rsid w:val="6B9E7DD5"/>
    <w:rsid w:val="6BC93025"/>
    <w:rsid w:val="6C5E6A51"/>
    <w:rsid w:val="6C6513C3"/>
    <w:rsid w:val="6C744268"/>
    <w:rsid w:val="6CAB788B"/>
    <w:rsid w:val="6CD62D03"/>
    <w:rsid w:val="6CD97FB6"/>
    <w:rsid w:val="6D4F2BB4"/>
    <w:rsid w:val="6D930013"/>
    <w:rsid w:val="6E1A1656"/>
    <w:rsid w:val="6E597A63"/>
    <w:rsid w:val="6E5A5288"/>
    <w:rsid w:val="6E5F44EB"/>
    <w:rsid w:val="6EE013EE"/>
    <w:rsid w:val="6EE079F1"/>
    <w:rsid w:val="6EE42C42"/>
    <w:rsid w:val="6F7F7CB0"/>
    <w:rsid w:val="6FC30AAA"/>
    <w:rsid w:val="6FE0165C"/>
    <w:rsid w:val="70222744"/>
    <w:rsid w:val="706D2B21"/>
    <w:rsid w:val="707B1384"/>
    <w:rsid w:val="70857A34"/>
    <w:rsid w:val="70985D3C"/>
    <w:rsid w:val="71047C73"/>
    <w:rsid w:val="7109004F"/>
    <w:rsid w:val="71103167"/>
    <w:rsid w:val="712E56F7"/>
    <w:rsid w:val="71691ABB"/>
    <w:rsid w:val="71AE1AEA"/>
    <w:rsid w:val="71CF3B6C"/>
    <w:rsid w:val="722922C6"/>
    <w:rsid w:val="732D4B5D"/>
    <w:rsid w:val="73393C88"/>
    <w:rsid w:val="7362513F"/>
    <w:rsid w:val="73771D49"/>
    <w:rsid w:val="73A1354E"/>
    <w:rsid w:val="73A63AAE"/>
    <w:rsid w:val="747E3B9D"/>
    <w:rsid w:val="74A11E7D"/>
    <w:rsid w:val="75590B0A"/>
    <w:rsid w:val="7582279F"/>
    <w:rsid w:val="758D1214"/>
    <w:rsid w:val="75BB71AF"/>
    <w:rsid w:val="75DE488F"/>
    <w:rsid w:val="75F01962"/>
    <w:rsid w:val="75F56562"/>
    <w:rsid w:val="760E19DF"/>
    <w:rsid w:val="765D721E"/>
    <w:rsid w:val="76676A53"/>
    <w:rsid w:val="76B620A1"/>
    <w:rsid w:val="76E52316"/>
    <w:rsid w:val="77462524"/>
    <w:rsid w:val="77A21064"/>
    <w:rsid w:val="77DF044B"/>
    <w:rsid w:val="77E34EB2"/>
    <w:rsid w:val="781564B8"/>
    <w:rsid w:val="78224ACF"/>
    <w:rsid w:val="78CD6DCC"/>
    <w:rsid w:val="78D07CAF"/>
    <w:rsid w:val="78DE12D7"/>
    <w:rsid w:val="79210683"/>
    <w:rsid w:val="799C3465"/>
    <w:rsid w:val="79B14EC4"/>
    <w:rsid w:val="79B46E76"/>
    <w:rsid w:val="7A2A6B4A"/>
    <w:rsid w:val="7A666C01"/>
    <w:rsid w:val="7A681070"/>
    <w:rsid w:val="7A7632E8"/>
    <w:rsid w:val="7A860C7C"/>
    <w:rsid w:val="7AB879FE"/>
    <w:rsid w:val="7B167D97"/>
    <w:rsid w:val="7B3264DD"/>
    <w:rsid w:val="7B81188A"/>
    <w:rsid w:val="7B9E2902"/>
    <w:rsid w:val="7BA9149B"/>
    <w:rsid w:val="7BC854E2"/>
    <w:rsid w:val="7C0562EC"/>
    <w:rsid w:val="7C27683F"/>
    <w:rsid w:val="7CB14B4D"/>
    <w:rsid w:val="7CD25041"/>
    <w:rsid w:val="7CF26969"/>
    <w:rsid w:val="7D1B0177"/>
    <w:rsid w:val="7DA44165"/>
    <w:rsid w:val="7DB23041"/>
    <w:rsid w:val="7E5F7809"/>
    <w:rsid w:val="7EBC3294"/>
    <w:rsid w:val="7ED56C53"/>
    <w:rsid w:val="7EEA1BAF"/>
    <w:rsid w:val="7F3D63C9"/>
    <w:rsid w:val="7FD34D39"/>
    <w:rsid w:val="7FF440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2">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8"/>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59"/>
    <w:qFormat/>
    <w:uiPriority w:val="0"/>
    <w:pPr>
      <w:jc w:val="left"/>
    </w:pPr>
  </w:style>
  <w:style w:type="paragraph" w:styleId="11">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7"/>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0"/>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2"/>
    <w:qFormat/>
    <w:uiPriority w:val="9"/>
    <w:rPr>
      <w:rFonts w:ascii="Arial" w:hAnsi="Arial" w:eastAsia="宋体" w:cs="Times New Roman"/>
      <w:b/>
      <w:bCs/>
      <w:sz w:val="24"/>
      <w:szCs w:val="32"/>
    </w:rPr>
  </w:style>
  <w:style w:type="character" w:customStyle="1" w:styleId="47">
    <w:name w:val="标题 3 字符"/>
    <w:basedOn w:val="37"/>
    <w:link w:val="4"/>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0"/>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8"/>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2"/>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1"/>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2"/>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4"/>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rPr>
      <w:rFonts w:eastAsia="黑体"/>
      <w:b w:val="0"/>
      <w:color w:val="000000"/>
      <w:sz w:val="30"/>
      <w:szCs w:val="24"/>
    </w:rPr>
  </w:style>
  <w:style w:type="paragraph" w:customStyle="1" w:styleId="131">
    <w:name w:val="Revision"/>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32">
    <w:name w:val="一级条标题"/>
    <w:next w:val="1"/>
    <w:qFormat/>
    <w:uiPriority w:val="0"/>
    <w:pPr>
      <w:numPr>
        <w:ilvl w:val="2"/>
        <w:numId w:val="1"/>
      </w:numPr>
      <w:outlineLvl w:val="2"/>
    </w:pPr>
    <w:rPr>
      <w:rFonts w:ascii="Times New Roman" w:hAnsi="Times New Roman"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image" Target="media/image10.png"/><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footer" Target="footer2.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header" Target="header5.xml"/><Relationship Id="rId3" Type="http://schemas.openxmlformats.org/officeDocument/2006/relationships/footer" Target="footer1.xml"/><Relationship Id="rId29" Type="http://schemas.openxmlformats.org/officeDocument/2006/relationships/header" Target="header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81</Pages>
  <Words>34826</Words>
  <Characters>37093</Characters>
  <Lines>333</Lines>
  <Paragraphs>93</Paragraphs>
  <TotalTime>8</TotalTime>
  <ScaleCrop>false</ScaleCrop>
  <LinksUpToDate>false</LinksUpToDate>
  <CharactersWithSpaces>43265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林保良（工作号）</cp:lastModifiedBy>
  <cp:lastPrinted>2023-04-10T06:57:00Z</cp:lastPrinted>
  <dcterms:modified xsi:type="dcterms:W3CDTF">2023-04-25T05:59:20Z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ED02EB12B8294FE5807EAA5D2C3C24E0</vt:lpwstr>
  </property>
</Properties>
</file>