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快速原型开发工具</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附：技术标书</w:t>
      </w:r>
    </w:p>
    <w:p>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设备采购合同</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rPr>
        <w:t>5月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16</w:t>
          </w:r>
        </w:p>
        <w:p>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19</w:t>
          </w:r>
        </w:p>
        <w:p>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40</w:t>
          </w:r>
        </w:p>
        <w:p>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53</w:t>
          </w:r>
        </w:p>
        <w:p>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
        <w:jc w:val="center"/>
        <w:rPr>
          <w:rFonts w:ascii="Calibri" w:hAnsi="Calibri" w:eastAsia="宋体" w:cs="Times New Roman"/>
          <w:b/>
          <w:bCs/>
          <w:kern w:val="44"/>
          <w:sz w:val="36"/>
          <w:szCs w:val="44"/>
        </w:rPr>
      </w:pP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本表是对“投标须知”正文的具体补充和修改，如有不一致，以“前附表”为准。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color w:val="000000"/>
                <w:sz w:val="24"/>
                <w:szCs w:val="24"/>
                <w:u w:val="single"/>
              </w:rPr>
              <w:t>中国重汽集团济南动力有限公司</w:t>
            </w:r>
            <w:r>
              <w:rPr>
                <w:rFonts w:hint="eastAsia" w:ascii="宋体" w:hAnsi="宋体" w:eastAsia="宋体" w:cs="宋体"/>
                <w:b/>
                <w:bCs/>
                <w:color w:val="000000"/>
                <w:sz w:val="24"/>
                <w:szCs w:val="24"/>
                <w:highlight w:val="yellow"/>
                <w:u w:val="single"/>
              </w:rPr>
              <w:t>快速原型开发工具采购</w:t>
            </w:r>
            <w:r>
              <w:rPr>
                <w:rFonts w:hint="eastAsia" w:ascii="宋体" w:hAnsi="宋体" w:eastAsia="宋体" w:cs="宋体"/>
                <w:color w:val="000000"/>
                <w:sz w:val="24"/>
                <w:szCs w:val="24"/>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项目编号：</w:t>
            </w:r>
            <w:r>
              <w:rPr>
                <w:rFonts w:hint="eastAsia" w:ascii="宋体" w:hAnsi="宋体" w:eastAsia="宋体" w:cs="宋体"/>
                <w:b/>
                <w:bCs/>
                <w:sz w:val="24"/>
                <w:szCs w:val="24"/>
                <w:shd w:val="clear" w:fill="FFFF00"/>
              </w:rPr>
              <w:t>CGZX2023030219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bCs/>
                <w:color w:val="000000"/>
                <w:sz w:val="24"/>
                <w:szCs w:val="24"/>
                <w:highlight w:val="yellow"/>
                <w:u w:val="single"/>
              </w:rPr>
              <w:t>快速原型开发工具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济南市高新区华奥路777号 </w:t>
            </w:r>
          </w:p>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联系人：</w:t>
            </w:r>
            <w:r>
              <w:rPr>
                <w:rFonts w:hint="eastAsia" w:ascii="宋体" w:hAnsi="宋体" w:eastAsia="宋体" w:cs="宋体"/>
                <w:sz w:val="24"/>
                <w:szCs w:val="24"/>
                <w:lang w:val="en-US" w:eastAsia="zh-CN"/>
              </w:rPr>
              <w:t>林保良</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电话：</w:t>
            </w:r>
            <w:r>
              <w:rPr>
                <w:rFonts w:hint="eastAsia" w:ascii="宋体" w:hAnsi="宋体" w:eastAsia="宋体" w:cs="宋体"/>
                <w:sz w:val="24"/>
                <w:szCs w:val="24"/>
                <w:lang w:val="en-US" w:eastAsia="zh-CN"/>
              </w:rPr>
              <w:t>13668829221</w:t>
            </w:r>
          </w:p>
          <w:p>
            <w:pPr>
              <w:pStyle w:val="2"/>
              <w:ind w:firstLine="482" w:firstLineChars="200"/>
            </w:pPr>
            <w:r>
              <w:rPr>
                <w:rFonts w:hint="eastAsia" w:ascii="宋体" w:hAnsi="宋体" w:eastAsia="宋体" w:cs="宋体"/>
                <w:b/>
                <w:bCs/>
                <w:sz w:val="24"/>
                <w:szCs w:val="24"/>
                <w:lang w:val="en-US" w:eastAsia="zh-CN"/>
              </w:rPr>
              <w:t>邮箱：</w:t>
            </w:r>
            <w:r>
              <w:rPr>
                <w:rFonts w:hint="eastAsia" w:ascii="宋体" w:hAnsi="宋体" w:eastAsia="宋体" w:cs="宋体"/>
                <w:sz w:val="24"/>
                <w:szCs w:val="24"/>
                <w:lang w:val="en-US" w:eastAsia="zh-CN"/>
              </w:rPr>
              <w:t>linbl@sinotruk.com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sz w:val="24"/>
                <w:szCs w:val="24"/>
              </w:rPr>
              <w:t>拟投标人必须是在中华人民共和国境内注册的独立法人机构，具有独立承担民事责任能力；注册资金不少于</w:t>
            </w:r>
            <w:r>
              <w:rPr>
                <w:rFonts w:hint="eastAsia" w:hAnsi="宋体" w:eastAsia="宋体" w:cs="宋体"/>
                <w:b/>
                <w:bCs/>
                <w:sz w:val="24"/>
                <w:szCs w:val="24"/>
                <w:highlight w:val="yellow"/>
                <w:lang w:val="en-US" w:eastAsia="zh-CN"/>
              </w:rPr>
              <w:t>2</w:t>
            </w:r>
            <w:r>
              <w:rPr>
                <w:rFonts w:hint="eastAsia" w:hAnsi="宋体" w:eastAsia="宋体" w:cs="宋体"/>
                <w:b/>
                <w:bCs/>
                <w:sz w:val="24"/>
                <w:szCs w:val="24"/>
                <w:highlight w:val="yellow"/>
              </w:rPr>
              <w:t>00万</w:t>
            </w:r>
            <w:r>
              <w:rPr>
                <w:rFonts w:hint="eastAsia" w:hAnsi="宋体" w:eastAsia="宋体" w:cs="宋体"/>
                <w:sz w:val="24"/>
                <w:szCs w:val="24"/>
              </w:rPr>
              <w:t>人民币（或等值其他货币）；公司成立</w:t>
            </w:r>
            <w:r>
              <w:rPr>
                <w:rFonts w:hint="eastAsia" w:hAnsi="宋体" w:eastAsia="宋体" w:cs="宋体"/>
                <w:b/>
                <w:bCs/>
                <w:sz w:val="24"/>
                <w:szCs w:val="24"/>
                <w:highlight w:val="yellow"/>
              </w:rPr>
              <w:t>三年以上</w:t>
            </w:r>
            <w:r>
              <w:rPr>
                <w:rFonts w:hint="eastAsia" w:hAnsi="宋体" w:eastAsia="宋体" w:cs="宋体"/>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r>
              <w:rPr>
                <w:rFonts w:hint="eastAsia" w:hAnsi="宋体" w:eastAsia="宋体" w:cs="宋体"/>
                <w:color w:val="000000"/>
                <w:sz w:val="24"/>
                <w:szCs w:val="24"/>
              </w:rPr>
              <w:t>；</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2.拟投标人应提供三证合一的营业执照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4.拟投标人在工商行政管理局的《国家企业信用信息公示系统》中查询不存在不良记录；</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color w:val="000000"/>
                <w:sz w:val="24"/>
                <w:szCs w:val="24"/>
                <w:shd w:val="clear" w:fill="FFFF00"/>
                <w:lang w:val="en-US" w:eastAsia="zh-CN"/>
              </w:rPr>
              <w:t>自</w:t>
            </w:r>
            <w:r>
              <w:rPr>
                <w:rFonts w:hint="eastAsia" w:hAnsi="宋体" w:eastAsia="宋体" w:cs="宋体"/>
                <w:sz w:val="24"/>
                <w:szCs w:val="24"/>
                <w:highlight w:val="yellow"/>
                <w:shd w:val="clear" w:fill="FFFF00"/>
              </w:rPr>
              <w:t>2</w:t>
            </w:r>
            <w:r>
              <w:rPr>
                <w:rFonts w:hint="eastAsia" w:hAnsi="宋体" w:eastAsia="宋体" w:cs="宋体"/>
                <w:sz w:val="24"/>
                <w:szCs w:val="24"/>
                <w:highlight w:val="yellow"/>
              </w:rPr>
              <w:t>019年1月1日</w:t>
            </w:r>
            <w:r>
              <w:rPr>
                <w:rFonts w:hint="eastAsia" w:hAnsi="宋体" w:eastAsia="宋体" w:cs="宋体"/>
                <w:sz w:val="24"/>
                <w:szCs w:val="24"/>
              </w:rPr>
              <w:t>至今</w:t>
            </w:r>
            <w:r>
              <w:rPr>
                <w:rFonts w:hint="eastAsia" w:hAnsi="宋体" w:eastAsia="宋体" w:cs="宋体"/>
                <w:color w:val="000000"/>
                <w:sz w:val="24"/>
                <w:szCs w:val="24"/>
                <w:highlight w:val="yellow"/>
              </w:rPr>
              <w:t>经</w:t>
            </w:r>
            <w:r>
              <w:rPr>
                <w:rFonts w:hint="eastAsia" w:hAnsi="宋体" w:eastAsia="宋体" w:cs="宋体"/>
                <w:b/>
                <w:bCs/>
                <w:color w:val="000000"/>
                <w:sz w:val="24"/>
                <w:szCs w:val="24"/>
                <w:highlight w:val="yellow"/>
              </w:rPr>
              <w:t>第三方</w:t>
            </w:r>
            <w:r>
              <w:rPr>
                <w:rFonts w:hint="eastAsia" w:hAnsi="宋体" w:eastAsia="宋体" w:cs="宋体"/>
                <w:color w:val="000000"/>
                <w:sz w:val="24"/>
                <w:szCs w:val="24"/>
                <w:highlight w:val="yellow"/>
              </w:rPr>
              <w:t>审计</w:t>
            </w:r>
            <w:r>
              <w:rPr>
                <w:rFonts w:hint="eastAsia" w:hAnsi="宋体" w:eastAsia="宋体" w:cs="宋体"/>
                <w:color w:val="000000"/>
                <w:sz w:val="24"/>
                <w:szCs w:val="24"/>
              </w:rPr>
              <w:t>的公司财务报表（资产负债表、损益表、现金流量表）未显示异常；</w:t>
            </w:r>
          </w:p>
          <w:p>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7.拟投标人有与本次招标设备</w:t>
            </w:r>
            <w:r>
              <w:rPr>
                <w:rFonts w:hint="eastAsia" w:hAnsi="宋体" w:eastAsia="宋体" w:cs="宋体"/>
                <w:color w:val="000000"/>
                <w:sz w:val="24"/>
                <w:szCs w:val="24"/>
              </w:rPr>
              <w:t>相同或类似</w:t>
            </w:r>
            <w:r>
              <w:rPr>
                <w:rFonts w:hint="eastAsia" w:hAnsi="宋体" w:eastAsia="宋体" w:cs="宋体"/>
                <w:color w:val="000000"/>
                <w:kern w:val="0"/>
                <w:sz w:val="24"/>
                <w:szCs w:val="24"/>
              </w:rPr>
              <w:t>的项目经验，在中国境内有至少销售产品给</w:t>
            </w:r>
            <w:r>
              <w:rPr>
                <w:rFonts w:hint="eastAsia" w:hAnsi="宋体" w:eastAsia="宋体" w:cs="宋体"/>
                <w:color w:val="000000"/>
                <w:kern w:val="0"/>
                <w:sz w:val="24"/>
                <w:szCs w:val="24"/>
                <w:highlight w:val="yellow"/>
              </w:rPr>
              <w:t>商用车企业或商用车汽车检测机构使用</w:t>
            </w:r>
            <w:r>
              <w:rPr>
                <w:rFonts w:hint="eastAsia" w:hAnsi="宋体" w:eastAsia="宋体" w:cs="宋体"/>
                <w:color w:val="000000"/>
                <w:kern w:val="0"/>
                <w:sz w:val="24"/>
                <w:szCs w:val="24"/>
              </w:rPr>
              <w:t>的案例</w:t>
            </w:r>
            <w:r>
              <w:rPr>
                <w:rFonts w:hint="eastAsia" w:hAnsi="宋体" w:eastAsia="宋体" w:cs="宋体"/>
                <w:color w:val="000000"/>
                <w:sz w:val="24"/>
                <w:szCs w:val="24"/>
              </w:rPr>
              <w:t>，且近3年内无因服务不当而造成重大事故</w:t>
            </w:r>
            <w:r>
              <w:rPr>
                <w:rFonts w:hint="eastAsia" w:hAnsi="宋体" w:eastAsia="宋体" w:cs="宋体"/>
                <w:color w:val="000000"/>
                <w:kern w:val="0"/>
                <w:sz w:val="24"/>
                <w:szCs w:val="24"/>
              </w:rPr>
              <w:t>；报名及投标时需提供</w:t>
            </w:r>
            <w:r>
              <w:rPr>
                <w:rFonts w:hint="eastAsia" w:hAnsi="宋体" w:eastAsia="宋体" w:cs="宋体"/>
                <w:color w:val="000000"/>
                <w:sz w:val="24"/>
                <w:szCs w:val="24"/>
                <w:shd w:val="clear" w:fill="FFFF00"/>
                <w:lang w:val="en-US" w:eastAsia="zh-CN"/>
              </w:rPr>
              <w:t>自</w:t>
            </w:r>
            <w:r>
              <w:rPr>
                <w:rFonts w:hint="eastAsia" w:hAnsi="宋体" w:eastAsia="宋体" w:cs="宋体"/>
                <w:sz w:val="24"/>
                <w:szCs w:val="24"/>
                <w:highlight w:val="yellow"/>
                <w:shd w:val="clear" w:fill="FFFF00"/>
              </w:rPr>
              <w:t>2</w:t>
            </w:r>
            <w:r>
              <w:rPr>
                <w:rFonts w:hint="eastAsia" w:hAnsi="宋体" w:eastAsia="宋体" w:cs="宋体"/>
                <w:sz w:val="24"/>
                <w:szCs w:val="24"/>
                <w:highlight w:val="yellow"/>
              </w:rPr>
              <w:t>019年1月1日</w:t>
            </w:r>
            <w:r>
              <w:rPr>
                <w:rFonts w:hint="eastAsia" w:hAnsi="宋体" w:eastAsia="宋体" w:cs="宋体"/>
                <w:sz w:val="24"/>
                <w:szCs w:val="24"/>
              </w:rPr>
              <w:t>至今</w:t>
            </w:r>
            <w:r>
              <w:rPr>
                <w:rFonts w:hint="eastAsia" w:hAnsi="宋体" w:eastAsia="宋体" w:cs="宋体"/>
                <w:color w:val="000000"/>
                <w:kern w:val="0"/>
                <w:sz w:val="24"/>
                <w:szCs w:val="24"/>
              </w:rPr>
              <w:t>用户清单，同时需提供用户合同复印件</w:t>
            </w:r>
            <w:r>
              <w:rPr>
                <w:rFonts w:hint="eastAsia" w:hAnsi="宋体" w:eastAsia="宋体" w:cs="宋体"/>
                <w:color w:val="000000"/>
                <w:sz w:val="24"/>
                <w:szCs w:val="24"/>
              </w:rPr>
              <w:t>；</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8.投标人三年内无违法及重大违规情况；</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9.投标人须认可招标人的工作指令，包括节、假日能正常开展工作的要求；</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10.投标人最近半年纳税正常；</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w:t>
            </w:r>
            <w:r>
              <w:rPr>
                <w:rFonts w:hint="eastAsia" w:hAnsi="宋体" w:eastAsia="宋体" w:cs="宋体"/>
                <w:sz w:val="24"/>
                <w:szCs w:val="24"/>
              </w:rPr>
              <w:t>中国人民银行企业</w:t>
            </w:r>
            <w:r>
              <w:rPr>
                <w:rFonts w:hint="eastAsia" w:hAnsi="宋体" w:eastAsia="宋体" w:cs="宋体"/>
                <w:color w:val="000000"/>
                <w:sz w:val="24"/>
                <w:szCs w:val="24"/>
              </w:rPr>
              <w:t>征信报告）未显示异常；</w:t>
            </w:r>
          </w:p>
          <w:p>
            <w:pPr>
              <w:pStyle w:val="2"/>
              <w:ind w:firstLine="480" w:firstLineChars="200"/>
              <w:rPr>
                <w:rFonts w:hAnsi="宋体" w:eastAsia="宋体"/>
                <w:color w:val="000000"/>
                <w:sz w:val="24"/>
                <w:szCs w:val="24"/>
              </w:rPr>
            </w:pPr>
            <w:r>
              <w:rPr>
                <w:rFonts w:hint="eastAsia" w:hAnsi="宋体" w:eastAsia="宋体" w:cs="宋体"/>
                <w:color w:val="000000"/>
                <w:sz w:val="24"/>
                <w:szCs w:val="24"/>
              </w:rPr>
              <w:t>12.</w:t>
            </w:r>
            <w:r>
              <w:rPr>
                <w:rFonts w:hint="eastAsia" w:hAnsi="宋体" w:eastAsia="宋体"/>
                <w:color w:val="000000"/>
                <w:sz w:val="24"/>
                <w:szCs w:val="24"/>
              </w:rPr>
              <w:t>供方的直接或间接股东、法定代表人、董事、监事、高管非重汽员工及其亲属；</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13如为代理商投标，需获得生产厂家正式授权，提供授权书原件，保证提供原厂售后服务并提供承诺书原件；</w:t>
            </w:r>
          </w:p>
          <w:p>
            <w:pPr>
              <w:pStyle w:val="2"/>
              <w:ind w:firstLine="480" w:firstLineChars="200"/>
              <w:rPr>
                <w:rFonts w:hAnsi="宋体" w:eastAsia="宋体" w:cs="宋体"/>
                <w:sz w:val="24"/>
                <w:szCs w:val="24"/>
              </w:rPr>
            </w:pPr>
            <w:r>
              <w:rPr>
                <w:rFonts w:hint="eastAsia" w:hAnsi="宋体" w:eastAsia="宋体" w:cs="宋体"/>
                <w:color w:val="000000"/>
                <w:sz w:val="24"/>
                <w:szCs w:val="24"/>
              </w:rPr>
              <w:t>14.</w:t>
            </w:r>
            <w:r>
              <w:rPr>
                <w:rFonts w:hint="eastAsia" w:hAnsi="宋体" w:eastAsia="宋体" w:cs="宋体"/>
                <w:color w:val="000000"/>
                <w:sz w:val="24"/>
                <w:szCs w:val="24"/>
                <w:lang w:val="en-US" w:eastAsia="zh-CN"/>
              </w:rPr>
              <w:t>拟投标人必须是最终投标单位、签订合同单位，不接受联合体投标，不得以任何理由将已中标项目以任何形式分包或转包给其他单位</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FF0000"/>
                <w:sz w:val="24"/>
                <w:szCs w:val="24"/>
                <w:highlight w:val="yellow"/>
              </w:rPr>
              <w:t>2023年</w:t>
            </w:r>
            <w:r>
              <w:rPr>
                <w:rFonts w:hint="eastAsia" w:ascii="宋体" w:hAnsi="宋体" w:eastAsia="宋体" w:cs="宋体"/>
                <w:bCs/>
                <w:color w:val="FF0000"/>
                <w:sz w:val="24"/>
                <w:szCs w:val="24"/>
                <w:highlight w:val="yellow"/>
                <w:u w:val="single"/>
                <w:lang w:val="en-US" w:eastAsia="zh-CN"/>
              </w:rPr>
              <w:t>5</w:t>
            </w:r>
            <w:r>
              <w:rPr>
                <w:rFonts w:hint="eastAsia" w:ascii="宋体" w:hAnsi="宋体" w:eastAsia="宋体" w:cs="宋体"/>
                <w:bCs/>
                <w:color w:val="FF0000"/>
                <w:sz w:val="24"/>
                <w:szCs w:val="24"/>
                <w:highlight w:val="yellow"/>
              </w:rPr>
              <w:t>月</w:t>
            </w:r>
            <w:r>
              <w:rPr>
                <w:rFonts w:hint="eastAsia" w:ascii="宋体" w:hAnsi="宋体" w:eastAsia="宋体" w:cs="宋体"/>
                <w:bCs/>
                <w:color w:val="FF0000"/>
                <w:sz w:val="24"/>
                <w:szCs w:val="24"/>
                <w:highlight w:val="yellow"/>
                <w:u w:val="single"/>
                <w:lang w:val="en-US" w:eastAsia="zh-CN"/>
              </w:rPr>
              <w:t>29</w:t>
            </w:r>
            <w:r>
              <w:rPr>
                <w:rFonts w:hint="eastAsia" w:ascii="宋体" w:hAnsi="宋体" w:eastAsia="宋体" w:cs="宋体"/>
                <w:bCs/>
                <w:color w:val="FF0000"/>
                <w:sz w:val="24"/>
                <w:szCs w:val="24"/>
                <w:highlight w:val="yellow"/>
              </w:rPr>
              <w:t>日</w:t>
            </w:r>
            <w:r>
              <w:rPr>
                <w:rFonts w:hint="eastAsia" w:ascii="宋体" w:hAnsi="宋体" w:eastAsia="宋体" w:cs="宋体"/>
                <w:bCs/>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420" w:lineRule="exact"/>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13</w:t>
            </w:r>
            <w:r>
              <w:rPr>
                <w:rFonts w:hint="eastAsia" w:ascii="宋体" w:hAnsi="宋体" w:eastAsia="宋体" w:cs="宋体"/>
                <w:bCs/>
                <w:sz w:val="24"/>
                <w:szCs w:val="24"/>
                <w:highlight w:val="yellow"/>
              </w:rPr>
              <w:t>日12:00前；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：将答疑问题以word文件格式发邮件至</w:t>
            </w:r>
            <w:r>
              <w:rPr>
                <w:rFonts w:hint="eastAsia" w:ascii="宋体" w:hAnsi="宋体" w:eastAsia="宋体" w:cs="宋体"/>
                <w:sz w:val="24"/>
                <w:szCs w:val="24"/>
                <w:highlight w:val="yellow"/>
              </w:rPr>
              <w:t>li</w:t>
            </w:r>
            <w:r>
              <w:rPr>
                <w:rFonts w:hint="eastAsia" w:ascii="宋体" w:hAnsi="宋体" w:eastAsia="宋体" w:cs="宋体"/>
                <w:sz w:val="24"/>
                <w:szCs w:val="24"/>
                <w:highlight w:val="yellow"/>
                <w:lang w:val="en-US" w:eastAsia="zh-CN"/>
              </w:rPr>
              <w:t>nbl</w:t>
            </w:r>
            <w:r>
              <w:rPr>
                <w:rFonts w:hint="eastAsia" w:ascii="宋体" w:hAnsi="宋体" w:eastAsia="宋体" w:cs="宋体"/>
                <w:sz w:val="24"/>
                <w:szCs w:val="24"/>
                <w:highlight w:val="yellow"/>
              </w:rPr>
              <w:t>@sinotruk.com</w:t>
            </w:r>
            <w:r>
              <w:rPr>
                <w:rFonts w:hint="eastAsia" w:ascii="宋体" w:hAnsi="宋体" w:eastAsia="宋体" w:cs="宋体"/>
                <w:sz w:val="24"/>
                <w:szCs w:val="24"/>
              </w:rPr>
              <w:t>并电话联系工作人员查收（</w:t>
            </w:r>
            <w:r>
              <w:rPr>
                <w:rFonts w:hint="eastAsia" w:ascii="宋体" w:hAnsi="宋体" w:eastAsia="宋体" w:cs="宋体"/>
                <w:sz w:val="24"/>
                <w:szCs w:val="24"/>
                <w:highlight w:val="yellow"/>
                <w:lang w:val="en-US" w:eastAsia="zh-CN"/>
              </w:rPr>
              <w:t>林保良</w:t>
            </w:r>
            <w:r>
              <w:rPr>
                <w:rFonts w:hint="eastAsia" w:ascii="宋体" w:hAnsi="宋体" w:eastAsia="宋体" w:cs="宋体"/>
                <w:sz w:val="24"/>
                <w:szCs w:val="24"/>
                <w:highlight w:val="yellow"/>
              </w:rPr>
              <w:t>；联系方式：</w:t>
            </w:r>
            <w:r>
              <w:rPr>
                <w:rFonts w:hint="eastAsia" w:ascii="宋体" w:hAnsi="宋体" w:eastAsia="宋体" w:cs="宋体"/>
                <w:sz w:val="24"/>
                <w:szCs w:val="24"/>
                <w:highlight w:val="yellow"/>
                <w:lang w:val="en-US" w:eastAsia="zh-CN"/>
              </w:rPr>
              <w:t>13668829221</w:t>
            </w:r>
            <w:r>
              <w:rPr>
                <w:rFonts w:hint="eastAsia" w:ascii="宋体" w:hAnsi="宋体" w:eastAsia="宋体" w:cs="宋体"/>
                <w:sz w:val="24"/>
                <w:szCs w:val="24"/>
              </w:rPr>
              <w:t>），</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同时必须在邮件中以文字方式提供投标单位全称、投标授权人姓名、联系方式（固定电话、手机、电子邮箱），并提供附件2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6</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13</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拟投标人根据招标人在中国重汽的官网上发布的招标信息，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”后</w:t>
            </w:r>
            <w:r>
              <w:rPr>
                <w:rFonts w:hint="eastAsia" w:eastAsia="宋体" w:cs="Times New Roman"/>
                <w:b/>
                <w:bCs/>
              </w:rPr>
              <w:t>按照招标文件第三部分投标文件组成资格证明文件中的1.1</w:t>
            </w:r>
            <w:r>
              <w:rPr>
                <w:rFonts w:eastAsia="宋体" w:cs="Times New Roman"/>
                <w:b/>
                <w:bCs/>
              </w:rPr>
              <w:t>-</w:t>
            </w:r>
            <w:r>
              <w:rPr>
                <w:rFonts w:hint="eastAsia" w:eastAsia="宋体" w:cs="Times New Roman"/>
                <w:b/>
                <w:bCs/>
              </w:rPr>
              <w:t>1.12准备资料并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2023年</w:t>
            </w:r>
            <w:r>
              <w:rPr>
                <w:rFonts w:hint="eastAsia" w:eastAsia="宋体" w:cs="宋体"/>
                <w:highlight w:val="yellow"/>
                <w:u w:val="single"/>
                <w:lang w:val="en-US" w:eastAsia="zh-CN"/>
              </w:rPr>
              <w:t>6</w:t>
            </w:r>
            <w:r>
              <w:rPr>
                <w:rFonts w:hint="eastAsia" w:eastAsia="宋体" w:cs="宋体"/>
                <w:highlight w:val="yellow"/>
              </w:rPr>
              <w:t>月</w:t>
            </w:r>
            <w:r>
              <w:rPr>
                <w:rFonts w:hint="eastAsia" w:eastAsia="宋体" w:cs="宋体"/>
                <w:highlight w:val="yellow"/>
                <w:u w:val="single"/>
                <w:lang w:val="en-US" w:eastAsia="zh-CN"/>
              </w:rPr>
              <w:t>13</w:t>
            </w:r>
            <w:r>
              <w:rPr>
                <w:rFonts w:hint="eastAsia" w:eastAsia="宋体" w:cs="宋体"/>
                <w:highlight w:val="yellow"/>
              </w:rPr>
              <w:t>日17时00分00秒</w:t>
            </w:r>
          </w:p>
          <w:p>
            <w:pPr>
              <w:pStyle w:val="111"/>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具体组成等详细要求见招标文件第四部分投标文件编制第三条。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pStyle w:val="2"/>
              <w:rPr>
                <w:rFonts w:eastAsia="宋体" w:cs="宋体" w:asciiTheme="minorHAnsi" w:hAnsiTheme="minorHAnsi"/>
                <w:bCs/>
                <w:sz w:val="24"/>
                <w:szCs w:val="24"/>
              </w:rPr>
            </w:pPr>
            <w:r>
              <w:rPr>
                <w:rFonts w:hint="eastAsia"/>
                <w:bCs/>
              </w:rPr>
              <w:t xml:space="preserve">     </w:t>
            </w:r>
            <w:r>
              <w:rPr>
                <w:rFonts w:hint="eastAsia" w:eastAsia="宋体" w:cs="宋体" w:asciiTheme="minorHAnsi" w:hAnsiTheme="minorHAnsi"/>
                <w:bCs/>
                <w:sz w:val="24"/>
                <w:szCs w:val="24"/>
              </w:rPr>
              <w:t>纸质标书的份数要求为</w:t>
            </w:r>
            <w:r>
              <w:rPr>
                <w:rFonts w:hint="eastAsia" w:eastAsia="宋体" w:cs="宋体" w:asciiTheme="minorHAnsi" w:hAnsiTheme="minorHAnsi"/>
                <w:b/>
                <w:sz w:val="24"/>
                <w:szCs w:val="24"/>
                <w:highlight w:val="yellow"/>
              </w:rPr>
              <w:t>一式三份，</w:t>
            </w:r>
            <w:r>
              <w:rPr>
                <w:rFonts w:hint="eastAsia" w:hAnsi="宋体" w:eastAsia="宋体" w:cs="宋体"/>
                <w:b/>
                <w:sz w:val="24"/>
                <w:szCs w:val="24"/>
                <w:highlight w:val="yellow"/>
              </w:rPr>
              <w:t>正本一份，副本两份</w:t>
            </w:r>
            <w:r>
              <w:rPr>
                <w:rFonts w:hint="eastAsia" w:eastAsia="宋体" w:cs="宋体" w:asciiTheme="minorHAnsi" w:hAnsiTheme="minorHAnsi"/>
                <w:bCs/>
                <w:sz w:val="24"/>
                <w:szCs w:val="24"/>
                <w:highlight w:val="yellow"/>
              </w:rPr>
              <w:t>，</w:t>
            </w:r>
            <w:r>
              <w:rPr>
                <w:rFonts w:hint="eastAsia" w:hAnsi="宋体" w:eastAsia="宋体" w:cs="宋体"/>
                <w:bCs/>
                <w:sz w:val="24"/>
                <w:szCs w:val="24"/>
              </w:rPr>
              <w:t>资质投标书、技术投标书及商务投标书的</w:t>
            </w:r>
            <w:r>
              <w:rPr>
                <w:rFonts w:hint="eastAsia" w:eastAsia="宋体" w:cs="宋体" w:asciiTheme="minorHAnsi" w:hAnsiTheme="minorHAnsi"/>
                <w:b/>
                <w:sz w:val="24"/>
                <w:szCs w:val="24"/>
              </w:rPr>
              <w:t>同类文件封装在一个包封里，包封表面按照附件13标注文件信息；共计三个包封</w:t>
            </w:r>
            <w:r>
              <w:rPr>
                <w:rFonts w:hint="eastAsia" w:eastAsia="宋体" w:cs="宋体" w:asciiTheme="minorHAnsi" w:hAnsiTheme="minorHAnsi"/>
                <w:bCs/>
                <w:sz w:val="24"/>
                <w:szCs w:val="24"/>
              </w:rPr>
              <w:t>。</w:t>
            </w:r>
          </w:p>
          <w:p>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如选择到场参与开标，自行携带纸质投标文件至开标地点即可。</w:t>
            </w:r>
          </w:p>
          <w:p>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2"/>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pPr>
              <w:pStyle w:val="2"/>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hAnsi="宋体" w:eastAsia="宋体" w:cs="Times New Roman"/>
                <w:color w:val="000000"/>
                <w:sz w:val="24"/>
                <w:szCs w:val="24"/>
                <w:highlight w:val="yellow"/>
                <w:lang w:val="en-US" w:eastAsia="zh-CN"/>
              </w:rPr>
              <w:t>林保良/13668829221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1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2023</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15</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p>
          <w:p>
            <w:pPr>
              <w:pStyle w:val="2"/>
              <w:ind w:firstLine="482" w:firstLineChars="200"/>
              <w:rPr>
                <w:rFonts w:hAnsi="宋体" w:eastAsia="宋体" w:cs="宋体"/>
                <w:sz w:val="24"/>
                <w:szCs w:val="24"/>
                <w:highlight w:val="yellow"/>
              </w:rPr>
            </w:pPr>
            <w:r>
              <w:rPr>
                <w:rFonts w:hint="eastAsia" w:hAnsi="宋体" w:eastAsia="宋体" w:cs="宋体"/>
                <w:b/>
                <w:bCs/>
                <w:sz w:val="24"/>
                <w:szCs w:val="24"/>
              </w:rPr>
              <w:t>注：</w:t>
            </w:r>
            <w:r>
              <w:rPr>
                <w:rFonts w:hint="eastAsia" w:eastAsia="宋体" w:cs="宋体"/>
                <w:b/>
                <w:bCs/>
                <w:sz w:val="24"/>
                <w:szCs w:val="28"/>
              </w:rPr>
              <w:t>请务必在</w:t>
            </w:r>
            <w:r>
              <w:rPr>
                <w:rFonts w:hint="eastAsia" w:hAnsi="宋体" w:eastAsia="宋体" w:cs="宋体"/>
                <w:b/>
                <w:bCs/>
                <w:sz w:val="24"/>
                <w:szCs w:val="24"/>
              </w:rPr>
              <w:t>投标文件递交</w:t>
            </w:r>
            <w:r>
              <w:rPr>
                <w:rFonts w:hint="eastAsia" w:eastAsia="宋体" w:cs="宋体"/>
                <w:b/>
                <w:bCs/>
                <w:sz w:val="24"/>
                <w:szCs w:val="28"/>
              </w:rPr>
              <w:t>截止时间前完成投标文件的递交操作，投标截止时间精确到秒，逾期将无法投标。请自行掌握时间安排，避免无法投标。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0" w:firstLineChars="200"/>
              <w:rPr>
                <w:rFonts w:ascii="宋体" w:hAnsi="宋体" w:eastAsia="宋体" w:cs="宋体"/>
                <w:sz w:val="24"/>
                <w:szCs w:val="24"/>
              </w:rPr>
            </w:pPr>
            <w:r>
              <w:rPr>
                <w:rFonts w:hint="eastAsia" w:ascii="宋体" w:hAnsi="宋体" w:eastAsia="宋体" w:cs="宋体"/>
                <w:sz w:val="24"/>
                <w:szCs w:val="24"/>
              </w:rPr>
              <w:t>投标保证金的金额：人民币20000元</w:t>
            </w:r>
          </w:p>
          <w:p>
            <w:pPr>
              <w:tabs>
                <w:tab w:val="left" w:pos="932"/>
              </w:tabs>
              <w:ind w:firstLine="480" w:firstLineChars="200"/>
              <w:rPr>
                <w:rFonts w:ascii="宋体" w:hAnsi="宋体" w:eastAsia="宋体" w:cs="宋体"/>
                <w:sz w:val="24"/>
                <w:szCs w:val="24"/>
              </w:rPr>
            </w:pPr>
            <w:r>
              <w:rPr>
                <w:rFonts w:hint="eastAsia" w:ascii="宋体" w:hAnsi="宋体" w:eastAsia="宋体" w:cs="宋体"/>
                <w:sz w:val="24"/>
                <w:szCs w:val="24"/>
              </w:rPr>
              <w:t>开户名称：中国重汽集团济南动力有限公司</w:t>
            </w:r>
          </w:p>
          <w:p>
            <w:pPr>
              <w:tabs>
                <w:tab w:val="left" w:pos="932"/>
              </w:tabs>
              <w:ind w:firstLine="480" w:firstLineChars="200"/>
              <w:rPr>
                <w:rFonts w:ascii="宋体" w:hAnsi="宋体" w:eastAsia="宋体" w:cs="宋体"/>
                <w:sz w:val="24"/>
                <w:szCs w:val="24"/>
              </w:rPr>
            </w:pPr>
            <w:r>
              <w:rPr>
                <w:rFonts w:hint="eastAsia" w:ascii="宋体" w:hAnsi="宋体" w:eastAsia="宋体" w:cs="宋体"/>
                <w:sz w:val="24"/>
                <w:szCs w:val="24"/>
              </w:rPr>
              <w:t>开户银行：兴业银行股份有限公司济南分行营业部</w:t>
            </w:r>
          </w:p>
          <w:p>
            <w:pPr>
              <w:tabs>
                <w:tab w:val="left" w:pos="932"/>
              </w:tabs>
              <w:ind w:firstLine="480" w:firstLineChars="200"/>
              <w:rPr>
                <w:rFonts w:ascii="宋体" w:hAnsi="宋体" w:eastAsia="宋体" w:cs="宋体"/>
                <w:sz w:val="24"/>
                <w:szCs w:val="24"/>
              </w:rPr>
            </w:pPr>
            <w:r>
              <w:rPr>
                <w:rFonts w:hint="eastAsia" w:ascii="宋体" w:hAnsi="宋体" w:eastAsia="宋体" w:cs="宋体"/>
                <w:sz w:val="24"/>
                <w:szCs w:val="24"/>
              </w:rPr>
              <w:t>银行帐号：376010100101373547</w:t>
            </w:r>
          </w:p>
          <w:p>
            <w:pPr>
              <w:ind w:firstLine="480" w:firstLineChars="200"/>
              <w:rPr>
                <w:rFonts w:ascii="宋体" w:hAnsi="宋体" w:eastAsia="宋体" w:cs="宋体"/>
                <w:sz w:val="24"/>
                <w:szCs w:val="24"/>
              </w:rPr>
            </w:pPr>
            <w:r>
              <w:rPr>
                <w:rFonts w:hint="eastAsia" w:ascii="宋体" w:hAnsi="宋体" w:eastAsia="宋体" w:cs="宋体"/>
                <w:sz w:val="24"/>
                <w:szCs w:val="24"/>
              </w:rPr>
              <w:t>开户行联号：309451013018</w:t>
            </w:r>
          </w:p>
          <w:p>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sz w:val="24"/>
                <w:szCs w:val="28"/>
                <w:highlight w:val="cyan"/>
              </w:rPr>
              <w:t>转账附言：公司名称+项目名称+投标保证金（方便后期核对退款）</w:t>
            </w:r>
            <w:r>
              <w:rPr>
                <w:rFonts w:hint="eastAsia" w:ascii="宋体" w:hAnsi="宋体" w:eastAsia="宋体" w:cs="宋体"/>
                <w:sz w:val="24"/>
                <w:szCs w:val="24"/>
              </w:rPr>
              <w:t>。</w:t>
            </w:r>
          </w:p>
          <w:p>
            <w:pPr>
              <w:pStyle w:val="2"/>
            </w:pPr>
            <w:r>
              <w:rPr>
                <w:rFonts w:hint="eastAsia" w:hAnsi="宋体" w:eastAsia="宋体" w:cs="宋体"/>
                <w:sz w:val="24"/>
                <w:szCs w:val="24"/>
              </w:rPr>
              <w:t>若有其他特殊情况，请提前与招标人沟通，做好转账信息备注工作。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sz w:val="24"/>
                <w:szCs w:val="24"/>
              </w:rPr>
            </w:pPr>
            <w:r>
              <w:rPr>
                <w:rFonts w:hint="eastAsia" w:ascii="宋体" w:hAnsi="宋体" w:cs="宋体"/>
                <w:b/>
                <w:bCs/>
                <w:sz w:val="24"/>
                <w:szCs w:val="24"/>
              </w:rPr>
              <w:t>保证金截止时间：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u w:val="single"/>
                <w:lang w:val="en-US" w:eastAsia="zh-CN"/>
              </w:rPr>
              <w:t>6</w:t>
            </w:r>
            <w:r>
              <w:rPr>
                <w:rFonts w:hint="eastAsia" w:ascii="宋体" w:hAnsi="宋体" w:cs="宋体"/>
                <w:sz w:val="24"/>
                <w:szCs w:val="24"/>
                <w:highlight w:val="yellow"/>
              </w:rPr>
              <w:t>月</w:t>
            </w:r>
            <w:r>
              <w:rPr>
                <w:rFonts w:hint="eastAsia" w:ascii="宋体" w:hAnsi="宋体" w:cs="宋体"/>
                <w:sz w:val="24"/>
                <w:szCs w:val="24"/>
                <w:highlight w:val="yellow"/>
                <w:u w:val="single"/>
                <w:lang w:val="en-US" w:eastAsia="zh-CN"/>
              </w:rPr>
              <w:t>13</w:t>
            </w:r>
            <w:bookmarkStart w:id="143" w:name="_GoBack"/>
            <w:bookmarkEnd w:id="143"/>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对于没有中标的投标单位，投标保证金将于招标人内部完成中标人评审并确认最终中标人后在30工作日内予以原路返还（无息）；对于中标方，投标保证金将在签订合同后30工作日内返还（无息）。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kern w:val="0"/>
                <w:sz w:val="24"/>
                <w:szCs w:val="24"/>
                <w:highlight w:val="yellow"/>
              </w:rPr>
              <w:t>同投标文件递交截止时间。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济南市高新区华奥路777号重汽科技大厦2610会议室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w:t>
            </w:r>
            <w:r>
              <w:rPr>
                <w:rFonts w:hint="eastAsia" w:ascii="宋体" w:hAnsi="宋体" w:eastAsia="宋体" w:cs="宋体"/>
                <w:sz w:val="24"/>
                <w:szCs w:val="24"/>
                <w:highlight w:val="yellow"/>
              </w:rPr>
              <w:t>“第二部分投标须知第六条：评标原则”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rPr>
              <w:t>90个日历日</w:t>
            </w:r>
            <w:r>
              <w:rPr>
                <w:rFonts w:hint="eastAsia" w:hAnsi="宋体" w:eastAsia="宋体" w:cs="宋体"/>
                <w:color w:val="000000"/>
                <w:sz w:val="24"/>
                <w:szCs w:val="24"/>
              </w:rPr>
              <w:t>之内交货至供货地点。</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Ansi="宋体" w:eastAsia="宋体" w:cs="宋体"/>
                <w:color w:val="000000"/>
                <w:sz w:val="24"/>
                <w:szCs w:val="24"/>
                <w:highlight w:val="yellow"/>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w:t>
            </w:r>
            <w:r>
              <w:rPr>
                <w:rFonts w:hAnsi="宋体" w:eastAsia="宋体" w:cs="宋体"/>
                <w:color w:val="000000"/>
                <w:sz w:val="24"/>
                <w:szCs w:val="24"/>
                <w:highlight w:val="yellow"/>
              </w:rPr>
              <w:t>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2"/>
              <w:ind w:firstLine="480" w:firstLineChars="200"/>
              <w:rPr>
                <w:rFonts w:hAnsi="宋体" w:eastAsia="宋体" w:cs="宋体"/>
                <w:color w:val="000000"/>
                <w:sz w:val="24"/>
                <w:szCs w:val="24"/>
              </w:rPr>
            </w:pPr>
            <w:r>
              <w:rPr>
                <w:rFonts w:hint="eastAsia" w:ascii="宋体" w:hAnsi="宋体" w:eastAsia="宋体"/>
                <w:sz w:val="24"/>
                <w:szCs w:val="24"/>
                <w:shd w:val="clear" w:fill="FFFF00"/>
              </w:rPr>
              <w:t>安装调试时间或终验收时间超过规定时间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中国重汽集团济南动力有限公司汽车研究总院。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A.合同签订生效后，中标人提交金额为合同价款15%的收据并提供合同价款15%的增值税专用发票（含复印件二份），经招标人依照财务制度审核通过后30日支付；</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B.设备到货后，中标人提交金额为合同价款45%的收据并提供合同价款45%的增值税专用发票（含复印件二份），经招标人依照财务制度审核通过后30日支付；</w:t>
            </w:r>
          </w:p>
          <w:p>
            <w:pPr>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C.设备验收合格后，中标人提交金额为合同价款30%的收据并提供合同价款40%的增值税专用发票（含复印件二份），经招标人依照财务制度审核通过后30日支付；</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1"/>
                <w:rFonts w:hint="eastAsia" w:ascii="宋体" w:hAnsi="宋体" w:eastAsia="宋体" w:cs="宋体"/>
                <w:sz w:val="24"/>
                <w:szCs w:val="24"/>
              </w:rPr>
              <w:t>提资</w:t>
            </w:r>
            <w:r>
              <w:rPr>
                <w:rFonts w:hint="eastAsia" w:ascii="宋体" w:hAnsi="宋体" w:eastAsia="宋体" w:cs="宋体"/>
                <w:sz w:val="24"/>
                <w:szCs w:val="24"/>
              </w:rPr>
              <w:t>要求提供详细的</w:t>
            </w:r>
            <w:r>
              <w:rPr>
                <w:rStyle w:val="41"/>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1"/>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1"/>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pPr>
        <w:pageBreakBefore w:val="0"/>
        <w:widowControl w:val="0"/>
        <w:kinsoku/>
        <w:wordWrap/>
        <w:overflowPunct/>
        <w:topLinePunct w:val="0"/>
        <w:autoSpaceDE/>
        <w:autoSpaceDN/>
        <w:bidi w:val="0"/>
        <w:adjustRightInd/>
        <w:snapToGrid/>
        <w:spacing w:line="360" w:lineRule="auto"/>
        <w:ind w:left="1679" w:leftChars="228" w:hanging="1200" w:hangingChars="500"/>
        <w:textAlignment w:val="auto"/>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5" w:name="OLE_LINK1"/>
      <w:r>
        <w:rPr>
          <w:rFonts w:hint="eastAsia" w:ascii="宋体" w:hAnsi="宋体" w:eastAsia="宋体" w:cs="Times New Roman"/>
          <w:color w:val="000000"/>
          <w:sz w:val="24"/>
          <w:szCs w:val="24"/>
        </w:rPr>
        <w:t>见《投标须知前附表》。</w:t>
      </w:r>
    </w:p>
    <w:bookmarkEnd w:id="5"/>
    <w:p>
      <w:pPr>
        <w:keepNext/>
        <w:keepLines/>
        <w:pageBreakBefore w:val="0"/>
        <w:widowControl w:val="0"/>
        <w:numPr>
          <w:ilvl w:val="0"/>
          <w:numId w:val="2"/>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hAnsi="宋体" w:eastAsia="宋体" w:cs="Times New Roman"/>
          <w:color w:val="000000"/>
          <w:sz w:val="24"/>
          <w:szCs w:val="24"/>
        </w:rPr>
        <w:t>见《投标须知前附表》。</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对于本项目需着重介绍的注意事项已经通过以下带颜色文档进行标记。</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pPr>
        <w:keepNext/>
        <w:keepLines/>
        <w:pageBreakBefore w:val="0"/>
        <w:widowControl w:val="0"/>
        <w:numPr>
          <w:ilvl w:val="0"/>
          <w:numId w:val="2"/>
        </w:numPr>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的官网上发布的招标信息，在“中国重汽e采通”平台报名。按照中国重汽e采通“SRM非生产供应商注册手册（附件15）”进行注册，进入“供应商应标”，选择对应的项目，点击“应标”后按照招标文件第四部分投标文件组成资格证明文件中的1.1-1.12准备资料并上传，资质审查通过即为报名成功，公示期间请尽快报名。</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投标保证金缴纳的时候，</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不按要求报名的，或因未提供相关信息导致后期无法退回保证金的，需投标单位承担。</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2.投标条件</w:t>
      </w:r>
    </w:p>
    <w:p>
      <w:pPr>
        <w:pStyle w:val="2"/>
        <w:pageBreakBefore w:val="0"/>
        <w:widowControl w:val="0"/>
        <w:kinsoku/>
        <w:wordWrap/>
        <w:overflowPunct/>
        <w:topLinePunct w:val="0"/>
        <w:autoSpaceDE/>
        <w:autoSpaceDN/>
        <w:bidi w:val="0"/>
        <w:adjustRightInd/>
        <w:snapToGrid/>
        <w:spacing w:line="360" w:lineRule="auto"/>
        <w:ind w:firstLine="482" w:firstLineChars="200"/>
        <w:textAlignment w:val="auto"/>
        <w:rPr>
          <w:rFonts w:hAnsi="宋体" w:eastAsia="宋体"/>
          <w:color w:val="000000"/>
          <w:sz w:val="24"/>
          <w:szCs w:val="24"/>
        </w:rPr>
      </w:pPr>
      <w:r>
        <w:rPr>
          <w:rFonts w:hint="eastAsia" w:eastAsia="宋体" w:cs="Times New Roman"/>
          <w:b/>
          <w:bCs/>
          <w:color w:val="000000"/>
          <w:sz w:val="24"/>
          <w:szCs w:val="24"/>
          <w:highlight w:val="yellow"/>
        </w:rPr>
        <w:t>对于</w:t>
      </w:r>
      <w:r>
        <w:rPr>
          <w:rFonts w:hint="eastAsia" w:ascii="宋体" w:hAnsi="Courier New" w:eastAsia="宋体" w:cs="Times New Roman"/>
          <w:b/>
          <w:bCs/>
          <w:color w:val="000000"/>
          <w:sz w:val="24"/>
          <w:szCs w:val="24"/>
          <w:highlight w:val="yellow"/>
        </w:rPr>
        <w:t>投标条件</w:t>
      </w:r>
      <w:r>
        <w:rPr>
          <w:rFonts w:hint="eastAsia" w:hAnsi="Courier New" w:eastAsia="宋体" w:cs="Times New Roman"/>
          <w:b/>
          <w:bCs/>
          <w:color w:val="000000"/>
          <w:sz w:val="24"/>
          <w:szCs w:val="24"/>
          <w:highlight w:val="yellow"/>
          <w:lang w:val="en-US" w:eastAsia="zh-CN"/>
        </w:rPr>
        <w:t>详见</w:t>
      </w:r>
      <w:r>
        <w:rPr>
          <w:rFonts w:hint="eastAsia" w:eastAsia="宋体" w:cs="Times New Roman"/>
          <w:b/>
          <w:bCs/>
          <w:color w:val="000000"/>
          <w:sz w:val="24"/>
          <w:szCs w:val="24"/>
          <w:highlight w:val="yellow"/>
          <w:lang w:val="en-US" w:eastAsia="zh-CN"/>
        </w:rPr>
        <w:t>招标文件</w:t>
      </w:r>
      <w:r>
        <w:rPr>
          <w:rFonts w:hint="eastAsia" w:hAnsi="Courier New" w:eastAsia="宋体" w:cs="Times New Roman"/>
          <w:b/>
          <w:bCs/>
          <w:color w:val="000000"/>
          <w:sz w:val="24"/>
          <w:szCs w:val="24"/>
          <w:highlight w:val="yellow"/>
          <w:lang w:val="en-US" w:eastAsia="zh-CN"/>
        </w:rPr>
        <w:t>“第一部分投标须知前附表1.6”。</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Calibri" w:eastAsia="宋体" w:cs="Times New Roman"/>
          <w:b/>
          <w:bCs/>
          <w:color w:val="000000"/>
          <w:sz w:val="24"/>
          <w:szCs w:val="24"/>
        </w:rPr>
      </w:pPr>
      <w:r>
        <w:rPr>
          <w:rFonts w:hint="eastAsia" w:ascii="Times New Roman" w:hAnsi="Times New Roman" w:eastAsia="宋体" w:cs="Times New Roman"/>
          <w:b/>
          <w:bCs/>
          <w:color w:val="000000"/>
          <w:sz w:val="24"/>
          <w:szCs w:val="24"/>
        </w:rPr>
        <w:t>3</w:t>
      </w:r>
      <w:r>
        <w:rPr>
          <w:rFonts w:hint="eastAsia" w:ascii="宋体" w:hAnsi="宋体" w:eastAsia="宋体" w:cs="Times New Roman"/>
          <w:b/>
          <w:bCs/>
          <w:color w:val="000000"/>
          <w:sz w:val="24"/>
          <w:szCs w:val="24"/>
        </w:rPr>
        <w:t>.报价</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评标流程以及规则详细见本部分第六条评标规则。</w:t>
      </w:r>
    </w:p>
    <w:p>
      <w:pPr>
        <w:pageBreakBefore w:val="0"/>
        <w:widowControl w:val="0"/>
        <w:kinsoku/>
        <w:wordWrap/>
        <w:overflowPunct/>
        <w:topLinePunct w:val="0"/>
        <w:autoSpaceDE/>
        <w:autoSpaceDN/>
        <w:bidi w:val="0"/>
        <w:adjustRightInd/>
        <w:snapToGrid/>
        <w:spacing w:line="360" w:lineRule="auto"/>
        <w:ind w:firstLine="235" w:firstLineChars="98"/>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green"/>
        </w:rPr>
        <w:t>人民币</w:t>
      </w:r>
      <w:r>
        <w:rPr>
          <w:rFonts w:hint="eastAsia" w:ascii="宋体" w:hAnsi="宋体" w:eastAsia="宋体" w:cs="Times New Roman"/>
          <w:b/>
          <w:bCs/>
          <w:color w:val="000000"/>
          <w:sz w:val="24"/>
          <w:szCs w:val="24"/>
          <w:highlight w:val="yellow"/>
        </w:rPr>
        <w:t>（</w:t>
      </w:r>
      <w:r>
        <w:rPr>
          <w:rFonts w:hint="eastAsia" w:ascii="宋体" w:hAnsi="宋体" w:eastAsia="宋体" w:cs="Times New Roman"/>
          <w:b/>
          <w:bCs/>
          <w:color w:val="000000"/>
          <w:sz w:val="24"/>
          <w:szCs w:val="24"/>
          <w:highlight w:val="yellow"/>
          <w:lang w:val="en-US" w:eastAsia="zh-CN"/>
        </w:rPr>
        <w:t>应同时</w:t>
      </w:r>
      <w:r>
        <w:rPr>
          <w:rFonts w:hint="eastAsia" w:ascii="宋体" w:hAnsi="宋体" w:eastAsia="宋体" w:cs="Times New Roman"/>
          <w:b/>
          <w:bCs/>
          <w:color w:val="000000"/>
          <w:sz w:val="24"/>
          <w:szCs w:val="24"/>
          <w:highlight w:val="yellow"/>
        </w:rPr>
        <w:t>报含税价和不含税价并写明税率）</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rPr>
        <w:t>。</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eastAsia="宋体"/>
        </w:rPr>
      </w:pPr>
      <w:r>
        <w:rPr>
          <w:rFonts w:hint="eastAsia" w:ascii="宋体" w:hAnsi="宋体" w:eastAsia="宋体" w:cs="Times New Roman"/>
          <w:b/>
          <w:bCs/>
          <w:color w:val="000000"/>
          <w:sz w:val="24"/>
          <w:szCs w:val="24"/>
        </w:rPr>
        <w:t>4.设备要求：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4.5投标企业按技术规范书提报设备详细技术资料；</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2"/>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pPr>
        <w:pStyle w:val="2"/>
        <w:pageBreakBefore w:val="0"/>
        <w:widowControl w:val="0"/>
        <w:kinsoku/>
        <w:wordWrap/>
        <w:overflowPunct/>
        <w:topLinePunct w:val="0"/>
        <w:autoSpaceDE/>
        <w:autoSpaceDN/>
        <w:bidi w:val="0"/>
        <w:adjustRightInd/>
        <w:snapToGrid/>
        <w:spacing w:line="360" w:lineRule="auto"/>
        <w:textAlignment w:val="auto"/>
        <w:rPr>
          <w:rFonts w:hAnsi="宋体" w:eastAsia="宋体"/>
          <w:color w:val="000000"/>
          <w:sz w:val="24"/>
          <w:szCs w:val="24"/>
        </w:rPr>
      </w:pPr>
      <w:r>
        <w:rPr>
          <w:rFonts w:hAnsi="宋体" w:eastAsia="宋体"/>
          <w:color w:val="000000"/>
          <w:sz w:val="24"/>
          <w:szCs w:val="24"/>
        </w:rPr>
        <w:t>—2020）。</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pageBreakBefore w:val="0"/>
        <w:widowControl w:val="0"/>
        <w:kinsoku/>
        <w:wordWrap/>
        <w:overflowPunct/>
        <w:topLinePunct w:val="0"/>
        <w:autoSpaceDE/>
        <w:autoSpaceDN/>
        <w:bidi w:val="0"/>
        <w:adjustRightInd/>
        <w:snapToGrid/>
        <w:spacing w:line="360" w:lineRule="auto"/>
        <w:textAlignment w:val="auto"/>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color w:val="000000"/>
          <w:sz w:val="24"/>
          <w:szCs w:val="24"/>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2.发标方式</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rPr>
        <w:t>中国重汽官网、</w:t>
      </w:r>
      <w:r>
        <w:rPr>
          <w:rFonts w:hint="eastAsia" w:ascii="宋体" w:hAnsi="宋体" w:eastAsia="宋体" w:cs="宋体"/>
          <w:sz w:val="24"/>
          <w:szCs w:val="24"/>
        </w:rPr>
        <w:t>山东省阳光采购服务平台、中国招标投标公共服务平台等公开媒体</w:t>
      </w:r>
      <w:r>
        <w:rPr>
          <w:rFonts w:hint="eastAsia" w:ascii="宋体" w:hAnsi="宋体" w:eastAsia="宋体" w:cs="Times New Roman"/>
          <w:color w:val="000000"/>
          <w:sz w:val="24"/>
          <w:szCs w:val="24"/>
        </w:rPr>
        <w:t>。</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见《投标须知前附表》第二条，逾期不受理。</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4.投标报名</w:t>
      </w:r>
    </w:p>
    <w:p>
      <w:pPr>
        <w:keepNext/>
        <w:keepLines/>
        <w:pageBreakBefore w:val="0"/>
        <w:widowControl w:val="0"/>
        <w:kinsoku/>
        <w:wordWrap/>
        <w:overflowPunct/>
        <w:topLinePunct w:val="0"/>
        <w:autoSpaceDE/>
        <w:autoSpaceDN/>
        <w:bidi w:val="0"/>
        <w:adjustRightInd/>
        <w:snapToGrid/>
        <w:spacing w:line="360" w:lineRule="auto"/>
        <w:ind w:firstLine="482"/>
        <w:textAlignment w:val="auto"/>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（保证金具体金额及缴纳截止时间见《投标须知前附表》4.3）。</w:t>
      </w:r>
    </w:p>
    <w:p>
      <w:pPr>
        <w:pStyle w:val="111"/>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4.2招标人银行账户信息</w:t>
      </w:r>
      <w:r>
        <w:rPr>
          <w:rFonts w:hint="eastAsia" w:eastAsia="宋体" w:cs="Times New Roman"/>
          <w:lang w:val="en-US" w:eastAsia="zh-CN"/>
        </w:rPr>
        <w:t>详</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Times New Roman"/>
        </w:rPr>
        <w:t>：</w:t>
      </w:r>
    </w:p>
    <w:p>
      <w:pPr>
        <w:pStyle w:val="111"/>
        <w:pageBreakBefore w:val="0"/>
        <w:widowControl w:val="0"/>
        <w:kinsoku/>
        <w:wordWrap/>
        <w:overflowPunct/>
        <w:topLinePunct w:val="0"/>
        <w:autoSpaceDE/>
        <w:autoSpaceDN/>
        <w:bidi w:val="0"/>
        <w:adjustRightInd/>
        <w:snapToGrid/>
        <w:spacing w:line="360" w:lineRule="auto"/>
        <w:ind w:firstLine="480"/>
        <w:textAlignment w:val="auto"/>
        <w:rPr>
          <w:rFonts w:eastAsia="宋体" w:cs="Times New Roman"/>
        </w:rPr>
      </w:pPr>
      <w:r>
        <w:rPr>
          <w:rFonts w:hint="eastAsia" w:eastAsia="宋体" w:cs="Times New Roman"/>
        </w:rPr>
        <w:t>转账附言：公司名称+项目名称+投标保证金；</w:t>
      </w:r>
    </w:p>
    <w:p>
      <w:pPr>
        <w:pStyle w:val="111"/>
        <w:ind w:firstLine="480"/>
        <w:rPr>
          <w:rFonts w:hint="eastAsia"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pPr>
        <w:pStyle w:val="111"/>
        <w:ind w:firstLine="480"/>
        <w:rPr>
          <w:rFonts w:eastAsia="宋体" w:cs="Times New Roman"/>
        </w:rPr>
      </w:pPr>
      <w:r>
        <w:rPr>
          <w:rFonts w:hint="eastAsia" w:eastAsia="宋体" w:cs="Times New Roman"/>
        </w:rPr>
        <w:t>4.3说明</w:t>
      </w:r>
    </w:p>
    <w:p>
      <w:pPr>
        <w:pStyle w:val="111"/>
        <w:ind w:firstLine="480"/>
        <w:rPr>
          <w:rFonts w:eastAsia="宋体" w:cs="Times New Roman"/>
        </w:rPr>
      </w:pPr>
      <w:r>
        <w:rPr>
          <w:rFonts w:hint="eastAsia" w:eastAsia="宋体" w:cs="Times New Roman"/>
        </w:rPr>
        <w:t>4.3.1 投标人在向招标人出示《投标保证金缴纳凭证》后方可进行投标；</w:t>
      </w:r>
    </w:p>
    <w:p>
      <w:pPr>
        <w:pStyle w:val="111"/>
        <w:ind w:firstLine="480"/>
        <w:rPr>
          <w:rFonts w:eastAsia="宋体" w:cs="Times New Roman"/>
        </w:rPr>
      </w:pPr>
      <w:r>
        <w:rPr>
          <w:rFonts w:hint="eastAsia" w:eastAsia="宋体" w:cs="Times New Roman"/>
        </w:rPr>
        <w:t>4.3.2 发生以下情况时，招标人有权没收保证金：</w:t>
      </w:r>
    </w:p>
    <w:p>
      <w:pPr>
        <w:pStyle w:val="111"/>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111"/>
        <w:ind w:firstLine="480"/>
        <w:rPr>
          <w:rFonts w:eastAsia="宋体" w:cs="Times New Roman"/>
        </w:rPr>
      </w:pPr>
      <w:r>
        <w:rPr>
          <w:rFonts w:hint="eastAsia" w:eastAsia="宋体" w:cs="Times New Roman"/>
        </w:rPr>
        <w:t>4.3.2.2 投标人递送投标文件后，无正当理由放弃投标的；</w:t>
      </w:r>
    </w:p>
    <w:p>
      <w:pPr>
        <w:pStyle w:val="111"/>
        <w:ind w:firstLine="480"/>
        <w:rPr>
          <w:rFonts w:eastAsia="宋体" w:cs="Times New Roman"/>
        </w:rPr>
      </w:pPr>
      <w:r>
        <w:rPr>
          <w:rFonts w:hint="eastAsia" w:eastAsia="宋体" w:cs="Times New Roman"/>
        </w:rPr>
        <w:t>4.3.2.3若为视频开标，招标过程中澄清函等资料原件未按要求提交的；</w:t>
      </w:r>
    </w:p>
    <w:p>
      <w:pPr>
        <w:pStyle w:val="111"/>
        <w:ind w:firstLine="480"/>
        <w:rPr>
          <w:rFonts w:eastAsia="宋体" w:cs="Times New Roman"/>
        </w:rPr>
      </w:pPr>
      <w:r>
        <w:rPr>
          <w:rFonts w:hint="eastAsia" w:eastAsia="宋体" w:cs="Times New Roman"/>
        </w:rPr>
        <w:t>4.3.2.4自中标通知书发出之日起30日内，中标人无正当理由不签订合同的；</w:t>
      </w:r>
    </w:p>
    <w:p>
      <w:pPr>
        <w:pStyle w:val="111"/>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111"/>
        <w:ind w:firstLine="480"/>
        <w:rPr>
          <w:rFonts w:eastAsia="宋体" w:cs="Times New Roman"/>
        </w:rPr>
      </w:pPr>
      <w:r>
        <w:rPr>
          <w:rFonts w:hint="eastAsia" w:eastAsia="宋体" w:cs="Times New Roman"/>
        </w:rPr>
        <w:t>4.4投标报名截止时间</w:t>
      </w:r>
    </w:p>
    <w:p>
      <w:pPr>
        <w:pStyle w:val="111"/>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111"/>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green"/>
        </w:rPr>
        <w:t>用</w:t>
      </w:r>
      <w:r>
        <w:rPr>
          <w:rFonts w:hint="eastAsia" w:eastAsia="宋体" w:cs="Times New Roman"/>
          <w:highlight w:val="green"/>
          <w:lang w:val="en-US" w:eastAsia="zh-CN"/>
        </w:rPr>
        <w:t>公司名称+</w:t>
      </w:r>
      <w:r>
        <w:rPr>
          <w:rFonts w:hint="eastAsia" w:eastAsia="宋体" w:cs="Times New Roman"/>
          <w:highlight w:val="green"/>
        </w:rPr>
        <w:t>文件名称命名</w:t>
      </w:r>
      <w:r>
        <w:rPr>
          <w:rFonts w:hint="eastAsia" w:eastAsia="宋体" w:cs="Times New Roman"/>
        </w:rPr>
        <w:t>。</w:t>
      </w:r>
    </w:p>
    <w:p>
      <w:pPr>
        <w:numPr>
          <w:ilvl w:val="0"/>
          <w:numId w:val="3"/>
        </w:numPr>
        <w:spacing w:line="420" w:lineRule="exact"/>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pPr>
        <w:numPr>
          <w:ilvl w:val="0"/>
          <w:numId w:val="3"/>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pPr>
        <w:numPr>
          <w:ilvl w:val="0"/>
          <w:numId w:val="3"/>
        </w:numPr>
        <w:spacing w:line="420" w:lineRule="exact"/>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5.开标时间</w:t>
      </w:r>
    </w:p>
    <w:p>
      <w:pPr>
        <w:keepNext/>
        <w:keepLines/>
        <w:spacing w:line="42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420" w:lineRule="exact"/>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6.开标方式</w:t>
      </w:r>
    </w:p>
    <w:p>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满足国务院、政府及招标人公司最新防疫政策要求，可以来现场参与</w:t>
      </w:r>
      <w:r>
        <w:rPr>
          <w:rFonts w:hint="eastAsia" w:ascii="宋体" w:hAnsi="宋体" w:eastAsia="宋体" w:cs="宋体"/>
          <w:color w:val="000000"/>
          <w:sz w:val="24"/>
          <w:szCs w:val="24"/>
          <w:highlight w:val="yellow"/>
        </w:rPr>
        <w:t>开</w:t>
      </w:r>
      <w:r>
        <w:rPr>
          <w:rFonts w:ascii="宋体" w:hAnsi="宋体" w:eastAsia="宋体" w:cs="宋体"/>
          <w:color w:val="000000"/>
          <w:sz w:val="24"/>
          <w:szCs w:val="24"/>
          <w:highlight w:val="yellow"/>
        </w:rPr>
        <w:t>标。</w:t>
      </w:r>
    </w:p>
    <w:p>
      <w:pPr>
        <w:spacing w:line="420" w:lineRule="exact"/>
        <w:ind w:firstLine="480" w:firstLineChars="200"/>
        <w:rPr>
          <w:rFonts w:ascii="宋体" w:hAnsi="宋体" w:eastAsia="宋体" w:cs="宋体"/>
          <w:color w:val="000000"/>
          <w:sz w:val="24"/>
          <w:szCs w:val="24"/>
          <w:highlight w:val="yellow"/>
        </w:rPr>
      </w:pPr>
      <w:r>
        <w:rPr>
          <w:rFonts w:ascii="宋体" w:hAnsi="宋体" w:eastAsia="宋体" w:cs="宋体"/>
          <w:color w:val="000000"/>
          <w:sz w:val="24"/>
          <w:szCs w:val="24"/>
          <w:highlight w:val="yellow"/>
        </w:rPr>
        <w:t>其他情况请选择视频</w:t>
      </w:r>
      <w:r>
        <w:rPr>
          <w:rFonts w:hint="eastAsia" w:ascii="宋体" w:hAnsi="宋体" w:eastAsia="宋体" w:cs="宋体"/>
          <w:color w:val="000000"/>
          <w:sz w:val="24"/>
          <w:szCs w:val="24"/>
          <w:highlight w:val="yellow"/>
        </w:rPr>
        <w:t>参与开标，视频链接会在报名结束后统一通知。</w:t>
      </w:r>
    </w:p>
    <w:p>
      <w:pPr>
        <w:spacing w:line="420" w:lineRule="exact"/>
        <w:ind w:left="210" w:leftChars="100" w:firstLine="240" w:firstLineChars="100"/>
        <w:jc w:val="left"/>
        <w:rPr>
          <w:rFonts w:ascii="宋体" w:hAnsi="宋体" w:eastAsia="宋体" w:cs="宋体"/>
          <w:bCs/>
          <w:sz w:val="24"/>
          <w:szCs w:val="24"/>
        </w:rPr>
      </w:pPr>
      <w:bookmarkStart w:id="6" w:name="_Toc33285487"/>
      <w:bookmarkStart w:id="7" w:name="_Toc33266627"/>
      <w:bookmarkStart w:id="8" w:name="_Toc33266950"/>
      <w:bookmarkStart w:id="9" w:name="_Toc33266914"/>
      <w:bookmarkStart w:id="10" w:name="_Toc33267001"/>
      <w:bookmarkStart w:id="11" w:name="_Toc33265752"/>
      <w:bookmarkStart w:id="12" w:name="_Toc33265653"/>
      <w:r>
        <w:rPr>
          <w:rFonts w:hint="eastAsia" w:ascii="宋体" w:hAnsi="宋体" w:eastAsia="宋体" w:cs="宋体"/>
          <w:bCs/>
          <w:sz w:val="24"/>
          <w:szCs w:val="24"/>
        </w:rPr>
        <w:t>六、评价原则</w:t>
      </w:r>
      <w:bookmarkEnd w:id="6"/>
      <w:bookmarkEnd w:id="7"/>
      <w:bookmarkEnd w:id="8"/>
      <w:bookmarkEnd w:id="9"/>
      <w:bookmarkEnd w:id="10"/>
      <w:bookmarkEnd w:id="11"/>
      <w:bookmarkEnd w:id="12"/>
      <w:bookmarkStart w:id="13" w:name="_Toc395116633"/>
    </w:p>
    <w:bookmarkEnd w:id="13"/>
    <w:p>
      <w:pPr>
        <w:spacing w:line="420" w:lineRule="exact"/>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420" w:lineRule="exact"/>
        <w:ind w:firstLine="480" w:firstLineChars="200"/>
        <w:rPr>
          <w:rFonts w:ascii="Calibri" w:hAnsi="宋体"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b/>
          <w:bCs/>
          <w:sz w:val="24"/>
          <w:szCs w:val="24"/>
        </w:rPr>
        <w:t>技术标入围后，原则上合理最低价中标</w:t>
      </w:r>
      <w:bookmarkStart w:id="14" w:name="_Toc33265753"/>
      <w:bookmarkStart w:id="15" w:name="_Toc33265654"/>
      <w:bookmarkStart w:id="16" w:name="_Toc33285489"/>
      <w:bookmarkStart w:id="17" w:name="_Toc33266951"/>
      <w:bookmarkStart w:id="18" w:name="_Toc33266915"/>
      <w:bookmarkStart w:id="19" w:name="_Toc395116634"/>
      <w:bookmarkStart w:id="20" w:name="_Toc33267002"/>
      <w:bookmarkStart w:id="21" w:name="_Toc33266628"/>
      <w:r>
        <w:rPr>
          <w:rFonts w:hint="eastAsia" w:ascii="宋体" w:hAnsi="宋体" w:eastAsia="宋体" w:cs="Times New Roman"/>
          <w:sz w:val="24"/>
          <w:szCs w:val="24"/>
        </w:rPr>
        <w:t>。</w:t>
      </w:r>
      <w:r>
        <w:rPr>
          <w:rFonts w:hint="eastAsia" w:ascii="宋体" w:hAnsi="宋体" w:eastAsia="宋体" w:cs="Times New Roman"/>
          <w:color w:val="000000"/>
          <w:sz w:val="24"/>
          <w:szCs w:val="24"/>
        </w:rPr>
        <w:t>本着公平、公正、公开的原则，在通过技术标</w:t>
      </w:r>
      <w:r>
        <w:rPr>
          <w:rFonts w:hint="eastAsia" w:ascii="Calibri" w:hAnsi="Calibri" w:eastAsia="宋体" w:cs="Times New Roman"/>
          <w:color w:val="000000"/>
          <w:sz w:val="24"/>
          <w:szCs w:val="24"/>
        </w:rPr>
        <w:t>综合评审后</w:t>
      </w:r>
      <w:r>
        <w:rPr>
          <w:rFonts w:hint="eastAsia" w:ascii="宋体" w:hAnsi="宋体" w:eastAsia="宋体" w:cs="Times New Roman"/>
          <w:color w:val="000000"/>
          <w:sz w:val="24"/>
          <w:szCs w:val="24"/>
        </w:rPr>
        <w:t>入围的前提下，选择合理最低价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14"/>
    <w:bookmarkEnd w:id="15"/>
    <w:bookmarkEnd w:id="16"/>
    <w:bookmarkEnd w:id="17"/>
    <w:bookmarkEnd w:id="18"/>
    <w:bookmarkEnd w:id="19"/>
    <w:bookmarkEnd w:id="20"/>
    <w:bookmarkEnd w:id="21"/>
    <w:p>
      <w:pPr>
        <w:spacing w:line="420" w:lineRule="exact"/>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评标流程：</w:t>
      </w:r>
    </w:p>
    <w:p>
      <w:pPr>
        <w:pStyle w:val="2"/>
        <w:ind w:firstLine="482" w:firstLineChars="200"/>
        <w:rPr>
          <w:rFonts w:eastAsia="宋体"/>
        </w:rPr>
      </w:pPr>
      <w:r>
        <w:rPr>
          <w:rFonts w:hint="eastAsia" w:hAnsi="宋体" w:eastAsia="宋体" w:cs="Times New Roman"/>
          <w:b/>
          <w:color w:val="000000"/>
          <w:sz w:val="24"/>
          <w:szCs w:val="24"/>
        </w:rPr>
        <w:t>投标文件包含《投标文件（资质标）》、《投标文件（技术标）》、《投标文件（商务标）》（开标一览表），共计三个文件。</w:t>
      </w:r>
    </w:p>
    <w:p>
      <w:pPr>
        <w:numPr>
          <w:ilvl w:val="0"/>
          <w:numId w:val="4"/>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pPr>
        <w:numPr>
          <w:ilvl w:val="0"/>
          <w:numId w:val="5"/>
        </w:numPr>
        <w:spacing w:line="420" w:lineRule="exact"/>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通过应标资格审查的单位可以进入投标环节，按照“SRM系统供应商用户手册（附件1</w:t>
      </w:r>
      <w:r>
        <w:rPr>
          <w:rFonts w:ascii="宋体" w:hAnsi="宋体" w:eastAsia="宋体" w:cs="Times New Roman"/>
          <w:b/>
          <w:color w:val="000000"/>
          <w:sz w:val="24"/>
          <w:szCs w:val="24"/>
        </w:rPr>
        <w:t>6</w:t>
      </w:r>
      <w:r>
        <w:rPr>
          <w:rFonts w:hint="eastAsia" w:ascii="宋体" w:hAnsi="宋体" w:eastAsia="宋体" w:cs="Times New Roman"/>
          <w:b/>
          <w:color w:val="000000"/>
          <w:sz w:val="24"/>
          <w:szCs w:val="24"/>
        </w:rPr>
        <w:t>）”，在重汽e采通平台投递电子标书（包含资质标、技术标、商务标）</w:t>
      </w:r>
      <w:r>
        <w:rPr>
          <w:rFonts w:hint="eastAsia" w:hAnsi="宋体" w:eastAsia="宋体" w:cs="Times New Roman"/>
          <w:b/>
          <w:color w:val="000000"/>
          <w:sz w:val="24"/>
          <w:szCs w:val="24"/>
        </w:rPr>
        <w:t>。</w:t>
      </w:r>
      <w:r>
        <w:rPr>
          <w:rFonts w:hint="eastAsia" w:ascii="宋体" w:hAnsi="宋体" w:eastAsia="宋体" w:cs="Times New Roman"/>
          <w:b/>
          <w:color w:val="000000"/>
          <w:sz w:val="24"/>
          <w:szCs w:val="24"/>
        </w:rPr>
        <w:t>没有通过应标资质审查的单位不能进入投标环节；</w:t>
      </w:r>
    </w:p>
    <w:p>
      <w:pPr>
        <w:numPr>
          <w:ilvl w:val="0"/>
          <w:numId w:val="6"/>
        </w:numPr>
        <w:spacing w:line="420" w:lineRule="exact"/>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资质标评审：资质标审核通过的单位，可以进入技术标评审；</w:t>
      </w:r>
    </w:p>
    <w:p>
      <w:pPr>
        <w:numPr>
          <w:ilvl w:val="0"/>
          <w:numId w:val="6"/>
        </w:numPr>
        <w:spacing w:line="420" w:lineRule="exact"/>
        <w:rPr>
          <w:rFonts w:ascii="宋体" w:hAnsi="宋体" w:eastAsia="宋体" w:cs="Times New Roman"/>
          <w:b/>
          <w:sz w:val="24"/>
          <w:szCs w:val="24"/>
        </w:rPr>
      </w:pPr>
      <w:r>
        <w:rPr>
          <w:rFonts w:hint="eastAsia" w:ascii="宋体" w:hAnsi="宋体" w:eastAsia="宋体" w:cs="Times New Roman"/>
          <w:b/>
          <w:color w:val="000000"/>
          <w:sz w:val="24"/>
          <w:szCs w:val="24"/>
        </w:rPr>
        <w:t>技术标评审</w:t>
      </w:r>
      <w:r>
        <w:rPr>
          <w:rFonts w:hint="eastAsia" w:ascii="宋体" w:hAnsi="宋体" w:eastAsia="宋体" w:cs="Times New Roman"/>
          <w:b/>
          <w:sz w:val="24"/>
          <w:szCs w:val="24"/>
        </w:rPr>
        <w:t>：技术标评标专家组，通过重汽e采通，对各投标人的</w:t>
      </w:r>
      <w:r>
        <w:rPr>
          <w:rFonts w:hint="eastAsia" w:hAnsi="宋体" w:eastAsia="宋体" w:cs="Times New Roman"/>
          <w:b/>
          <w:sz w:val="24"/>
          <w:szCs w:val="24"/>
        </w:rPr>
        <w:t>《投标文件（技术标）》进行综合评审；评审期间产生的</w:t>
      </w:r>
      <w:r>
        <w:rPr>
          <w:rFonts w:hint="eastAsia" w:ascii="宋体" w:hAnsi="宋体" w:eastAsia="宋体" w:cs="Times New Roman"/>
          <w:b/>
          <w:sz w:val="24"/>
          <w:szCs w:val="24"/>
        </w:rPr>
        <w:t>技术澄清均由投标人在重汽e采通平台内完成提交；评审合格的单位进入商务标评审环节，评审不合格的单位被淘汰；</w:t>
      </w:r>
    </w:p>
    <w:p>
      <w:pPr>
        <w:pStyle w:val="2"/>
        <w:ind w:firstLine="482" w:firstLineChars="200"/>
        <w:rPr>
          <w:rFonts w:hAnsi="宋体" w:eastAsia="宋体" w:cs="Times New Roman"/>
          <w:b/>
          <w:sz w:val="24"/>
          <w:szCs w:val="24"/>
        </w:rPr>
      </w:pPr>
      <w:r>
        <w:rPr>
          <w:rFonts w:hint="eastAsia" w:hAnsi="宋体" w:eastAsia="宋体" w:cs="Times New Roman"/>
          <w:b/>
          <w:sz w:val="24"/>
          <w:szCs w:val="24"/>
          <w:highlight w:val="yellow"/>
        </w:rPr>
        <w:t>具体技术标评分标准见附件14；</w:t>
      </w:r>
    </w:p>
    <w:p>
      <w:pPr>
        <w:numPr>
          <w:ilvl w:val="0"/>
          <w:numId w:val="7"/>
        </w:numPr>
        <w:spacing w:line="420" w:lineRule="exact"/>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p>
    <w:p>
      <w:pPr>
        <w:spacing w:line="420" w:lineRule="exact"/>
        <w:ind w:left="420"/>
        <w:rPr>
          <w:rFonts w:ascii="宋体" w:hAnsi="宋体" w:eastAsia="宋体" w:cs="Times New Roman"/>
          <w:b/>
          <w:sz w:val="24"/>
          <w:szCs w:val="24"/>
          <w:highlight w:val="yellow"/>
        </w:rPr>
      </w:pPr>
      <w:r>
        <w:rPr>
          <w:rFonts w:hint="eastAsia" w:ascii="宋体" w:hAnsi="宋体" w:eastAsia="宋体" w:cs="Times New Roman"/>
          <w:b/>
          <w:sz w:val="24"/>
          <w:szCs w:val="24"/>
          <w:highlight w:val="yellow"/>
        </w:rPr>
        <w:t xml:space="preserve"> 注意：投标人均需要</w:t>
      </w:r>
      <w:r>
        <w:rPr>
          <w:rFonts w:hint="eastAsia" w:ascii="宋体" w:hAnsi="宋体" w:eastAsia="宋体" w:cs="Times New Roman"/>
          <w:b/>
          <w:sz w:val="24"/>
          <w:szCs w:val="24"/>
          <w:highlight w:val="green"/>
        </w:rPr>
        <w:t>自带笔记本电脑</w:t>
      </w:r>
      <w:r>
        <w:rPr>
          <w:rFonts w:hint="eastAsia" w:ascii="宋体" w:hAnsi="宋体" w:eastAsia="宋体" w:cs="Times New Roman"/>
          <w:b/>
          <w:sz w:val="24"/>
          <w:szCs w:val="24"/>
          <w:highlight w:val="yellow"/>
        </w:rPr>
        <w:t>在重汽e采通进行自主投标和提交澄清函；投标和提交澄清函均有时间限制，到点未提交的按无效处理。</w:t>
      </w:r>
    </w:p>
    <w:p>
      <w:pPr>
        <w:numPr>
          <w:ilvl w:val="0"/>
          <w:numId w:val="8"/>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r>
        <w:rPr>
          <w:rFonts w:hint="eastAsia" w:ascii="Calibri" w:hAnsi="Calibri" w:eastAsia="宋体" w:cs="Times New Roman"/>
          <w:color w:val="000000"/>
          <w:sz w:val="24"/>
          <w:szCs w:val="24"/>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Courier New" w:eastAsia="宋体" w:cs="Times New Roman"/>
          <w:b/>
          <w:sz w:val="24"/>
          <w:szCs w:val="20"/>
        </w:rPr>
      </w:pPr>
      <w:r>
        <w:rPr>
          <w:rFonts w:hint="eastAsia" w:ascii="宋体" w:hAnsi="Courier New" w:eastAsia="宋体" w:cs="Times New Roman"/>
          <w:b/>
          <w:sz w:val="24"/>
          <w:szCs w:val="20"/>
          <w:lang w:val="en-US" w:eastAsia="zh-CN"/>
        </w:rPr>
        <w:t>4</w:t>
      </w:r>
      <w:r>
        <w:rPr>
          <w:rFonts w:hint="eastAsia" w:ascii="宋体" w:hAnsi="Courier New" w:eastAsia="宋体" w:cs="Times New Roman"/>
          <w:b/>
          <w:sz w:val="24"/>
          <w:szCs w:val="20"/>
        </w:rPr>
        <w:t>.中标人由于履行义务的能力或信用有严重缺陷，招标人有权取消其中标资格，招标人将从中标候选单位中依序重新确定中标人，或重新组织招标。</w:t>
      </w:r>
    </w:p>
    <w:p>
      <w:pPr>
        <w:pStyle w:val="12"/>
        <w:keepNext w:val="0"/>
        <w:keepLines w:val="0"/>
        <w:pageBreakBefore w:val="0"/>
        <w:kinsoku/>
        <w:wordWrap/>
        <w:overflowPunct/>
        <w:topLinePunct w:val="0"/>
        <w:autoSpaceDE/>
        <w:autoSpaceDN/>
        <w:bidi w:val="0"/>
        <w:snapToGrid/>
        <w:spacing w:line="360" w:lineRule="auto"/>
        <w:ind w:firstLine="482" w:firstLineChars="200"/>
        <w:rPr>
          <w:rFonts w:hint="eastAsia"/>
        </w:rPr>
      </w:pPr>
      <w:r>
        <w:rPr>
          <w:rFonts w:hint="eastAsia" w:ascii="宋体" w:hAnsi="Courier New" w:eastAsia="宋体" w:cs="Times New Roman"/>
          <w:b/>
          <w:sz w:val="24"/>
          <w:szCs w:val="20"/>
          <w:lang w:val="en-US" w:eastAsia="zh-CN"/>
        </w:rPr>
        <w:t>5.</w:t>
      </w:r>
      <w:r>
        <w:rPr>
          <w:rFonts w:hint="eastAsia" w:ascii="宋体" w:hAnsi="宋体" w:eastAsia="宋体" w:cs="宋体"/>
          <w:b/>
          <w:sz w:val="24"/>
          <w:szCs w:val="24"/>
          <w:lang w:val="en-US" w:eastAsia="zh-CN"/>
        </w:rPr>
        <w:t>合同以双方最终签署的版本为准</w:t>
      </w:r>
      <w:r>
        <w:rPr>
          <w:rFonts w:hint="eastAsia" w:ascii="宋体" w:hAnsi="宋体" w:eastAsia="宋体" w:cs="宋体"/>
          <w:b/>
          <w:sz w:val="24"/>
          <w:szCs w:val="24"/>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2"/>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（11）</w:t>
      </w:r>
      <w:r>
        <w:rPr>
          <w:rFonts w:hint="eastAsia" w:ascii="宋体" w:hAnsi="Courier New" w:eastAsia="宋体" w:cs="Times New Roman"/>
          <w:sz w:val="24"/>
          <w:szCs w:val="24"/>
        </w:rPr>
        <w:t>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2"/>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Calibri" w:hAnsi="Calibri" w:eastAsia="宋体" w:cs="Times New Roman"/>
          <w:color w:val="000000"/>
          <w:sz w:val="24"/>
          <w:szCs w:val="24"/>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keepNext/>
        <w:keepLines/>
        <w:spacing w:line="420" w:lineRule="exact"/>
        <w:outlineLvl w:val="1"/>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本次招标最终解释权归中国重汽集团济南动力有限公司。</w:t>
      </w:r>
    </w:p>
    <w:p>
      <w:pPr>
        <w:pStyle w:val="2"/>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
        <w:numPr>
          <w:ilvl w:val="255"/>
          <w:numId w:val="0"/>
        </w:numPr>
        <w:jc w:val="center"/>
        <w:outlineLvl w:val="0"/>
        <w:rPr>
          <w:rFonts w:ascii="Calibri" w:hAnsi="Calibri" w:eastAsia="宋体" w:cs="Times New Roman"/>
          <w:b/>
          <w:bCs/>
          <w:kern w:val="44"/>
          <w:sz w:val="36"/>
          <w:szCs w:val="44"/>
        </w:rPr>
      </w:pPr>
      <w:bookmarkStart w:id="22" w:name="_Toc22879"/>
      <w:r>
        <w:rPr>
          <w:rFonts w:hint="eastAsia" w:ascii="Calibri" w:hAnsi="Calibri" w:eastAsia="宋体" w:cs="Times New Roman"/>
          <w:b/>
          <w:bCs/>
          <w:kern w:val="44"/>
          <w:sz w:val="36"/>
          <w:szCs w:val="44"/>
        </w:rPr>
        <w:t>第三部分 投标文件编制</w:t>
      </w:r>
      <w:bookmarkEnd w:id="22"/>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1投标人所投标设备详细技术资料清单，在标书中列示说明；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2投标人完整的技术支持与售后服务实施方案，在标书中列示说明，包含但不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3投标人关于包装、运输、检验、交付、安装、调试、培训等方案，均需在标</w:t>
      </w:r>
      <w:r>
        <w:rPr>
          <w:rFonts w:hint="eastAsia" w:ascii="宋体" w:hAnsi="Courier New" w:eastAsia="宋体" w:cs="Times New Roman"/>
          <w:color w:val="000000"/>
          <w:sz w:val="24"/>
          <w:szCs w:val="24"/>
        </w:rPr>
        <w:t>书中列示说明。</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pPr>
        <w:spacing w:line="360" w:lineRule="auto"/>
        <w:ind w:firstLine="480" w:firstLineChars="200"/>
        <w:rPr>
          <w:rFonts w:hint="eastAsia" w:ascii="宋体" w:hAnsi="Courier New" w:eastAsia="宋体" w:cs="Times New Roman"/>
          <w:bCs/>
          <w:color w:val="000000"/>
          <w:sz w:val="24"/>
          <w:szCs w:val="24"/>
          <w:lang w:val="en-US" w:eastAsia="zh-CN"/>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Courier New" w:eastAsia="宋体" w:cs="Times New Roman"/>
          <w:bCs/>
          <w:color w:val="000000"/>
          <w:sz w:val="24"/>
          <w:szCs w:val="24"/>
        </w:rPr>
        <w:t>个</w:t>
      </w:r>
      <w:r>
        <w:rPr>
          <w:rFonts w:hint="eastAsia" w:ascii="宋体" w:hAnsi="Courier New" w:eastAsia="宋体" w:cs="Times New Roman"/>
          <w:bCs/>
          <w:color w:val="000000"/>
          <w:sz w:val="24"/>
          <w:szCs w:val="24"/>
          <w:lang w:val="en-US" w:eastAsia="zh-CN"/>
        </w:rPr>
        <w:t>文件。</w:t>
      </w:r>
    </w:p>
    <w:p>
      <w:pPr>
        <w:spacing w:line="360" w:lineRule="auto"/>
        <w:ind w:firstLine="482" w:firstLineChars="200"/>
        <w:rPr>
          <w:rFonts w:hint="default" w:ascii="宋体" w:hAnsi="Courier New" w:eastAsia="宋体" w:cs="Times New Roman"/>
          <w:bCs/>
          <w:color w:val="000000"/>
          <w:sz w:val="24"/>
          <w:szCs w:val="24"/>
          <w:lang w:val="en-US" w:eastAsia="zh-CN"/>
        </w:rPr>
      </w:pPr>
      <w:r>
        <w:rPr>
          <w:rFonts w:hint="eastAsia" w:ascii="宋体" w:hAnsi="Courier New" w:eastAsia="宋体" w:cs="Times New Roman"/>
          <w:b/>
          <w:bCs w:val="0"/>
          <w:color w:val="000000"/>
          <w:sz w:val="24"/>
          <w:szCs w:val="24"/>
          <w:lang w:val="en-US" w:eastAsia="zh-CN"/>
        </w:rPr>
        <w:t>投标文件的份数要求及投递方式</w:t>
      </w:r>
      <w:r>
        <w:rPr>
          <w:rFonts w:hint="eastAsia" w:ascii="宋体" w:hAnsi="Courier New" w:eastAsia="宋体" w:cs="Times New Roman"/>
          <w:bCs/>
          <w:color w:val="000000"/>
          <w:sz w:val="24"/>
          <w:szCs w:val="24"/>
          <w:lang w:val="en-US" w:eastAsia="zh-CN"/>
        </w:rPr>
        <w:t>，见《投标须知前附表》第3条。</w:t>
      </w:r>
    </w:p>
    <w:p>
      <w:pPr>
        <w:spacing w:line="360" w:lineRule="auto"/>
        <w:ind w:firstLine="480" w:firstLineChars="200"/>
        <w:rPr>
          <w:rFonts w:hint="eastAsia"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w:t>
      </w:r>
      <w:r>
        <w:rPr>
          <w:rFonts w:hint="eastAsia" w:ascii="宋体" w:hAnsi="Courier New" w:eastAsia="宋体" w:cs="Times New Roman"/>
          <w:bCs/>
          <w:color w:val="000000"/>
          <w:sz w:val="24"/>
          <w:szCs w:val="24"/>
          <w:lang w:val="en-US" w:eastAsia="zh-CN"/>
        </w:rPr>
        <w:t>4</w:t>
      </w:r>
      <w:r>
        <w:rPr>
          <w:rFonts w:hint="eastAsia" w:ascii="宋体" w:hAnsi="Courier New" w:eastAsia="宋体" w:cs="Times New Roman"/>
          <w:bCs/>
          <w:color w:val="000000"/>
          <w:sz w:val="24"/>
          <w:szCs w:val="24"/>
        </w:rPr>
        <w:t>，其余未尽事宜请按各单位习惯制定即可。</w:t>
      </w:r>
    </w:p>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lang w:eastAsia="zh-CN"/>
        </w:rPr>
        <w:t>《</w:t>
      </w:r>
      <w:r>
        <w:rPr>
          <w:rFonts w:hint="eastAsia" w:ascii="宋体" w:hAnsi="宋体" w:eastAsia="宋体" w:cs="Times New Roman"/>
          <w:b/>
          <w:bCs/>
          <w:sz w:val="24"/>
          <w:szCs w:val="20"/>
          <w:lang w:val="en-US" w:eastAsia="zh-CN"/>
        </w:rPr>
        <w:t>投标文件（资质标）</w:t>
      </w:r>
      <w:r>
        <w:rPr>
          <w:rFonts w:hint="eastAsia" w:ascii="宋体" w:hAnsi="宋体" w:eastAsia="宋体" w:cs="Times New Roman"/>
          <w:b/>
          <w:bCs/>
          <w:sz w:val="24"/>
          <w:szCs w:val="20"/>
          <w:lang w:eastAsia="zh-CN"/>
        </w:rPr>
        <w:t>》</w:t>
      </w:r>
      <w:r>
        <w:rPr>
          <w:rFonts w:hint="eastAsia" w:ascii="宋体" w:hAnsi="宋体" w:eastAsia="宋体" w:cs="Times New Roman"/>
          <w:b/>
          <w:bCs/>
          <w:sz w:val="24"/>
          <w:szCs w:val="20"/>
        </w:rPr>
        <w:t>包括</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w:t>
      </w:r>
      <w:r>
        <w:rPr>
          <w:rFonts w:hint="eastAsia" w:ascii="宋体" w:hAnsi="宋体" w:eastAsia="宋体" w:cs="Times New Roman"/>
          <w:color w:val="000000"/>
          <w:sz w:val="24"/>
          <w:szCs w:val="24"/>
          <w:lang w:val="en-US" w:eastAsia="zh-CN"/>
        </w:rPr>
        <w:t>被</w:t>
      </w:r>
      <w:r>
        <w:rPr>
          <w:rFonts w:hint="eastAsia" w:ascii="宋体" w:hAnsi="宋体" w:eastAsia="宋体" w:cs="Times New Roman"/>
          <w:color w:val="000000"/>
          <w:sz w:val="24"/>
          <w:szCs w:val="24"/>
        </w:rPr>
        <w:t>授权人参加投标的，需提供法定代表人授权委托书</w:t>
      </w:r>
      <w:r>
        <w:rPr>
          <w:rFonts w:hint="eastAsia" w:ascii="宋体" w:hAnsi="宋体" w:eastAsia="宋体" w:cs="Times New Roman"/>
          <w:b/>
          <w:color w:val="000000"/>
          <w:sz w:val="24"/>
          <w:szCs w:val="24"/>
        </w:rPr>
        <w:t>（含法人身份证和被授权人身份证</w:t>
      </w:r>
      <w:r>
        <w:rPr>
          <w:rFonts w:hint="eastAsia" w:ascii="宋体" w:hAnsi="宋体" w:eastAsia="宋体" w:cs="Times New Roman"/>
          <w:b/>
          <w:color w:val="000000"/>
          <w:sz w:val="24"/>
          <w:szCs w:val="24"/>
          <w:lang w:val="en-US" w:eastAsia="zh-CN"/>
        </w:rPr>
        <w:t>正反面复印件</w:t>
      </w:r>
      <w:r>
        <w:rPr>
          <w:rFonts w:hint="eastAsia" w:ascii="宋体" w:hAnsi="宋体" w:eastAsia="宋体" w:cs="Times New Roman"/>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1"/>
          <w:highlight w:val="none"/>
          <w:lang w:bidi="en-US"/>
        </w:rPr>
        <w:t>近</w:t>
      </w:r>
      <w:r>
        <w:rPr>
          <w:rFonts w:hint="eastAsia" w:ascii="宋体" w:hAnsi="宋体" w:eastAsia="宋体" w:cs="宋体"/>
          <w:kern w:val="0"/>
          <w:sz w:val="24"/>
          <w:szCs w:val="21"/>
          <w:highlight w:val="yellow"/>
          <w:u w:val="single"/>
          <w:lang w:val="en-US" w:eastAsia="zh-CN" w:bidi="en-US"/>
        </w:rPr>
        <w:t>6</w:t>
      </w:r>
      <w:r>
        <w:rPr>
          <w:rFonts w:hint="eastAsia" w:ascii="宋体" w:hAnsi="宋体" w:eastAsia="宋体" w:cs="宋体"/>
          <w:color w:val="auto"/>
          <w:kern w:val="0"/>
          <w:sz w:val="24"/>
          <w:szCs w:val="21"/>
          <w:highlight w:val="yellow"/>
          <w:u w:val="single"/>
          <w:lang w:bidi="en-US"/>
        </w:rPr>
        <w:t>个月</w:t>
      </w:r>
      <w:r>
        <w:rPr>
          <w:rFonts w:hint="eastAsia" w:ascii="宋体" w:hAnsi="宋体" w:eastAsia="宋体" w:cs="宋体"/>
          <w:color w:val="auto"/>
          <w:kern w:val="0"/>
          <w:sz w:val="24"/>
          <w:szCs w:val="21"/>
          <w:highlight w:val="yellow"/>
          <w:u w:val="single"/>
          <w:lang w:val="en-US" w:eastAsia="zh-CN" w:bidi="en-US"/>
        </w:rPr>
        <w:t>及以上</w:t>
      </w:r>
      <w:r>
        <w:rPr>
          <w:rFonts w:hint="eastAsia" w:ascii="宋体" w:hAnsi="宋体" w:eastAsia="宋体" w:cs="宋体"/>
          <w:kern w:val="0"/>
          <w:sz w:val="24"/>
          <w:szCs w:val="21"/>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Times New Roman"/>
          <w:color w:val="000000"/>
          <w:sz w:val="24"/>
          <w:szCs w:val="24"/>
          <w:highlight w:val="green"/>
        </w:rPr>
      </w:pPr>
      <w:r>
        <w:rPr>
          <w:rFonts w:hint="eastAsia" w:ascii="宋体" w:hAnsi="宋体" w:eastAsia="宋体" w:cs="Times New Roman"/>
          <w:color w:val="000000"/>
          <w:sz w:val="24"/>
          <w:szCs w:val="24"/>
        </w:rPr>
        <w:t>1.4</w:t>
      </w:r>
      <w:r>
        <w:rPr>
          <w:rFonts w:hint="eastAsia" w:hAnsi="宋体" w:eastAsia="宋体" w:cs="宋体"/>
          <w:color w:val="000000"/>
          <w:sz w:val="24"/>
          <w:szCs w:val="24"/>
          <w:shd w:val="clear" w:fill="FFFF00"/>
          <w:lang w:val="en-US" w:eastAsia="zh-CN"/>
        </w:rPr>
        <w:t>自</w:t>
      </w:r>
      <w:r>
        <w:rPr>
          <w:rFonts w:hint="eastAsia" w:hAnsi="宋体" w:eastAsia="宋体" w:cs="宋体"/>
          <w:sz w:val="24"/>
          <w:szCs w:val="24"/>
          <w:highlight w:val="yellow"/>
          <w:shd w:val="clear" w:fill="FFFF00"/>
        </w:rPr>
        <w:t>2</w:t>
      </w:r>
      <w:r>
        <w:rPr>
          <w:rFonts w:hint="eastAsia" w:hAnsi="宋体" w:eastAsia="宋体" w:cs="宋体"/>
          <w:sz w:val="24"/>
          <w:szCs w:val="24"/>
          <w:highlight w:val="yellow"/>
        </w:rPr>
        <w:t>019年1月1日</w:t>
      </w:r>
      <w:r>
        <w:rPr>
          <w:rFonts w:hint="eastAsia" w:hAnsi="宋体" w:eastAsia="宋体" w:cs="宋体"/>
          <w:sz w:val="24"/>
          <w:szCs w:val="24"/>
        </w:rPr>
        <w:t>至今</w:t>
      </w:r>
      <w:r>
        <w:rPr>
          <w:rFonts w:hint="eastAsia" w:ascii="宋体" w:hAnsi="宋体" w:eastAsia="宋体" w:cs="Times New Roman"/>
          <w:color w:val="000000"/>
          <w:sz w:val="24"/>
          <w:szCs w:val="24"/>
        </w:rPr>
        <w:t>（连续三年）</w:t>
      </w:r>
      <w:r>
        <w:rPr>
          <w:rFonts w:hint="eastAsia" w:ascii="宋体" w:hAnsi="宋体" w:eastAsia="宋体" w:cs="Times New Roman"/>
          <w:b w:val="0"/>
          <w:bCs w:val="0"/>
          <w:color w:val="000000"/>
          <w:sz w:val="24"/>
          <w:szCs w:val="24"/>
        </w:rPr>
        <w:t>经第三方机构审计</w:t>
      </w:r>
      <w:r>
        <w:rPr>
          <w:rFonts w:hint="eastAsia" w:ascii="宋体" w:hAnsi="宋体" w:eastAsia="宋体" w:cs="Times New Roman"/>
          <w:color w:val="000000"/>
          <w:sz w:val="24"/>
          <w:szCs w:val="24"/>
        </w:rPr>
        <w:t>的财务报表（资产负债表、损益表、现金流量表）复印件，同时填写投标人基本情况及资产情况汇总表（附件3）</w:t>
      </w:r>
      <w:r>
        <w:rPr>
          <w:rFonts w:hint="eastAsia" w:ascii="宋体" w:hAnsi="宋体" w:eastAsia="宋体" w:cs="Times New Roman"/>
          <w:b w:val="0"/>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1.6投标单位在国家企业信用信息公示系统中无与本项目有关的行政处罚、经营异常和失信信息的声明；</w:t>
      </w:r>
    </w:p>
    <w:p>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1.7企业信用证明材料（中国人民银行企业征信报告）；</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8</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9企业最近半年的完税证明；</w:t>
      </w:r>
    </w:p>
    <w:p>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10</w:t>
      </w:r>
      <w:r>
        <w:rPr>
          <w:rFonts w:hint="eastAsia" w:ascii="宋体" w:hAnsi="宋体" w:eastAsia="宋体" w:cs="Times New Roman"/>
          <w:color w:val="000000"/>
          <w:sz w:val="24"/>
          <w:szCs w:val="24"/>
        </w:rPr>
        <w:t>保密承诺函（附件4）</w:t>
      </w:r>
      <w:r>
        <w:rPr>
          <w:rFonts w:hint="eastAsia" w:ascii="宋体" w:hAnsi="宋体" w:eastAsia="宋体" w:cs="Times New Roman"/>
          <w:color w:val="000000"/>
          <w:sz w:val="24"/>
          <w:szCs w:val="24"/>
          <w:lang w:eastAsia="zh-CN"/>
        </w:rPr>
        <w:t>；</w:t>
      </w:r>
    </w:p>
    <w:p>
      <w:pPr>
        <w:spacing w:line="360" w:lineRule="auto"/>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1.11企业自2019年1月1日至今</w:t>
      </w:r>
      <w:r>
        <w:rPr>
          <w:rFonts w:hint="eastAsia" w:ascii="宋体" w:hAnsi="宋体" w:eastAsia="宋体" w:cs="Times New Roman"/>
          <w:color w:val="000000"/>
          <w:sz w:val="24"/>
          <w:szCs w:val="24"/>
        </w:rPr>
        <w:t>同类项目业绩</w:t>
      </w:r>
      <w:r>
        <w:rPr>
          <w:rFonts w:hint="eastAsia" w:ascii="宋体" w:hAnsi="宋体" w:eastAsia="宋体" w:cs="Times New Roman"/>
          <w:color w:val="000000"/>
          <w:sz w:val="24"/>
          <w:szCs w:val="24"/>
          <w:lang w:val="en-US" w:eastAsia="zh-CN"/>
        </w:rPr>
        <w:t>证明；</w:t>
      </w:r>
    </w:p>
    <w:p>
      <w:pPr>
        <w:spacing w:line="360" w:lineRule="auto"/>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1.12投标保证金缴纳凭证。</w:t>
      </w:r>
    </w:p>
    <w:p>
      <w:pPr>
        <w:spacing w:line="360" w:lineRule="auto"/>
        <w:ind w:firstLine="482" w:firstLineChars="200"/>
        <w:rPr>
          <w:rFonts w:ascii="宋体" w:hAnsi="Calibri" w:eastAsia="宋体" w:cs="Times New Roman"/>
          <w:b/>
          <w:bCs/>
          <w:sz w:val="24"/>
          <w:szCs w:val="20"/>
          <w:highlight w:val="none"/>
        </w:rPr>
      </w:pPr>
      <w:r>
        <w:rPr>
          <w:rFonts w:ascii="宋体" w:hAnsi="宋体" w:eastAsia="宋体" w:cs="Times New Roman"/>
          <w:b/>
          <w:bCs/>
          <w:sz w:val="24"/>
          <w:szCs w:val="20"/>
          <w:highlight w:val="none"/>
        </w:rPr>
        <w:t xml:space="preserve">2 </w:t>
      </w:r>
      <w:r>
        <w:rPr>
          <w:rFonts w:hint="eastAsia" w:eastAsia="宋体" w:cs="宋体"/>
          <w:b/>
          <w:color w:val="auto"/>
          <w:sz w:val="24"/>
          <w:szCs w:val="28"/>
          <w:highlight w:val="none"/>
        </w:rPr>
        <w:t>《投标文件（技术标）》</w:t>
      </w:r>
      <w:r>
        <w:rPr>
          <w:rFonts w:hint="eastAsia" w:ascii="宋体" w:hAnsi="宋体" w:eastAsia="宋体" w:cs="Times New Roman"/>
          <w:b/>
          <w:bCs/>
          <w:sz w:val="24"/>
          <w:szCs w:val="20"/>
          <w:highlight w:val="none"/>
        </w:rPr>
        <w:t>：</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lang w:val="en-US" w:eastAsia="zh-CN"/>
        </w:rPr>
        <w:t>自2019年1月1日至今</w:t>
      </w:r>
      <w:r>
        <w:rPr>
          <w:rFonts w:hint="eastAsia" w:ascii="宋体" w:hAnsi="宋体" w:eastAsia="宋体" w:cs="Times New Roman"/>
          <w:color w:val="000000"/>
          <w:sz w:val="24"/>
          <w:szCs w:val="24"/>
        </w:rPr>
        <w:t>同类项目业绩一览表（附件6）及有效合同复印件</w:t>
      </w:r>
      <w:r>
        <w:rPr>
          <w:rFonts w:hint="eastAsia" w:ascii="宋体" w:hAnsi="宋体" w:eastAsia="宋体" w:cs="Times New Roman"/>
          <w:color w:val="000000"/>
          <w:sz w:val="24"/>
          <w:szCs w:val="24"/>
          <w:highlight w:val="green"/>
        </w:rPr>
        <w:t>，</w:t>
      </w:r>
      <w:r>
        <w:rPr>
          <w:rFonts w:hint="eastAsia" w:ascii="宋体" w:hAnsi="宋体" w:eastAsia="宋体" w:cs="Times New Roman"/>
          <w:b/>
          <w:color w:val="000000"/>
          <w:sz w:val="24"/>
          <w:szCs w:val="24"/>
          <w:highlight w:val="green"/>
        </w:rPr>
        <w:t>若</w:t>
      </w:r>
      <w:r>
        <w:rPr>
          <w:rFonts w:hint="eastAsia" w:ascii="宋体" w:hAnsi="宋体" w:eastAsia="宋体" w:cs="Times New Roman"/>
          <w:b/>
          <w:color w:val="000000"/>
          <w:sz w:val="24"/>
          <w:szCs w:val="24"/>
          <w:highlight w:val="green"/>
          <w:lang w:val="en-US" w:eastAsia="zh-CN"/>
        </w:rPr>
        <w:t>未</w:t>
      </w:r>
      <w:r>
        <w:rPr>
          <w:rFonts w:hint="eastAsia" w:ascii="宋体" w:hAnsi="宋体" w:eastAsia="宋体" w:cs="Times New Roman"/>
          <w:b/>
          <w:color w:val="000000"/>
          <w:sz w:val="24"/>
          <w:szCs w:val="24"/>
          <w:highlight w:val="green"/>
        </w:rPr>
        <w:t>提供相应业绩证明，</w:t>
      </w:r>
      <w:r>
        <w:rPr>
          <w:rFonts w:hint="eastAsia" w:ascii="宋体" w:hAnsi="宋体" w:eastAsia="宋体" w:cs="Times New Roman"/>
          <w:b/>
          <w:color w:val="000000"/>
          <w:sz w:val="24"/>
          <w:szCs w:val="24"/>
          <w:highlight w:val="green"/>
          <w:lang w:val="en-US" w:eastAsia="zh-CN"/>
        </w:rPr>
        <w:t>根据技术标评分规则，</w:t>
      </w:r>
      <w:r>
        <w:rPr>
          <w:rFonts w:hint="eastAsia" w:ascii="宋体" w:hAnsi="宋体" w:eastAsia="宋体" w:cs="Times New Roman"/>
          <w:b/>
          <w:color w:val="000000"/>
          <w:sz w:val="24"/>
          <w:szCs w:val="24"/>
          <w:highlight w:val="green"/>
        </w:rPr>
        <w:t>将影响现场评标专家组对投标单位业绩判定打分；</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2.6投标产品技术支持材料；</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pPr>
        <w:spacing w:line="360" w:lineRule="auto"/>
        <w:ind w:firstLine="482" w:firstLineChars="200"/>
        <w:rPr>
          <w:rFonts w:ascii="宋体" w:hAnsi="Calibri" w:eastAsia="宋体" w:cs="Times New Roman"/>
          <w:b/>
          <w:bCs/>
          <w:sz w:val="24"/>
          <w:szCs w:val="20"/>
          <w:highlight w:val="none"/>
        </w:rPr>
      </w:pPr>
      <w:r>
        <w:rPr>
          <w:rFonts w:ascii="宋体" w:hAnsi="宋体" w:eastAsia="宋体" w:cs="Times New Roman"/>
          <w:b/>
          <w:bCs/>
          <w:sz w:val="24"/>
          <w:szCs w:val="20"/>
          <w:highlight w:val="none"/>
        </w:rPr>
        <w:t>3</w:t>
      </w:r>
      <w:r>
        <w:rPr>
          <w:rFonts w:hint="eastAsia" w:ascii="宋体" w:hAnsi="宋体" w:eastAsia="宋体" w:cs="Times New Roman"/>
          <w:b/>
          <w:bCs/>
          <w:sz w:val="24"/>
          <w:szCs w:val="20"/>
          <w:highlight w:val="none"/>
        </w:rPr>
        <w:t xml:space="preserve"> </w:t>
      </w:r>
      <w:r>
        <w:rPr>
          <w:rFonts w:hint="eastAsia" w:eastAsia="宋体" w:cs="宋体"/>
          <w:b/>
          <w:color w:val="auto"/>
          <w:sz w:val="24"/>
          <w:szCs w:val="28"/>
          <w:highlight w:val="none"/>
        </w:rPr>
        <w:t>《投标文件（商务标）》（开标一览表）</w:t>
      </w:r>
      <w:r>
        <w:rPr>
          <w:rFonts w:hint="eastAsia" w:ascii="宋体" w:hAnsi="宋体" w:eastAsia="宋体" w:cs="Times New Roman"/>
          <w:b/>
          <w:bCs/>
          <w:sz w:val="24"/>
          <w:szCs w:val="20"/>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3.1开标一览表（附件8）；</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w:t>
      </w:r>
      <w:r>
        <w:rPr>
          <w:rFonts w:hint="eastAsia" w:ascii="宋体" w:hAnsi="宋体" w:eastAsia="宋体" w:cs="Times New Roman"/>
          <w:color w:val="000000"/>
          <w:sz w:val="24"/>
          <w:szCs w:val="24"/>
          <w:highlight w:val="none"/>
        </w:rPr>
        <w:t>报价明细表（附件9</w:t>
      </w:r>
      <w:r>
        <w:rPr>
          <w:rFonts w:hint="eastAsia" w:ascii="宋体" w:hAnsi="宋体" w:eastAsia="宋体" w:cs="Times New Roman"/>
          <w:color w:val="000000"/>
          <w:sz w:val="24"/>
          <w:szCs w:val="24"/>
          <w:highlight w:val="none"/>
          <w:lang w:val="en-US" w:eastAsia="zh-CN"/>
        </w:rPr>
        <w:t>-1至9-5</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3.3商务条款偏离表（附件10）</w:t>
      </w:r>
      <w:r>
        <w:rPr>
          <w:rFonts w:hint="eastAsia" w:ascii="宋体" w:hAnsi="宋体" w:eastAsia="宋体" w:cs="Times New Roman"/>
          <w:b/>
          <w:color w:val="000000"/>
          <w:sz w:val="24"/>
          <w:szCs w:val="24"/>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3.5服务承诺函（附件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keepNext/>
        <w:keepLines/>
        <w:spacing w:line="360" w:lineRule="auto"/>
        <w:ind w:firstLine="480" w:firstLineChars="200"/>
        <w:outlineLvl w:val="1"/>
        <w:rPr>
          <w:rFonts w:hint="eastAsia" w:ascii="Arial" w:hAnsi="Arial" w:eastAsia="宋体" w:cs="Times New Roman"/>
          <w:b/>
          <w:bCs/>
          <w:sz w:val="24"/>
          <w:szCs w:val="24"/>
        </w:rPr>
      </w:pPr>
      <w:r>
        <w:rPr>
          <w:rFonts w:hint="eastAsia" w:ascii="宋体" w:hAnsi="宋体" w:eastAsia="宋体" w:cs="Times New Roman"/>
          <w:color w:val="000000"/>
          <w:sz w:val="24"/>
          <w:szCs w:val="24"/>
        </w:rPr>
        <w:t>3.6按招标文件投标人须知和技术规格书中要求提供的有关文件。</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，其余未尽事宜请按各单位习惯制定即可。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23" w:name="_Toc9849"/>
      <w:r>
        <w:rPr>
          <w:rFonts w:hint="eastAsia" w:ascii="Calibri" w:hAnsi="Calibri" w:eastAsia="宋体" w:cs="Times New Roman"/>
          <w:b/>
          <w:bCs/>
          <w:kern w:val="44"/>
          <w:sz w:val="36"/>
          <w:szCs w:val="44"/>
        </w:rPr>
        <w:t>第四部分 技术标书</w:t>
      </w:r>
      <w:bookmarkEnd w:id="23"/>
    </w:p>
    <w:p>
      <w:pPr>
        <w:pStyle w:val="2"/>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快速原型</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rPr>
        <w:t>5月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24"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24"/>
    </w:p>
    <w:p>
      <w:pPr>
        <w:keepNext/>
        <w:keepLines/>
        <w:spacing w:before="120" w:after="120" w:line="480" w:lineRule="exact"/>
        <w:jc w:val="center"/>
        <w:outlineLvl w:val="2"/>
        <w:rPr>
          <w:rFonts w:ascii="Arial" w:hAnsi="Arial" w:eastAsia="宋体" w:cs="Times New Roman"/>
          <w:b/>
          <w:bCs/>
          <w:sz w:val="24"/>
          <w:szCs w:val="24"/>
        </w:rPr>
      </w:pPr>
      <w:bookmarkStart w:id="25"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5"/>
    </w:p>
    <w:p>
      <w:pPr>
        <w:spacing w:line="360" w:lineRule="auto"/>
        <w:outlineLvl w:val="3"/>
        <w:rPr>
          <w:rFonts w:ascii="宋体" w:hAnsi="宋体" w:eastAsia="宋体"/>
          <w:sz w:val="24"/>
          <w:szCs w:val="24"/>
        </w:rPr>
      </w:pPr>
      <w:r>
        <w:rPr>
          <w:rFonts w:hint="eastAsia" w:ascii="宋体" w:hAnsi="宋体" w:eastAsia="宋体"/>
          <w:sz w:val="24"/>
          <w:szCs w:val="24"/>
        </w:rPr>
        <w:t>一、项目名称：</w:t>
      </w:r>
      <w:r>
        <w:rPr>
          <w:rFonts w:hint="eastAsia" w:ascii="宋体" w:hAnsi="宋体" w:eastAsia="宋体"/>
          <w:sz w:val="24"/>
          <w:szCs w:val="24"/>
          <w:u w:val="single"/>
        </w:rPr>
        <w:t>快速原型开发</w:t>
      </w:r>
    </w:p>
    <w:p>
      <w:pPr>
        <w:spacing w:line="360" w:lineRule="auto"/>
        <w:outlineLvl w:val="3"/>
        <w:rPr>
          <w:rFonts w:ascii="宋体" w:hAnsi="宋体" w:eastAsia="宋体"/>
          <w:sz w:val="24"/>
          <w:szCs w:val="24"/>
        </w:rPr>
      </w:pPr>
      <w:r>
        <w:rPr>
          <w:rFonts w:hint="eastAsia" w:ascii="宋体" w:hAnsi="宋体" w:eastAsia="宋体"/>
          <w:sz w:val="24"/>
          <w:szCs w:val="24"/>
        </w:rPr>
        <w:t>二、建设地点：山东省济南市历城区华奥路777号重汽科技园</w:t>
      </w:r>
    </w:p>
    <w:p>
      <w:pPr>
        <w:spacing w:line="360" w:lineRule="auto"/>
        <w:outlineLvl w:val="3"/>
        <w:rPr>
          <w:rFonts w:ascii="宋体" w:hAnsi="宋体" w:eastAsia="宋体"/>
          <w:sz w:val="24"/>
          <w:szCs w:val="24"/>
        </w:rPr>
      </w:pPr>
      <w:r>
        <w:rPr>
          <w:rFonts w:hint="eastAsia" w:ascii="宋体" w:hAnsi="宋体" w:eastAsia="宋体"/>
          <w:sz w:val="24"/>
          <w:szCs w:val="24"/>
        </w:rPr>
        <w:t>三、使用地点：山东省济南市历城区华奥路777号重汽科技园</w:t>
      </w:r>
    </w:p>
    <w:p>
      <w:pPr>
        <w:spacing w:line="360" w:lineRule="auto"/>
        <w:outlineLvl w:val="3"/>
        <w:rPr>
          <w:rFonts w:ascii="宋体" w:hAnsi="宋体" w:eastAsia="宋体"/>
          <w:sz w:val="24"/>
          <w:szCs w:val="24"/>
        </w:rPr>
      </w:pPr>
      <w:r>
        <w:rPr>
          <w:rFonts w:hint="eastAsia" w:ascii="宋体" w:hAnsi="宋体" w:eastAsia="宋体"/>
          <w:sz w:val="24"/>
          <w:szCs w:val="24"/>
        </w:rPr>
        <w:t>四、使用地点区域自然环境：</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1.海拔高度：4000m以下。</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2.环境温度：室外极端最低温度-12℃、极端最高温度45℃。</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3.相对湿度：最大95%、最小15%。</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sz w:val="24"/>
          <w:szCs w:val="24"/>
        </w:rPr>
      </w:pPr>
      <w:r>
        <w:rPr>
          <w:rFonts w:hint="eastAsia" w:ascii="宋体" w:hAnsi="宋体" w:eastAsia="宋体"/>
          <w:b/>
          <w:sz w:val="24"/>
          <w:szCs w:val="24"/>
        </w:rPr>
        <w:t>一、货物名称：</w:t>
      </w:r>
      <w:r>
        <w:rPr>
          <w:rFonts w:hint="eastAsia" w:ascii="宋体" w:hAnsi="宋体" w:eastAsia="宋体" w:cs="宋体"/>
          <w:b/>
          <w:color w:val="000000"/>
          <w:sz w:val="24"/>
          <w:szCs w:val="24"/>
        </w:rPr>
        <w:t>快速原型开发工具</w:t>
      </w:r>
      <w:r>
        <w:rPr>
          <w:rFonts w:hint="eastAsia" w:ascii="宋体" w:hAnsi="宋体" w:eastAsia="宋体" w:cs="宋体"/>
          <w:sz w:val="24"/>
          <w:szCs w:val="24"/>
        </w:rPr>
        <w:t xml:space="preserve"> </w:t>
      </w:r>
    </w:p>
    <w:p>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sz w:val="24"/>
          <w:szCs w:val="24"/>
          <w:u w:val="single"/>
          <w:shd w:val="pct10" w:color="auto" w:fill="FFFFFF"/>
        </w:rPr>
        <w:t>两套</w:t>
      </w:r>
      <w:r>
        <w:rPr>
          <w:rFonts w:hint="eastAsia" w:ascii="宋体" w:hAnsi="宋体" w:eastAsia="宋体"/>
          <w:sz w:val="24"/>
          <w:szCs w:val="24"/>
        </w:rPr>
        <w:t>（详见下表）</w:t>
      </w:r>
    </w:p>
    <w:p>
      <w:pPr>
        <w:spacing w:line="420" w:lineRule="exact"/>
        <w:outlineLvl w:val="3"/>
        <w:rPr>
          <w:rFonts w:ascii="宋体" w:hAnsi="宋体" w:eastAsia="宋体"/>
          <w:b/>
          <w:sz w:val="24"/>
          <w:szCs w:val="24"/>
        </w:rPr>
      </w:pPr>
      <w:r>
        <w:rPr>
          <w:rFonts w:hint="eastAsia" w:ascii="宋体" w:hAnsi="宋体" w:eastAsia="宋体"/>
          <w:b/>
          <w:sz w:val="24"/>
          <w:szCs w:val="24"/>
        </w:rPr>
        <w:t>三、分投分中：不允许</w:t>
      </w:r>
    </w:p>
    <w:p>
      <w:pPr>
        <w:spacing w:line="420" w:lineRule="exact"/>
        <w:jc w:val="center"/>
        <w:rPr>
          <w:rFonts w:ascii="宋体" w:hAnsi="宋体" w:eastAsia="宋体" w:cs="Times New Roman"/>
          <w:color w:val="000000"/>
          <w:szCs w:val="20"/>
        </w:rPr>
      </w:pPr>
      <w:r>
        <w:rPr>
          <w:rFonts w:hint="eastAsia" w:ascii="宋体" w:hAnsi="宋体" w:eastAsia="宋体" w:cs="Times New Roman"/>
          <w:color w:val="000000"/>
          <w:szCs w:val="20"/>
        </w:rPr>
        <w:t>采购货物主要构成一览表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141"/>
        <w:gridCol w:w="3828"/>
        <w:gridCol w:w="708"/>
        <w:gridCol w:w="709"/>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序号</w:t>
            </w:r>
          </w:p>
        </w:tc>
        <w:tc>
          <w:tcPr>
            <w:tcW w:w="1141"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名称</w:t>
            </w:r>
          </w:p>
        </w:tc>
        <w:tc>
          <w:tcPr>
            <w:tcW w:w="3828"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规格</w:t>
            </w:r>
          </w:p>
        </w:tc>
        <w:tc>
          <w:tcPr>
            <w:tcW w:w="708"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单位</w:t>
            </w:r>
          </w:p>
        </w:tc>
        <w:tc>
          <w:tcPr>
            <w:tcW w:w="709"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数量</w:t>
            </w:r>
          </w:p>
        </w:tc>
        <w:tc>
          <w:tcPr>
            <w:tcW w:w="2232"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1</w:t>
            </w:r>
          </w:p>
        </w:tc>
        <w:tc>
          <w:tcPr>
            <w:tcW w:w="1141" w:type="dxa"/>
            <w:vAlign w:val="center"/>
          </w:tcPr>
          <w:p>
            <w:pPr>
              <w:spacing w:line="360" w:lineRule="exac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快速原型开发系统</w:t>
            </w:r>
          </w:p>
        </w:tc>
        <w:tc>
          <w:tcPr>
            <w:tcW w:w="3828" w:type="dxa"/>
            <w:vAlign w:val="center"/>
          </w:tcPr>
          <w:p>
            <w:pPr>
              <w:spacing w:line="360" w:lineRule="exac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针对热管理控制系统需求，包含复杂驱动支持等。</w:t>
            </w:r>
          </w:p>
        </w:tc>
        <w:tc>
          <w:tcPr>
            <w:tcW w:w="708" w:type="dxa"/>
            <w:vAlign w:val="center"/>
          </w:tcPr>
          <w:p>
            <w:pPr>
              <w:spacing w:line="36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套</w:t>
            </w:r>
          </w:p>
        </w:tc>
        <w:tc>
          <w:tcPr>
            <w:tcW w:w="709" w:type="dxa"/>
            <w:vAlign w:val="center"/>
          </w:tcPr>
          <w:p>
            <w:pPr>
              <w:spacing w:line="36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2232"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重汽科技大厦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2</w:t>
            </w:r>
          </w:p>
        </w:tc>
        <w:tc>
          <w:tcPr>
            <w:tcW w:w="1141" w:type="dxa"/>
            <w:vAlign w:val="center"/>
          </w:tcPr>
          <w:p>
            <w:pPr>
              <w:spacing w:line="360" w:lineRule="exac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快速原型开发系统</w:t>
            </w:r>
          </w:p>
        </w:tc>
        <w:tc>
          <w:tcPr>
            <w:tcW w:w="3828" w:type="dxa"/>
            <w:vAlign w:val="center"/>
          </w:tcPr>
          <w:p>
            <w:pPr>
              <w:spacing w:line="360" w:lineRule="exac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针对底盘控制系统需求，包含包含复杂驱动支持等。</w:t>
            </w:r>
          </w:p>
        </w:tc>
        <w:tc>
          <w:tcPr>
            <w:tcW w:w="708" w:type="dxa"/>
            <w:vAlign w:val="center"/>
          </w:tcPr>
          <w:p>
            <w:pPr>
              <w:spacing w:line="360" w:lineRule="exact"/>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套</w:t>
            </w:r>
          </w:p>
        </w:tc>
        <w:tc>
          <w:tcPr>
            <w:tcW w:w="709" w:type="dxa"/>
            <w:vAlign w:val="center"/>
          </w:tcPr>
          <w:p>
            <w:pPr>
              <w:spacing w:line="36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2232"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重汽科技大厦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pacing w:line="360" w:lineRule="exact"/>
              <w:jc w:val="center"/>
              <w:rPr>
                <w:rFonts w:ascii="宋体" w:hAnsi="宋体" w:cs="Times New Roman"/>
                <w:color w:val="000000"/>
                <w:szCs w:val="20"/>
              </w:rPr>
            </w:pPr>
            <w:r>
              <w:rPr>
                <w:rFonts w:ascii="宋体" w:hAnsi="宋体" w:cs="Times New Roman"/>
                <w:color w:val="000000"/>
                <w:szCs w:val="20"/>
              </w:rPr>
              <w:t>3</w:t>
            </w:r>
          </w:p>
        </w:tc>
        <w:tc>
          <w:tcPr>
            <w:tcW w:w="1141" w:type="dxa"/>
            <w:vAlign w:val="center"/>
          </w:tcPr>
          <w:p>
            <w:pPr>
              <w:spacing w:line="360" w:lineRule="exact"/>
              <w:rPr>
                <w:rFonts w:ascii="Times New Roman" w:hAnsi="Times New Roman" w:eastAsia="宋体" w:cs="Times New Roman"/>
                <w:color w:val="000000"/>
                <w:szCs w:val="21"/>
              </w:rPr>
            </w:pPr>
            <w:r>
              <w:rPr>
                <w:rFonts w:ascii="宋体" w:hAnsi="宋体" w:eastAsia="宋体" w:cs="Times New Roman"/>
                <w:szCs w:val="21"/>
              </w:rPr>
              <w:t>硬件底层配置软件</w:t>
            </w:r>
          </w:p>
        </w:tc>
        <w:tc>
          <w:tcPr>
            <w:tcW w:w="3828" w:type="dxa"/>
            <w:vAlign w:val="center"/>
          </w:tcPr>
          <w:p>
            <w:pPr>
              <w:spacing w:line="360" w:lineRule="exac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配备丰富全面的Simulink模块库，采用图形化方式进行IO的配置</w:t>
            </w:r>
          </w:p>
        </w:tc>
        <w:tc>
          <w:tcPr>
            <w:tcW w:w="708" w:type="dxa"/>
            <w:vAlign w:val="center"/>
          </w:tcPr>
          <w:p>
            <w:pPr>
              <w:spacing w:line="36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套</w:t>
            </w:r>
          </w:p>
        </w:tc>
        <w:tc>
          <w:tcPr>
            <w:tcW w:w="709" w:type="dxa"/>
            <w:vAlign w:val="center"/>
          </w:tcPr>
          <w:p>
            <w:pPr>
              <w:spacing w:line="36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p>
        </w:tc>
        <w:tc>
          <w:tcPr>
            <w:tcW w:w="2232"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重汽科技大厦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pacing w:line="360" w:lineRule="exact"/>
              <w:jc w:val="center"/>
              <w:rPr>
                <w:rFonts w:ascii="宋体" w:hAnsi="宋体" w:cs="Times New Roman"/>
                <w:color w:val="000000"/>
                <w:szCs w:val="20"/>
              </w:rPr>
            </w:pPr>
            <w:r>
              <w:rPr>
                <w:rFonts w:ascii="宋体" w:hAnsi="宋体" w:cs="Times New Roman"/>
                <w:color w:val="000000"/>
                <w:szCs w:val="20"/>
              </w:rPr>
              <w:t>4</w:t>
            </w:r>
          </w:p>
        </w:tc>
        <w:tc>
          <w:tcPr>
            <w:tcW w:w="1141" w:type="dxa"/>
            <w:vAlign w:val="center"/>
          </w:tcPr>
          <w:p>
            <w:pPr>
              <w:spacing w:line="360" w:lineRule="exac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上位机软件</w:t>
            </w:r>
          </w:p>
        </w:tc>
        <w:tc>
          <w:tcPr>
            <w:tcW w:w="3828" w:type="dxa"/>
            <w:vAlign w:val="center"/>
          </w:tcPr>
          <w:p>
            <w:pPr>
              <w:widowControl/>
              <w:spacing w:after="160" w:line="259" w:lineRule="auto"/>
              <w:contextualSpacing/>
              <w:jc w:val="left"/>
              <w:rPr>
                <w:rFonts w:ascii="Calibri" w:hAnsi="Calibri" w:eastAsia="宋体" w:cs="Times New Roman"/>
                <w:color w:val="000000"/>
                <w:szCs w:val="21"/>
              </w:rPr>
            </w:pPr>
            <w:r>
              <w:rPr>
                <w:rFonts w:hint="eastAsia" w:ascii="Times New Roman" w:hAnsi="Times New Roman" w:eastAsia="宋体" w:cs="Times New Roman"/>
                <w:color w:val="000000"/>
                <w:szCs w:val="21"/>
              </w:rPr>
              <w:t>提供丰富实时的硬件状态监测功能，直观明确地对系统硬件进行配置；实时监测已连接到系统的传感器及执行器所反馈的模拟及数字信号；运行过程中实时反馈诊断信息等；</w:t>
            </w:r>
          </w:p>
        </w:tc>
        <w:tc>
          <w:tcPr>
            <w:tcW w:w="708" w:type="dxa"/>
            <w:vAlign w:val="center"/>
          </w:tcPr>
          <w:p>
            <w:pPr>
              <w:spacing w:line="36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套</w:t>
            </w:r>
          </w:p>
        </w:tc>
        <w:tc>
          <w:tcPr>
            <w:tcW w:w="709" w:type="dxa"/>
            <w:vAlign w:val="center"/>
          </w:tcPr>
          <w:p>
            <w:pPr>
              <w:spacing w:line="360" w:lineRule="exact"/>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2</w:t>
            </w:r>
          </w:p>
        </w:tc>
        <w:tc>
          <w:tcPr>
            <w:tcW w:w="2232"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重汽科技大厦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spacing w:line="360" w:lineRule="exact"/>
              <w:jc w:val="center"/>
              <w:rPr>
                <w:rFonts w:ascii="宋体" w:hAnsi="宋体" w:cs="Times New Roman"/>
                <w:color w:val="000000"/>
                <w:szCs w:val="20"/>
              </w:rPr>
            </w:pPr>
            <w:r>
              <w:rPr>
                <w:rFonts w:ascii="宋体" w:hAnsi="宋体" w:cs="Times New Roman"/>
                <w:color w:val="000000"/>
                <w:szCs w:val="20"/>
              </w:rPr>
              <w:t>5</w:t>
            </w:r>
          </w:p>
        </w:tc>
        <w:tc>
          <w:tcPr>
            <w:tcW w:w="1141" w:type="dxa"/>
            <w:vAlign w:val="center"/>
          </w:tcPr>
          <w:p>
            <w:pPr>
              <w:spacing w:line="360" w:lineRule="exact"/>
              <w:rPr>
                <w:rFonts w:ascii="Times New Roman" w:hAnsi="Times New Roman" w:eastAsia="宋体" w:cs="Times New Roman"/>
                <w:color w:val="000000"/>
                <w:szCs w:val="21"/>
              </w:rPr>
            </w:pPr>
            <w:r>
              <w:rPr>
                <w:rFonts w:hint="eastAsia" w:cs="Times New Roman"/>
                <w:color w:val="000000"/>
                <w:szCs w:val="21"/>
              </w:rPr>
              <w:t>用户手册（包含软硬件产品）</w:t>
            </w:r>
          </w:p>
        </w:tc>
        <w:tc>
          <w:tcPr>
            <w:tcW w:w="3828" w:type="dxa"/>
            <w:vAlign w:val="center"/>
          </w:tcPr>
          <w:p>
            <w:pPr>
              <w:spacing w:line="360" w:lineRule="exact"/>
              <w:jc w:val="left"/>
              <w:rPr>
                <w:rFonts w:ascii="Times New Roman" w:hAnsi="Times New Roman" w:eastAsia="宋体" w:cs="Times New Roman"/>
                <w:color w:val="000000"/>
                <w:szCs w:val="21"/>
              </w:rPr>
            </w:pPr>
            <w:r>
              <w:rPr>
                <w:rFonts w:ascii="Times New Roman" w:hAnsi="Times New Roman" w:eastAsia="宋体" w:cs="Times New Roman"/>
                <w:szCs w:val="21"/>
              </w:rPr>
              <w:t>设备</w:t>
            </w:r>
            <w:r>
              <w:rPr>
                <w:rFonts w:hint="eastAsia" w:ascii="Times New Roman" w:hAnsi="Times New Roman" w:eastAsia="宋体" w:cs="Times New Roman"/>
                <w:szCs w:val="21"/>
              </w:rPr>
              <w:t>系统</w:t>
            </w:r>
            <w:r>
              <w:rPr>
                <w:rFonts w:ascii="Times New Roman" w:hAnsi="Times New Roman" w:eastAsia="宋体" w:cs="Times New Roman"/>
                <w:szCs w:val="21"/>
              </w:rPr>
              <w:t>使用说明书</w:t>
            </w:r>
            <w:r>
              <w:rPr>
                <w:rFonts w:hint="eastAsia" w:ascii="Times New Roman" w:hAnsi="Times New Roman" w:eastAsia="宋体" w:cs="Times New Roman"/>
                <w:szCs w:val="21"/>
              </w:rPr>
              <w:t>；系统软硬件清单；</w:t>
            </w:r>
            <w:r>
              <w:rPr>
                <w:rFonts w:ascii="Times New Roman" w:hAnsi="Times New Roman" w:eastAsia="宋体" w:cs="Times New Roman"/>
                <w:szCs w:val="21"/>
              </w:rPr>
              <w:t>硬件</w:t>
            </w:r>
            <w:r>
              <w:rPr>
                <w:rFonts w:hint="eastAsia" w:ascii="Times New Roman" w:hAnsi="Times New Roman" w:eastAsia="宋体" w:cs="Times New Roman"/>
                <w:szCs w:val="21"/>
              </w:rPr>
              <w:t>板卡</w:t>
            </w:r>
            <w:r>
              <w:rPr>
                <w:rFonts w:ascii="Times New Roman" w:hAnsi="Times New Roman" w:eastAsia="宋体" w:cs="Times New Roman"/>
                <w:szCs w:val="21"/>
              </w:rPr>
              <w:t>说明书</w:t>
            </w:r>
            <w:r>
              <w:rPr>
                <w:rFonts w:hint="eastAsia" w:ascii="Times New Roman" w:hAnsi="Times New Roman" w:eastAsia="宋体" w:cs="Times New Roman"/>
                <w:szCs w:val="21"/>
              </w:rPr>
              <w:t>；</w:t>
            </w:r>
            <w:r>
              <w:rPr>
                <w:rFonts w:ascii="Times New Roman" w:hAnsi="Times New Roman" w:eastAsia="宋体" w:cs="Times New Roman"/>
                <w:szCs w:val="21"/>
              </w:rPr>
              <w:t>软件使用说明书</w:t>
            </w:r>
            <w:r>
              <w:rPr>
                <w:rFonts w:hint="eastAsia" w:ascii="Times New Roman" w:hAnsi="Times New Roman" w:eastAsia="宋体" w:cs="Times New Roman"/>
                <w:szCs w:val="21"/>
              </w:rPr>
              <w:t>；</w:t>
            </w:r>
            <w:r>
              <w:rPr>
                <w:rFonts w:ascii="Times New Roman" w:hAnsi="Times New Roman" w:eastAsia="宋体" w:cs="Times New Roman"/>
                <w:szCs w:val="21"/>
              </w:rPr>
              <w:t>技术培训资料</w:t>
            </w:r>
            <w:r>
              <w:rPr>
                <w:rFonts w:hint="eastAsia" w:ascii="Times New Roman" w:hAnsi="Times New Roman" w:eastAsia="宋体" w:cs="Times New Roman"/>
                <w:szCs w:val="21"/>
              </w:rPr>
              <w:t>；</w:t>
            </w:r>
            <w:r>
              <w:rPr>
                <w:rFonts w:ascii="Times New Roman" w:hAnsi="Times New Roman" w:eastAsia="宋体" w:cs="Times New Roman"/>
                <w:szCs w:val="21"/>
              </w:rPr>
              <w:t>测试报告</w:t>
            </w:r>
          </w:p>
        </w:tc>
        <w:tc>
          <w:tcPr>
            <w:tcW w:w="708" w:type="dxa"/>
            <w:vAlign w:val="center"/>
          </w:tcPr>
          <w:p>
            <w:pPr>
              <w:spacing w:line="360" w:lineRule="exact"/>
              <w:jc w:val="center"/>
              <w:rPr>
                <w:rFonts w:ascii="Times New Roman" w:hAnsi="Times New Roman" w:eastAsia="宋体" w:cs="Times New Roman"/>
                <w:color w:val="000000"/>
                <w:szCs w:val="21"/>
              </w:rPr>
            </w:pPr>
            <w:r>
              <w:rPr>
                <w:rFonts w:hint="eastAsia" w:cs="Times New Roman"/>
                <w:color w:val="000000"/>
                <w:szCs w:val="21"/>
              </w:rPr>
              <w:t>套</w:t>
            </w:r>
          </w:p>
        </w:tc>
        <w:tc>
          <w:tcPr>
            <w:tcW w:w="709" w:type="dxa"/>
            <w:vAlign w:val="center"/>
          </w:tcPr>
          <w:p>
            <w:pPr>
              <w:spacing w:line="360" w:lineRule="exact"/>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2232" w:type="dxa"/>
            <w:vAlign w:val="center"/>
          </w:tcPr>
          <w:p>
            <w:pPr>
              <w:spacing w:line="360" w:lineRule="exact"/>
              <w:jc w:val="center"/>
              <w:rPr>
                <w:rFonts w:ascii="宋体" w:hAnsi="宋体" w:eastAsia="宋体" w:cs="Times New Roman"/>
                <w:color w:val="000000"/>
                <w:szCs w:val="20"/>
              </w:rPr>
            </w:pPr>
            <w:r>
              <w:rPr>
                <w:rFonts w:hint="eastAsia" w:ascii="宋体" w:hAnsi="宋体" w:eastAsia="宋体" w:cs="Times New Roman"/>
                <w:color w:val="000000"/>
                <w:szCs w:val="20"/>
              </w:rPr>
              <w:t>重汽科技大厦</w:t>
            </w:r>
          </w:p>
        </w:tc>
      </w:tr>
    </w:tbl>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pPr>
        <w:widowControl/>
        <w:spacing w:line="360" w:lineRule="auto"/>
        <w:jc w:val="left"/>
        <w:rPr>
          <w:rFonts w:hint="eastAsia" w:ascii="宋体" w:hAnsi="宋体" w:eastAsia="宋体"/>
          <w:sz w:val="24"/>
          <w:szCs w:val="24"/>
        </w:rPr>
      </w:pPr>
      <w:r>
        <w:rPr>
          <w:rFonts w:hint="eastAsia" w:ascii="宋体" w:hAnsi="宋体" w:eastAsia="宋体"/>
          <w:sz w:val="24"/>
          <w:szCs w:val="24"/>
        </w:rP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26" w:name="_Toc169605880"/>
      <w:bookmarkStart w:id="27" w:name="_Toc169605881"/>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6"/>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pStyle w:val="112"/>
        <w:spacing w:line="360" w:lineRule="auto"/>
        <w:ind w:firstLine="482" w:firstLineChars="200"/>
        <w:outlineLvl w:val="2"/>
        <w:rPr>
          <w:rFonts w:hint="eastAsia"/>
        </w:rPr>
      </w:pPr>
      <w:r>
        <w:rPr>
          <w:rFonts w:hint="eastAsia" w:eastAsia="宋体" w:cs="宋体"/>
          <w:b/>
          <w:bCs w:val="0"/>
          <w:sz w:val="24"/>
          <w:szCs w:val="24"/>
        </w:rPr>
        <w:t>三、技术要求</w:t>
      </w:r>
    </w:p>
    <w:p>
      <w:pPr>
        <w:pStyle w:val="117"/>
        <w:pageBreakBefore w:val="0"/>
        <w:kinsoku/>
        <w:wordWrap/>
        <w:overflowPunct/>
        <w:topLinePunct w:val="0"/>
        <w:bidi w:val="0"/>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3.1快速原型开发系统概述</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快速原型开发系统通过配置满足实际项目特定的I/O、采样率以及环境需求。针对不同的项目，不需要重新进行控制器设计，而通过配置定义IO资源通道，并具有灵活进行I/O扩展，从而在早期控制器项目开发阶段，没有控制器硬件的情况下，采用快速原型开发系统进行应用层软件开发和测试， 包括建模、原型制作、测试、文档编制和嵌入式集成的整个开发周期，无缝支持基于模型的设计（MBD）工作流程。</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快速原型开发系统将传统的顺序V模式转换为循环工作流程，以便在尽可能早的阶段对软件设计进行持续的验证和确认，并使用独立于产品的开发平台不断尝试新的策略和概念。</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能够实现对我司热管理系统、ABS/EBS/ECAS/EPB/ECAPU等电控系统搭建，进行逻辑测试与开发，同时能够与我司现有HIL台架、快速原型等产品（dSPACE公司产品），实现设备联动使用、数据互通、技术互通。</w:t>
      </w:r>
    </w:p>
    <w:p>
      <w:pPr>
        <w:pStyle w:val="117"/>
        <w:pageBreakBefore w:val="0"/>
        <w:kinsoku/>
        <w:wordWrap/>
        <w:overflowPunct/>
        <w:topLinePunct w:val="0"/>
        <w:bidi w:val="0"/>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3.2、系统功能  </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快速原型开发系统通过配置满足模拟控制器的IO通道，从而测试控制单元功能，实现控制器应用层软件的测试。</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该系统应具有以下各种功能：</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可实现控制策略开发、接口硬件配置、系统标定、在线仿真等；</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支持MATLAB/Simulink进行控制算法建模仿真；</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开发平台必须提供通用模块库，模块库成熟；</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采用一键式全自动代码生成，无需手写代码；</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目标机与MATLAB/simulink无缝链接；</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目标机需提供至少4个版本MATLAB的支持，并提供未来半年内新版本的支持；</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支持离线及在线模型数据记录功能；</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需支持MATLAB /Simulink模型经编译，直接下载运行，该系统需支持算法运行时实现在线调参和数据波形记录；</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系统基于模块化设计，具有较好地扩展性；</w:t>
      </w:r>
    </w:p>
    <w:p>
      <w:pPr>
        <w:pageBreakBefore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olor w:val="000000"/>
          <w:kern w:val="0"/>
          <w:sz w:val="24"/>
          <w:szCs w:val="24"/>
        </w:rPr>
      </w:pPr>
    </w:p>
    <w:p>
      <w:pPr>
        <w:pStyle w:val="117"/>
        <w:pageBreakBefore w:val="0"/>
        <w:kinsoku/>
        <w:wordWrap/>
        <w:overflowPunct/>
        <w:topLinePunct w:val="0"/>
        <w:bidi w:val="0"/>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3.3 硬件技术要求   </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注：以下要求及描述中如果没有注明针对特定复杂控制器或一般控制器，则该要求及描述为通用要求。</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3.3.1环境标准要求</w:t>
      </w:r>
    </w:p>
    <w:p>
      <w:pPr>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电子设备满足电磁兼容性、振动的相关法规标准，并提供相应的试验检测报告。</w:t>
      </w:r>
    </w:p>
    <w:tbl>
      <w:tblPr>
        <w:tblStyle w:val="35"/>
        <w:tblW w:w="0" w:type="auto"/>
        <w:tblInd w:w="8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4"/>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2404" w:type="dxa"/>
            <w:shd w:val="clear" w:color="auto" w:fill="auto"/>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标准类型</w:t>
            </w:r>
          </w:p>
        </w:tc>
        <w:tc>
          <w:tcPr>
            <w:tcW w:w="5103" w:type="dxa"/>
            <w:shd w:val="clear" w:color="auto" w:fill="auto"/>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详细标准号及检测报告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404" w:type="dxa"/>
            <w:shd w:val="clear" w:color="auto" w:fill="auto"/>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电磁兼容性</w:t>
            </w:r>
          </w:p>
        </w:tc>
        <w:tc>
          <w:tcPr>
            <w:tcW w:w="5103" w:type="dxa"/>
            <w:shd w:val="clear" w:color="auto" w:fill="auto"/>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相关EMC检测报告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404" w:type="dxa"/>
            <w:shd w:val="clear" w:color="auto" w:fill="auto"/>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振动</w:t>
            </w:r>
          </w:p>
        </w:tc>
        <w:tc>
          <w:tcPr>
            <w:tcW w:w="5103" w:type="dxa"/>
            <w:shd w:val="clear" w:color="auto" w:fill="auto"/>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GB/T 28046.3或ISO 16750-3</w:t>
            </w:r>
          </w:p>
        </w:tc>
      </w:tr>
    </w:tbl>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3.3.2使用和存储环境要求</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使用温度范围不低于-40℃~+85℃</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存储温度范围不低于-55℃~+90℃</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使用相对湿度范围不低于10%~95%（无冷凝）</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IP等级不低于2级（IEC664）</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使用最大海拔不低于2000m</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其抗振等级可满足整车实车测试。</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3.3.3 供电要求</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直流供电，范围不低于6~40V</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设备本体至少提供1个传感器供电接口，且不低于5V/750mA规格</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◎板载传感器要求：</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设备本体至少集成1个大气压力传感器，且精度不低于1kPa，测量范围不低于50kPa...115kPa</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3.3.4模拟量输入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不低于60通道模拟量输入（针对复杂控制器）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不低于48通道模拟量输入（针对一般控制器）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采集范围不低于-10...+10V</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分辨率不低于16位</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3.3.5模拟量输出</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不低于12通道模拟量输出 （针对复杂控制器）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不低于10通道模拟量输出 （针对一般控制器）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输出范围不低于…0-5.5V</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分辨率不低于16位</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3.3.6数字量输入</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不低于40通道数字量输入（针对复杂控制器）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不低于24通道数字量输入（针对一般控制器）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所有通道兼容开关量和频率量</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支持最高频率不低于150kHz</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输入电压范围不低于0...40V</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3.3.7数字量输出</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不低于40通道数字量输出（针对复杂控制器）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不低于25通道数字量输出（针对一般控制器）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具体要求见3.3.13高边驱动要求、3.3.14低边驱动要求。</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3.3.8 CAN接口要求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不低于6通道的CAN接口</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不低于2通道的CANFD接口且必须支持ISO-CANFD（针对一般控制器）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所有通道带有软件可配终端电阻</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兼容CAN2.0A及CAN2.0B</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支持Partial Networking</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支持自定义报文</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支持CAN中断</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支持J1939</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支持参与总线仿真</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支持导入dbc、mat及arxml格式的数据文件</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支持总线网关功能及网关报文过滤</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支持基本的总线诊断功能，至少包括：CAN控制器状态，BIT0错误，BIT1错误，填充位错误、帧格式错误、CRC错误、ACK错误</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3.3.9 LIN接口要求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不低于3通道的LIN接口</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支持LDF（兼容LIN标准1.3, 2.0, 2.1及2.2）、arxml以及dbc格式的数据文件</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3.3.10 SENT接口要求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不低于4通道的SENT接口（针对复杂控制器）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不低于1通道的SENT接口（针对一般控制器）</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3.3.11 信号调理要求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不低于2通道支持霍尔信号采集（针对复杂控制器）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不低于2通道支持磁电信号采集（针对复杂控制器）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不低于32通道支持高低有效可配置数字信号采集  </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3.3.12全桥驱动要求</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至少提供4路全桥驱动，并可灵活配置H桥驱动，用于电机驱动，支持6...36V（针对复杂控制器）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每通道提供5A的输出，且支持电流反馈   </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3.3.13 高边驱动要求</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不低于4通道高边驱动，工作范围不低于6...36V（针对复杂控制器）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不低于13通道高边驱动，工作范围不低于6...36V（针对一般控制器）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至少2通道提供电流反馈 （针对复杂控制器）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至少8通道提供电流反馈 （针对一般控制器）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至少8通道支持5A及以上输出，至少5通道支持2A及以上输出。（针对一般控制器）</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3.3.14低边驱动要求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不低于36通道低边驱动，工作范围不低于6...36V（针对复杂控制器）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不低于12通道低边驱动，工作范围不低于6...36V（针对一般控制器）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至少12通道提供电流反馈（针对复杂控制器）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至少4通道提供电流反馈（针对一般控制器）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至少11通道支持2A及以上输出。（针对一般控制器）</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3.3.15复杂驱动要求： (针对复杂控制器)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不低于8通道直喷驱动模块</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最大辅助升压：100 V</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最大峰值电流：30 A，最大持续电流：15 A</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喷射起始角可控</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软件可调辅助升压值</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软件可调喷射持续时间（峰值及保持时间）</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软件可调峰值电流电流（上下限）</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软件可调保持电流（上下限）软件可调峰值及保持阶段超时</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TTL级控制信号</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带负载故障诊断</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3.3.16以太网接口要求 （针对一般控制器）</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不低于3通道以太网接口</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每个接口支持不低于4个socket</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至少1通道满足1000BASE-T</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支持UDP/IP协议及TCP/IP协议，支持IP分片</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支持SOME/IP协议部署</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支持任意监听模式</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3.3.17 过压及反接保护要求  </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提供过压及反接保护，且至少满足下述规格：</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供电保护范围-40...+100V</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数字量输入输出接口保护范围0...+45V</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模拟量输入接口保护范围-40...+40V</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模拟量输出接口保护范围-30...+40V</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3.3.18 处理器板卡要求</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处理器主频不低于900MHz，至少包含1MB二级缓存</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运行内存不低于16MB</w:t>
      </w:r>
    </w:p>
    <w:p>
      <w:pPr>
        <w:pStyle w:val="117"/>
        <w:pageBreakBefore w:val="0"/>
        <w:kinsoku/>
        <w:wordWrap/>
        <w:overflowPunct/>
        <w:topLinePunct w:val="0"/>
        <w:bidi w:val="0"/>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3.4 软件技术要求</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3.4.1硬件底层配置软件要求</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无缝集成于MATLAB/Similink环境，且支持至少4个版本MATLAB。</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配备丰富全面的Simulink模块库，采用图形化方式进行IO的配置；</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支持异步任务执行，支持基于优先级的多任务建模以及配置</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支持单时钟或多时钟任务模式，支持时间触发与时刻表任务</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提供外部硬件中断以及软件中断</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支持对每个任务实际周转时间的测量</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基于报文进行CAN通信建模，每个模块对应一条报文（或一个功能）；</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支持数据库文件，如：.DBC，允许在一个模型中同时导入多个DBC文件；</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根据不同硬件，提供丰富的配置选单，如：波特率、采样模式、位时序参数以及终端电阻等；</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基于对话框形式设置报文帧的发送与接收，如：帧格式、ID、信号结构以及解/编码；</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支持自发自收功能（Loop-back）：报文帧可由同一个CAN控制器发送并接收；</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支持网关功能以在两个总线间直接进行双向或单向报文传递（不对报文内容作任何修改）；</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可指示CAN控制器信息以及报文收发时间信息，如：接收/发送时间、延迟时间等；</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不同报文可设置不同的采样与任务时间；</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可直接从Simulink模型中对原始报文数据进行操作；</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可自定义报文帧内容；</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支持硬件中断，包括：接收/发送完成、请求/远程帧以及总线关闭。</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3.4.2 复杂驱动软件要求</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特殊的发动机相关驱动控制。在发动机应用领域提供的特殊功能支持包括：</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曲轴、凸轮轴信号测量；</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发动机转速及状态监测；</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喷油及点火控制信号生成；</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同步于曲轴角度的任务触发；</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支持基于几何图形对曲轴、凸轮轴信号样式进行配置；</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快速的发动机同步算法。</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3.4.3 上位机软件要求</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采用拖放方式创建实验界面以及控件</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可同步测量所有数据源</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集成工程与实验管理功能</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集成测量数据分析功能</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创建控件以观测、配置以及触发报文、帧以及PDU的接收与发送</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监测并记录总线数据（CAN报文、LIN帧）</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可回放已记录下的CAN通信过程</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自动进行监测、记录以及回放控制</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提供丰富实时的硬件状态监测功能，直观明确地对系统硬件进行配置；实时监测已连接到系统的传感器及执行器所反馈的模拟及数字信号；运行过程中实时反馈诊断信息，如：过流、短路、开路、过热以及过欠压等；</w:t>
      </w:r>
    </w:p>
    <w:p>
      <w:pPr>
        <w:pStyle w:val="117"/>
        <w:pageBreakBefore w:val="0"/>
        <w:kinsoku/>
        <w:wordWrap/>
        <w:overflowPunct/>
        <w:topLinePunct w:val="0"/>
        <w:bidi w:val="0"/>
        <w:snapToGrid/>
        <w:spacing w:line="360" w:lineRule="auto"/>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3.5、集成服务</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3.5.1具体实现功能</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系统基于模块化设计，具有较好地扩展性；</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需无缝支持Simulink环境；</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需支持MATLAB /Simulink模型经编译，直接下载运行，该系统需支持算法运行时实现在线调参和数据波形记录；</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接口硬件驱动库需嵌入到MATLAB /Simulink环境；</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实现对系统、硬件、模型进行统一管理和配置功能；</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实现板卡模式转换、数模转换、数字输入、数字输出、CAN通信、全桥及高低边驱动、复杂驱动等功能，并测试通过。</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记录实时数据，可以以图形方式显示，采集数据带有时间轴，采集周期可以设置≤1ms；</w:t>
      </w:r>
    </w:p>
    <w:p>
      <w:pPr>
        <w:pStyle w:val="125"/>
        <w:pageBreakBefore w:val="0"/>
        <w:numPr>
          <w:ilvl w:val="0"/>
          <w:numId w:val="9"/>
        </w:numPr>
        <w:kinsoku/>
        <w:wordWrap/>
        <w:overflowPunct/>
        <w:topLinePunct w:val="0"/>
        <w:bidi w:val="0"/>
        <w:snapToGrid/>
        <w:spacing w:line="360" w:lineRule="auto"/>
        <w:ind w:firstLineChars="0"/>
        <w:textAlignment w:val="auto"/>
        <w:rPr>
          <w:rFonts w:hint="eastAsia" w:ascii="宋体" w:hAnsi="宋体" w:eastAsia="宋体" w:cs="宋体"/>
          <w:sz w:val="24"/>
          <w:szCs w:val="24"/>
        </w:rPr>
      </w:pPr>
      <w:r>
        <w:rPr>
          <w:rFonts w:hint="eastAsia" w:ascii="宋体" w:hAnsi="宋体" w:eastAsia="宋体" w:cs="宋体"/>
          <w:sz w:val="24"/>
          <w:szCs w:val="24"/>
        </w:rPr>
        <w:t>支持导入*.dbc等多种格式的数据文件，并实现报文发送和接收配置。</w:t>
      </w:r>
    </w:p>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3.5.2交付内容</w:t>
      </w:r>
    </w:p>
    <w:tbl>
      <w:tblPr>
        <w:tblStyle w:val="3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70" w:type="dxa"/>
          <w:bottom w:w="0" w:type="dxa"/>
          <w:right w:w="70" w:type="dxa"/>
        </w:tblCellMar>
      </w:tblPr>
      <w:tblGrid>
        <w:gridCol w:w="853"/>
        <w:gridCol w:w="3790"/>
        <w:gridCol w:w="992"/>
        <w:gridCol w:w="30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tblHeader/>
          <w:jc w:val="center"/>
        </w:trPr>
        <w:tc>
          <w:tcPr>
            <w:tcW w:w="853" w:type="dxa"/>
            <w:shd w:val="clear" w:color="auto" w:fill="DEEAF6"/>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序号</w:t>
            </w:r>
          </w:p>
        </w:tc>
        <w:tc>
          <w:tcPr>
            <w:tcW w:w="3790" w:type="dxa"/>
            <w:shd w:val="clear" w:color="auto" w:fill="DEEAF6"/>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名称</w:t>
            </w:r>
          </w:p>
        </w:tc>
        <w:tc>
          <w:tcPr>
            <w:tcW w:w="992" w:type="dxa"/>
            <w:shd w:val="clear" w:color="auto" w:fill="DEEAF6"/>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数量</w:t>
            </w:r>
          </w:p>
        </w:tc>
        <w:tc>
          <w:tcPr>
            <w:tcW w:w="3080" w:type="dxa"/>
            <w:shd w:val="clear" w:color="auto" w:fill="DEEAF6"/>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快速原型开发系统（针对复杂控制器）</w:t>
            </w:r>
          </w:p>
        </w:tc>
        <w:tc>
          <w:tcPr>
            <w:tcW w:w="992"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2套</w:t>
            </w:r>
          </w:p>
        </w:tc>
        <w:tc>
          <w:tcPr>
            <w:tcW w:w="308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快速原型开发系统（针对一般控制器）</w:t>
            </w:r>
          </w:p>
        </w:tc>
        <w:tc>
          <w:tcPr>
            <w:tcW w:w="992"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2套</w:t>
            </w:r>
          </w:p>
        </w:tc>
        <w:tc>
          <w:tcPr>
            <w:tcW w:w="308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设备系统使用说明书</w:t>
            </w:r>
          </w:p>
        </w:tc>
        <w:tc>
          <w:tcPr>
            <w:tcW w:w="992"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2套</w:t>
            </w:r>
          </w:p>
        </w:tc>
        <w:tc>
          <w:tcPr>
            <w:tcW w:w="308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中文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系统软硬件清单</w:t>
            </w:r>
          </w:p>
        </w:tc>
        <w:tc>
          <w:tcPr>
            <w:tcW w:w="992"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2套</w:t>
            </w:r>
          </w:p>
        </w:tc>
        <w:tc>
          <w:tcPr>
            <w:tcW w:w="308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中文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硬件板卡说明书</w:t>
            </w:r>
          </w:p>
        </w:tc>
        <w:tc>
          <w:tcPr>
            <w:tcW w:w="992"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2套</w:t>
            </w:r>
          </w:p>
        </w:tc>
        <w:tc>
          <w:tcPr>
            <w:tcW w:w="308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中文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软件使用说明书</w:t>
            </w:r>
          </w:p>
        </w:tc>
        <w:tc>
          <w:tcPr>
            <w:tcW w:w="992"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2套</w:t>
            </w:r>
          </w:p>
        </w:tc>
        <w:tc>
          <w:tcPr>
            <w:tcW w:w="308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中文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技术培训资料</w:t>
            </w:r>
          </w:p>
        </w:tc>
        <w:tc>
          <w:tcPr>
            <w:tcW w:w="992"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2套</w:t>
            </w:r>
          </w:p>
        </w:tc>
        <w:tc>
          <w:tcPr>
            <w:tcW w:w="308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中文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信号列表</w:t>
            </w:r>
          </w:p>
        </w:tc>
        <w:tc>
          <w:tcPr>
            <w:tcW w:w="992"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2套</w:t>
            </w:r>
          </w:p>
        </w:tc>
        <w:tc>
          <w:tcPr>
            <w:tcW w:w="3080" w:type="dxa"/>
            <w:vAlign w:val="center"/>
          </w:tcPr>
          <w:p>
            <w:pPr>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中文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9</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测试报告</w:t>
            </w:r>
          </w:p>
        </w:tc>
        <w:tc>
          <w:tcPr>
            <w:tcW w:w="992"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2套</w:t>
            </w:r>
          </w:p>
        </w:tc>
        <w:tc>
          <w:tcPr>
            <w:tcW w:w="308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中文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70" w:type="dxa"/>
            <w:bottom w:w="0" w:type="dxa"/>
            <w:right w:w="70" w:type="dxa"/>
          </w:tblCellMar>
        </w:tblPrEx>
        <w:trPr>
          <w:cantSplit/>
          <w:trHeight w:val="340" w:hRule="atLeast"/>
          <w:jc w:val="center"/>
        </w:trPr>
        <w:tc>
          <w:tcPr>
            <w:tcW w:w="853"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10</w:t>
            </w:r>
          </w:p>
        </w:tc>
        <w:tc>
          <w:tcPr>
            <w:tcW w:w="379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快速原型开发系统备用连接线束</w:t>
            </w:r>
          </w:p>
        </w:tc>
        <w:tc>
          <w:tcPr>
            <w:tcW w:w="992" w:type="dxa"/>
            <w:vAlign w:val="center"/>
          </w:tcPr>
          <w:p>
            <w:pPr>
              <w:pStyle w:val="124"/>
              <w:pageBreakBefore w:val="0"/>
              <w:kinsoku/>
              <w:wordWrap/>
              <w:overflowPunct/>
              <w:topLinePunct w:val="0"/>
              <w:bidi w:val="0"/>
              <w:snapToGrid/>
              <w:spacing w:beforeLines="0" w:afterLines="0" w:line="360" w:lineRule="auto"/>
              <w:jc w:val="center"/>
              <w:textAlignment w:val="auto"/>
              <w:rPr>
                <w:rFonts w:hint="eastAsia" w:ascii="宋体" w:hAnsi="宋体" w:eastAsia="宋体" w:cs="宋体"/>
                <w:sz w:val="24"/>
                <w:szCs w:val="24"/>
              </w:rPr>
            </w:pPr>
          </w:p>
        </w:tc>
        <w:tc>
          <w:tcPr>
            <w:tcW w:w="3080" w:type="dxa"/>
            <w:vAlign w:val="center"/>
          </w:tcPr>
          <w:p>
            <w:pPr>
              <w:pStyle w:val="124"/>
              <w:pageBreakBefore w:val="0"/>
              <w:kinsoku/>
              <w:wordWrap/>
              <w:overflowPunct/>
              <w:topLinePunct w:val="0"/>
              <w:bidi w:val="0"/>
              <w:snapToGrid/>
              <w:spacing w:beforeLines="0" w:afterLines="0" w:line="360" w:lineRule="auto"/>
              <w:textAlignment w:val="auto"/>
              <w:rPr>
                <w:rFonts w:hint="eastAsia" w:ascii="宋体" w:hAnsi="宋体" w:eastAsia="宋体" w:cs="宋体"/>
                <w:sz w:val="24"/>
                <w:szCs w:val="24"/>
              </w:rPr>
            </w:pPr>
            <w:r>
              <w:rPr>
                <w:rFonts w:hint="eastAsia" w:ascii="宋体" w:hAnsi="宋体" w:eastAsia="宋体" w:cs="宋体"/>
                <w:sz w:val="24"/>
                <w:szCs w:val="24"/>
              </w:rPr>
              <w:t>每套设备附带1组备用连接线束</w:t>
            </w:r>
          </w:p>
        </w:tc>
      </w:tr>
    </w:tbl>
    <w:p>
      <w:pPr>
        <w:pStyle w:val="132"/>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3.5.3交付时间</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以上交付内容在签订合同后于4个月之内交付到甲方现场（包括设备的设计、制造、预验收和发运时间）</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设备运输过程中，需采取防水、防震措施以保证设备安全。</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设备到货后投标人需在1个月内完成设备安装调试工作，保证设备进入试运行状态。</w:t>
      </w:r>
    </w:p>
    <w:p>
      <w:pPr>
        <w:pStyle w:val="117"/>
        <w:pageBreakBefore w:val="0"/>
        <w:kinsoku/>
        <w:wordWrap/>
        <w:overflowPunct/>
        <w:topLinePunct w:val="0"/>
        <w:bidi w:val="0"/>
        <w:snapToGri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3.6、项目验收</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1．系统完整性验收</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a）对照技术要求中的供货范围，对提交的设备进行确认需提供完整的项目资料，主要包括系统硬件、系统软件、底层软件和上位机软件等方面。甲方对所提交的工程文件、文档资料进行确认。</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b）乙方提供完整的验收测试服务，包括信号测试以验证各通道功能正常。</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乙方为甲方提供四套快速原型开发系统的建立和运行，除了基本的硬件、软件外，还需要工程服务，主要包括：系统硬件培训、系统软件培训、系统功能测试。针对甲方提供的复杂控制器和一般控制器样例进行。</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2．系统功能性验收</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2.1系统IO功能测试</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对设备的I/O通道进行功能测试。</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主要包括：</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a）模拟产生控制器所需的输入信号，并在快速原型开发系统建模配置对应通道，在上位机软件中确认快速原型开发系统处理的信号是否满足要求。</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b）在快速原型开发系统建模配置对应通道，输出信号，并用上位机软件输出目标值，并使用示波器测量对应通道，确认通道输出信号是否满足要求。</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c）复杂驱动及发动机相关功能的板卡，除上述测试外，接入实际被控系统进行相关功能验证。</w:t>
      </w:r>
    </w:p>
    <w:p>
      <w:pPr>
        <w:pStyle w:val="117"/>
        <w:pageBreakBefore w:val="0"/>
        <w:kinsoku/>
        <w:wordWrap/>
        <w:overflowPunct/>
        <w:topLinePunct w:val="0"/>
        <w:bidi w:val="0"/>
        <w:snapToGrid/>
        <w:spacing w:line="360" w:lineRule="auto"/>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3.6、质保及售后</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质量保证期为自最终验收协议签署生效之日起12 个月。在质保期内，乙方需要完成的工作包括以下内容：</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设备使用过程中发现的质量问题，要求乙方会在接到通知后24小时内到现场进行处理，直到解决问题；若该质量问题在发现后7日内不能解决，甲方可以要求解除合同，供需双方退款退货；</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在质保期内，如产品出现非人为损坏的质量问题，乙方负责免费对产品进行维修或者更换。非质量问题的技术请求，乙方应在12小时内进行响应，并通过电话、邮件或者现场协助进行解决；</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质保期满后，乙方可以继续以市场成本价格提供备品备件及维修服务，对设备故障负责提供有偿服务，收取材料的成本费。同时提供易损件清单、价格及其采购渠道信息，以便甲方在需要时以最快的速度、合理的价格购得所需配件。</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质保期内，如系统设备运行发生故障或出现一般零部件的损坏情况，乙方会应在24小时内完成设备的免费检修，如需更换部件，我方会提供不低于故障设备规格型号档次的备用部件，且重新开始计算质保期，检修期从质保期内扣除；</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提供定期的设备维护和平台检查，包括系统使用情况回访。保证每半年一次售后服务工程师或销售工程师到现场回访，不定期的电话回访，主动发现和解决设备在长期使用过程中的问题；</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如设备出现重大质量问题，乙方应指派技术人员12小时内赶赴现场进行故障处理。遇到重大技术问题，及时组织有关技术专家进行会诊，并采取相应措施以确保系统的正常运行；</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质保期满后，只要用户继续持有设备，乙方仍然能够提供对该设备的终身售后服务和技术支持。提供邮件和电话的免费技术支持，必要时安排技术人员到用户现场服务。</w:t>
      </w:r>
    </w:p>
    <w:p>
      <w:pPr>
        <w:pStyle w:val="112"/>
        <w:spacing w:line="360" w:lineRule="auto"/>
        <w:ind w:firstLine="482" w:firstLineChars="200"/>
        <w:outlineLvl w:val="2"/>
        <w:rPr>
          <w:rFonts w:hint="eastAsia" w:ascii="宋体" w:hAnsi="宋体" w:eastAsia="宋体" w:cs="宋体"/>
          <w:b/>
          <w:bCs w:val="0"/>
          <w:sz w:val="24"/>
          <w:szCs w:val="24"/>
        </w:rPr>
      </w:pPr>
      <w:r>
        <w:rPr>
          <w:rFonts w:hint="eastAsia" w:ascii="宋体" w:hAnsi="宋体" w:eastAsia="宋体" w:cs="宋体"/>
          <w:b/>
          <w:bCs w:val="0"/>
          <w:sz w:val="24"/>
          <w:szCs w:val="24"/>
        </w:rPr>
        <w:t>四、执行标准</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pageBreakBefore w:val="0"/>
        <w:kinsoku/>
        <w:wordWrap/>
        <w:overflowPunct/>
        <w:topLinePunct w:val="0"/>
        <w:bidi w:val="0"/>
        <w:snapToGrid/>
        <w:spacing w:line="360" w:lineRule="auto"/>
        <w:ind w:left="480"/>
        <w:textAlignment w:val="auto"/>
        <w:rPr>
          <w:rFonts w:hint="eastAsia" w:ascii="宋体" w:hAnsi="宋体" w:eastAsia="宋体" w:cs="宋体"/>
          <w:sz w:val="24"/>
          <w:szCs w:val="24"/>
        </w:rPr>
      </w:pPr>
      <w:r>
        <w:rPr>
          <w:rFonts w:hint="eastAsia" w:ascii="宋体" w:hAnsi="宋体" w:eastAsia="宋体" w:cs="宋体"/>
          <w:sz w:val="24"/>
          <w:szCs w:val="24"/>
        </w:rPr>
        <w:t xml:space="preserve">7、涉及的主要标准表  </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4110"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4110"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pPr>
              <w:pageBreakBefore w:val="0"/>
              <w:kinsoku/>
              <w:wordWrap/>
              <w:overflowPunct/>
              <w:topLinePunct w:val="0"/>
              <w:bidi w:val="0"/>
              <w:snapToGrid/>
              <w:spacing w:line="360" w:lineRule="auto"/>
              <w:ind w:left="480"/>
              <w:jc w:val="center"/>
              <w:textAlignment w:val="auto"/>
              <w:rPr>
                <w:rFonts w:hint="eastAsia" w:ascii="宋体" w:hAnsi="宋体" w:eastAsia="宋体" w:cs="宋体"/>
                <w:sz w:val="24"/>
                <w:szCs w:val="24"/>
              </w:rPr>
            </w:pPr>
          </w:p>
        </w:tc>
        <w:tc>
          <w:tcPr>
            <w:tcW w:w="2062"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卖方确认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4110"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pPr>
              <w:pageBreakBefore w:val="0"/>
              <w:kinsoku/>
              <w:wordWrap/>
              <w:overflowPunct/>
              <w:topLinePunct w:val="0"/>
              <w:bidi w:val="0"/>
              <w:snapToGrid/>
              <w:spacing w:line="360" w:lineRule="auto"/>
              <w:ind w:left="480"/>
              <w:jc w:val="center"/>
              <w:textAlignment w:val="auto"/>
              <w:rPr>
                <w:rFonts w:hint="eastAsia" w:ascii="宋体" w:hAnsi="宋体" w:eastAsia="宋体" w:cs="宋体"/>
                <w:sz w:val="24"/>
                <w:szCs w:val="24"/>
              </w:rPr>
            </w:pPr>
          </w:p>
        </w:tc>
        <w:tc>
          <w:tcPr>
            <w:tcW w:w="2062" w:type="dxa"/>
            <w:vAlign w:val="center"/>
          </w:tcPr>
          <w:p>
            <w:pPr>
              <w:pageBreakBefore w:val="0"/>
              <w:kinsoku/>
              <w:wordWrap/>
              <w:overflowPunct/>
              <w:topLinePunct w:val="0"/>
              <w:bidi w:val="0"/>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卖方确认</w:t>
            </w:r>
          </w:p>
        </w:tc>
      </w:tr>
    </w:tbl>
    <w:p>
      <w:pPr>
        <w:pStyle w:val="2"/>
        <w:rPr>
          <w:rFonts w:hint="eastAsia"/>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7"/>
    </w:p>
    <w:p/>
    <w:p>
      <w:pPr>
        <w:keepNext/>
        <w:keepLines/>
        <w:pageBreakBefore w:val="0"/>
        <w:kinsoku/>
        <w:wordWrap/>
        <w:overflowPunct/>
        <w:topLinePunct w:val="0"/>
        <w:autoSpaceDE/>
        <w:autoSpaceDN/>
        <w:bidi w:val="0"/>
        <w:spacing w:line="360" w:lineRule="auto"/>
        <w:jc w:val="center"/>
        <w:outlineLvl w:val="2"/>
        <w:rPr>
          <w:rFonts w:ascii="宋体" w:hAnsi="宋体" w:eastAsia="宋体" w:cs="宋体"/>
          <w:b/>
          <w:bCs/>
          <w:sz w:val="24"/>
          <w:szCs w:val="32"/>
        </w:rPr>
      </w:pPr>
      <w:bookmarkStart w:id="28" w:name="_Toc169605882"/>
      <w:r>
        <w:rPr>
          <w:rFonts w:hint="eastAsia" w:ascii="宋体" w:hAnsi="宋体" w:eastAsia="宋体" w:cs="宋体"/>
          <w:b/>
          <w:bCs/>
          <w:sz w:val="24"/>
          <w:szCs w:val="32"/>
        </w:rPr>
        <w:t>第一节  供货范围</w:t>
      </w:r>
      <w:bookmarkEnd w:id="28"/>
    </w:p>
    <w:p>
      <w:pPr>
        <w:pStyle w:val="125"/>
        <w:pageBreakBefore w:val="0"/>
        <w:numPr>
          <w:ilvl w:val="0"/>
          <w:numId w:val="10"/>
        </w:numPr>
        <w:kinsoku/>
        <w:wordWrap/>
        <w:overflowPunct/>
        <w:topLinePunct w:val="0"/>
        <w:autoSpaceDE/>
        <w:autoSpaceDN/>
        <w:bidi w:val="0"/>
        <w:spacing w:line="360" w:lineRule="auto"/>
        <w:ind w:firstLineChars="0"/>
        <w:outlineLvl w:val="3"/>
        <w:rPr>
          <w:rFonts w:ascii="宋体" w:hAnsi="宋体" w:eastAsia="宋体" w:cs="宋体"/>
          <w:b/>
          <w:bCs/>
          <w:sz w:val="24"/>
          <w:szCs w:val="24"/>
        </w:rPr>
      </w:pPr>
      <w:r>
        <w:rPr>
          <w:rFonts w:hint="eastAsia" w:ascii="宋体" w:hAnsi="宋体" w:eastAsia="宋体" w:cs="宋体"/>
          <w:b/>
          <w:bCs/>
          <w:sz w:val="24"/>
          <w:szCs w:val="24"/>
          <w:highlight w:val="yellow"/>
        </w:rPr>
        <w:t>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121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序号</w:t>
            </w:r>
          </w:p>
        </w:tc>
        <w:tc>
          <w:tcPr>
            <w:tcW w:w="3520" w:type="dxa"/>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名称</w:t>
            </w:r>
          </w:p>
        </w:tc>
        <w:tc>
          <w:tcPr>
            <w:tcW w:w="1215" w:type="dxa"/>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1218" w:type="dxa"/>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268" w:type="dxa"/>
            <w:vAlign w:val="center"/>
          </w:tcPr>
          <w:p>
            <w:pPr>
              <w:spacing w:line="360" w:lineRule="auto"/>
              <w:jc w:val="center"/>
              <w:textAlignment w:val="center"/>
              <w:rPr>
                <w:rFonts w:hint="eastAsia"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1</w:t>
            </w:r>
          </w:p>
        </w:tc>
        <w:tc>
          <w:tcPr>
            <w:tcW w:w="3520"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快速原型开发系统（针对一般控制器）</w:t>
            </w:r>
          </w:p>
        </w:tc>
        <w:tc>
          <w:tcPr>
            <w:tcW w:w="1215"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套</w:t>
            </w:r>
          </w:p>
        </w:tc>
        <w:tc>
          <w:tcPr>
            <w:tcW w:w="121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2</w:t>
            </w:r>
          </w:p>
        </w:tc>
        <w:tc>
          <w:tcPr>
            <w:tcW w:w="226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快速原型开发系统（针对一般控制器）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2</w:t>
            </w:r>
          </w:p>
        </w:tc>
        <w:tc>
          <w:tcPr>
            <w:tcW w:w="3520"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设备系统使用说明书</w:t>
            </w:r>
          </w:p>
        </w:tc>
        <w:tc>
          <w:tcPr>
            <w:tcW w:w="1215"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套</w:t>
            </w:r>
          </w:p>
        </w:tc>
        <w:tc>
          <w:tcPr>
            <w:tcW w:w="121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w:t>
            </w:r>
          </w:p>
        </w:tc>
        <w:tc>
          <w:tcPr>
            <w:tcW w:w="226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设备系统使用说明书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3</w:t>
            </w:r>
          </w:p>
        </w:tc>
        <w:tc>
          <w:tcPr>
            <w:tcW w:w="3520"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系统软硬件清单</w:t>
            </w:r>
          </w:p>
        </w:tc>
        <w:tc>
          <w:tcPr>
            <w:tcW w:w="1215"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套</w:t>
            </w:r>
          </w:p>
        </w:tc>
        <w:tc>
          <w:tcPr>
            <w:tcW w:w="121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w:t>
            </w:r>
          </w:p>
        </w:tc>
        <w:tc>
          <w:tcPr>
            <w:tcW w:w="226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系统软硬件清单</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4</w:t>
            </w:r>
          </w:p>
        </w:tc>
        <w:tc>
          <w:tcPr>
            <w:tcW w:w="3520"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硬件板卡说明书</w:t>
            </w:r>
          </w:p>
        </w:tc>
        <w:tc>
          <w:tcPr>
            <w:tcW w:w="1215"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套</w:t>
            </w:r>
          </w:p>
        </w:tc>
        <w:tc>
          <w:tcPr>
            <w:tcW w:w="121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w:t>
            </w:r>
          </w:p>
        </w:tc>
        <w:tc>
          <w:tcPr>
            <w:tcW w:w="226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硬件板卡说明书</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5</w:t>
            </w:r>
          </w:p>
        </w:tc>
        <w:tc>
          <w:tcPr>
            <w:tcW w:w="3520"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软件使用说明书</w:t>
            </w:r>
          </w:p>
        </w:tc>
        <w:tc>
          <w:tcPr>
            <w:tcW w:w="1215"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套</w:t>
            </w:r>
          </w:p>
        </w:tc>
        <w:tc>
          <w:tcPr>
            <w:tcW w:w="121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w:t>
            </w:r>
          </w:p>
        </w:tc>
        <w:tc>
          <w:tcPr>
            <w:tcW w:w="226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软件使用说明书</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6</w:t>
            </w:r>
          </w:p>
        </w:tc>
        <w:tc>
          <w:tcPr>
            <w:tcW w:w="3520"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技术培训资料</w:t>
            </w:r>
          </w:p>
        </w:tc>
        <w:tc>
          <w:tcPr>
            <w:tcW w:w="1215"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套</w:t>
            </w:r>
          </w:p>
        </w:tc>
        <w:tc>
          <w:tcPr>
            <w:tcW w:w="121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w:t>
            </w:r>
          </w:p>
        </w:tc>
        <w:tc>
          <w:tcPr>
            <w:tcW w:w="226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技术培训资料</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0"/>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7</w:t>
            </w:r>
          </w:p>
        </w:tc>
        <w:tc>
          <w:tcPr>
            <w:tcW w:w="3520"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信号列表</w:t>
            </w:r>
          </w:p>
        </w:tc>
        <w:tc>
          <w:tcPr>
            <w:tcW w:w="1215" w:type="dxa"/>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color w:val="FF0000"/>
                <w:sz w:val="24"/>
                <w:szCs w:val="24"/>
                <w:highlight w:val="yellow"/>
              </w:rPr>
            </w:pPr>
            <w:r>
              <w:rPr>
                <w:rFonts w:hint="eastAsia" w:ascii="宋体" w:hAnsi="宋体" w:eastAsia="宋体" w:cs="宋体"/>
                <w:color w:val="FF0000"/>
                <w:sz w:val="24"/>
                <w:szCs w:val="24"/>
              </w:rPr>
              <w:t>套</w:t>
            </w:r>
          </w:p>
        </w:tc>
        <w:tc>
          <w:tcPr>
            <w:tcW w:w="121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w:t>
            </w:r>
          </w:p>
        </w:tc>
        <w:tc>
          <w:tcPr>
            <w:tcW w:w="2268" w:type="dxa"/>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color w:val="FF0000"/>
                <w:sz w:val="24"/>
                <w:szCs w:val="24"/>
                <w:highlight w:val="yellow"/>
              </w:rPr>
            </w:pPr>
            <w:r>
              <w:rPr>
                <w:rFonts w:hint="eastAsia" w:ascii="宋体" w:hAnsi="宋体" w:eastAsia="宋体" w:cs="宋体"/>
                <w:color w:val="FF0000"/>
                <w:sz w:val="24"/>
                <w:szCs w:val="24"/>
              </w:rPr>
              <w:t>信号列表</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0"/>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8</w:t>
            </w:r>
          </w:p>
        </w:tc>
        <w:tc>
          <w:tcPr>
            <w:tcW w:w="3520"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测试报告</w:t>
            </w:r>
          </w:p>
        </w:tc>
        <w:tc>
          <w:tcPr>
            <w:tcW w:w="1215" w:type="dxa"/>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color w:val="FF0000"/>
                <w:sz w:val="24"/>
                <w:szCs w:val="24"/>
                <w:highlight w:val="yellow"/>
              </w:rPr>
            </w:pPr>
            <w:r>
              <w:rPr>
                <w:rFonts w:hint="eastAsia" w:ascii="宋体" w:hAnsi="宋体" w:eastAsia="宋体" w:cs="宋体"/>
                <w:color w:val="FF0000"/>
                <w:sz w:val="24"/>
                <w:szCs w:val="24"/>
              </w:rPr>
              <w:t>套</w:t>
            </w:r>
          </w:p>
        </w:tc>
        <w:tc>
          <w:tcPr>
            <w:tcW w:w="1218" w:type="dxa"/>
            <w:vAlign w:val="center"/>
          </w:tcPr>
          <w:p>
            <w:pPr>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2</w:t>
            </w:r>
          </w:p>
        </w:tc>
        <w:tc>
          <w:tcPr>
            <w:tcW w:w="2268" w:type="dxa"/>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color w:val="FF0000"/>
                <w:sz w:val="24"/>
                <w:szCs w:val="24"/>
                <w:highlight w:val="yellow"/>
                <w:lang w:eastAsia="zh-CN"/>
              </w:rPr>
            </w:pPr>
            <w:r>
              <w:rPr>
                <w:rFonts w:hint="eastAsia" w:ascii="宋体" w:hAnsi="宋体" w:eastAsia="宋体" w:cs="宋体"/>
                <w:color w:val="FF0000"/>
                <w:sz w:val="24"/>
                <w:szCs w:val="24"/>
              </w:rPr>
              <w:t>测试报告</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pStyle w:val="30"/>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w:t>
            </w:r>
          </w:p>
        </w:tc>
        <w:tc>
          <w:tcPr>
            <w:tcW w:w="3520" w:type="dxa"/>
            <w:vAlign w:val="center"/>
          </w:tcPr>
          <w:p>
            <w:pPr>
              <w:pStyle w:val="30"/>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r>
              <w:rPr>
                <w:rFonts w:hint="eastAsia" w:ascii="宋体" w:hAnsi="宋体" w:eastAsia="宋体" w:cs="宋体"/>
                <w:color w:val="FF0000"/>
                <w:sz w:val="24"/>
                <w:szCs w:val="24"/>
              </w:rPr>
              <w:t>快速原型开发系统备用连接线束</w:t>
            </w:r>
          </w:p>
        </w:tc>
        <w:tc>
          <w:tcPr>
            <w:tcW w:w="1215" w:type="dxa"/>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color w:val="FF0000"/>
                <w:sz w:val="24"/>
                <w:szCs w:val="24"/>
                <w:highlight w:val="yellow"/>
              </w:rPr>
            </w:pPr>
          </w:p>
        </w:tc>
        <w:tc>
          <w:tcPr>
            <w:tcW w:w="1218" w:type="dxa"/>
            <w:vAlign w:val="center"/>
          </w:tcPr>
          <w:p>
            <w:pPr>
              <w:pStyle w:val="30"/>
              <w:pageBreakBefore w:val="0"/>
              <w:kinsoku/>
              <w:wordWrap/>
              <w:overflowPunct/>
              <w:topLinePunct w:val="0"/>
              <w:autoSpaceDE/>
              <w:autoSpaceDN/>
              <w:bidi w:val="0"/>
              <w:spacing w:line="360" w:lineRule="auto"/>
              <w:jc w:val="center"/>
              <w:rPr>
                <w:rFonts w:hint="eastAsia" w:ascii="宋体" w:hAnsi="宋体" w:eastAsia="宋体" w:cs="宋体"/>
                <w:color w:val="FF0000"/>
                <w:sz w:val="24"/>
                <w:szCs w:val="24"/>
              </w:rPr>
            </w:pPr>
          </w:p>
        </w:tc>
        <w:tc>
          <w:tcPr>
            <w:tcW w:w="2268" w:type="dxa"/>
            <w:vAlign w:val="center"/>
          </w:tcPr>
          <w:p>
            <w:pPr>
              <w:pageBreakBefore w:val="0"/>
              <w:kinsoku/>
              <w:wordWrap/>
              <w:overflowPunct/>
              <w:topLinePunct w:val="0"/>
              <w:autoSpaceDE/>
              <w:autoSpaceDN/>
              <w:bidi w:val="0"/>
              <w:spacing w:line="360" w:lineRule="auto"/>
              <w:jc w:val="center"/>
              <w:textAlignment w:val="center"/>
              <w:rPr>
                <w:rFonts w:hint="eastAsia" w:ascii="宋体" w:hAnsi="宋体" w:eastAsia="宋体" w:cs="宋体"/>
                <w:color w:val="FF0000"/>
                <w:sz w:val="24"/>
                <w:szCs w:val="24"/>
                <w:highlight w:val="yellow"/>
              </w:rPr>
            </w:pPr>
            <w:r>
              <w:rPr>
                <w:rFonts w:hint="eastAsia" w:ascii="宋体" w:hAnsi="宋体" w:eastAsia="宋体" w:cs="宋体"/>
                <w:color w:val="FF0000"/>
                <w:sz w:val="24"/>
                <w:szCs w:val="24"/>
              </w:rPr>
              <w:t>快速原型开发系统备用连接线束</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每套设备附带1组备用连接线束</w:t>
            </w:r>
          </w:p>
        </w:tc>
      </w:tr>
    </w:tbl>
    <w:p>
      <w:pPr>
        <w:pageBreakBefore w:val="0"/>
        <w:kinsoku/>
        <w:wordWrap/>
        <w:overflowPunct/>
        <w:topLinePunct w:val="0"/>
        <w:autoSpaceDE/>
        <w:autoSpaceDN/>
        <w:bidi w:val="0"/>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pageBreakBefore w:val="0"/>
        <w:kinsoku/>
        <w:wordWrap/>
        <w:overflowPunct/>
        <w:topLinePunct w:val="0"/>
        <w:autoSpaceDE/>
        <w:autoSpaceDN/>
        <w:bidi w:val="0"/>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rPr>
        <w:t xml:space="preserve"> </w:t>
      </w:r>
      <w:r>
        <w:rPr>
          <w:rFonts w:hint="eastAsia" w:ascii="宋体" w:hAnsi="宋体" w:eastAsia="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pageBreakBefore w:val="0"/>
        <w:kinsoku/>
        <w:wordWrap/>
        <w:overflowPunct/>
        <w:topLinePunct w:val="0"/>
        <w:autoSpaceDE/>
        <w:autoSpaceDN/>
        <w:bidi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pageBreakBefore w:val="0"/>
        <w:kinsoku/>
        <w:wordWrap/>
        <w:overflowPunct/>
        <w:topLinePunct w:val="0"/>
        <w:autoSpaceDE/>
        <w:autoSpaceDN/>
        <w:bidi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pageBreakBefore w:val="0"/>
        <w:kinsoku/>
        <w:wordWrap/>
        <w:overflowPunct/>
        <w:topLinePunct w:val="0"/>
        <w:autoSpaceDE/>
        <w:autoSpaceDN/>
        <w:bidi w:val="0"/>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hint="eastAsia"/>
        </w:rPr>
        <w:t xml:space="preserve"> </w:t>
      </w:r>
      <w:r>
        <w:rPr>
          <w:rFonts w:hint="eastAsia" w:ascii="宋体" w:hAnsi="宋体" w:eastAsia="宋体" w:cs="宋体"/>
          <w:sz w:val="24"/>
          <w:szCs w:val="24"/>
        </w:rPr>
        <w:t>在终验收前，提供为保证货物后续正常运行所需的具体技术要求等资料（如果供货范围包含该部分实物）。</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pageBreakBefore w:val="0"/>
        <w:kinsoku/>
        <w:wordWrap/>
        <w:overflowPunct/>
        <w:topLinePunct w:val="0"/>
        <w:autoSpaceDE/>
        <w:autoSpaceDN/>
        <w:bidi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29" w:name="_Toc169605883"/>
    </w:p>
    <w:p>
      <w:pPr>
        <w:pStyle w:val="2"/>
        <w:pageBreakBefore w:val="0"/>
        <w:kinsoku/>
        <w:wordWrap/>
        <w:overflowPunct/>
        <w:topLinePunct w:val="0"/>
        <w:autoSpaceDE/>
        <w:autoSpaceDN/>
        <w:bidi w:val="0"/>
        <w:spacing w:line="360" w:lineRule="auto"/>
      </w:pPr>
    </w:p>
    <w:p>
      <w:pPr>
        <w:keepNext/>
        <w:keepLines/>
        <w:pageBreakBefore w:val="0"/>
        <w:kinsoku/>
        <w:wordWrap/>
        <w:overflowPunct/>
        <w:topLinePunct w:val="0"/>
        <w:autoSpaceDE/>
        <w:autoSpaceDN/>
        <w:bidi w:val="0"/>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29"/>
    </w:p>
    <w:p>
      <w:pPr>
        <w:pageBreakBefore w:val="0"/>
        <w:kinsoku/>
        <w:wordWrap/>
        <w:overflowPunct/>
        <w:topLinePunct w:val="0"/>
        <w:autoSpaceDE/>
        <w:autoSpaceDN/>
        <w:bidi w:val="0"/>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pageBreakBefore w:val="0"/>
        <w:kinsoku/>
        <w:wordWrap/>
        <w:overflowPunct/>
        <w:topLinePunct w:val="0"/>
        <w:autoSpaceDE/>
        <w:autoSpaceDN/>
        <w:bidi w:val="0"/>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pageBreakBefore w:val="0"/>
        <w:kinsoku/>
        <w:wordWrap/>
        <w:overflowPunct/>
        <w:topLinePunct w:val="0"/>
        <w:autoSpaceDE/>
        <w:autoSpaceDN/>
        <w:bidi w:val="0"/>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olor w:val="000000"/>
          <w:sz w:val="24"/>
          <w:szCs w:val="24"/>
          <w:highlight w:val="yellow"/>
          <w:u w:val="single"/>
        </w:rPr>
        <w:t>山东省济南市历城区华奥路777号</w:t>
      </w:r>
      <w:r>
        <w:rPr>
          <w:rFonts w:hint="eastAsia" w:ascii="宋体" w:hAnsi="宋体" w:eastAsia="宋体" w:cs="宋体"/>
          <w:sz w:val="24"/>
          <w:szCs w:val="24"/>
        </w:rPr>
        <w:t>。</w:t>
      </w:r>
    </w:p>
    <w:p>
      <w:pPr>
        <w:pageBreakBefore w:val="0"/>
        <w:kinsoku/>
        <w:wordWrap/>
        <w:overflowPunct/>
        <w:topLinePunct w:val="0"/>
        <w:autoSpaceDE/>
        <w:autoSpaceDN/>
        <w:bidi w:val="0"/>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pageBreakBefore w:val="0"/>
        <w:kinsoku/>
        <w:wordWrap/>
        <w:overflowPunct/>
        <w:topLinePunct w:val="0"/>
        <w:autoSpaceDE/>
        <w:autoSpaceDN/>
        <w:bidi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rPr>
        <w:t>90</w:t>
      </w:r>
      <w:r>
        <w:rPr>
          <w:rFonts w:hint="eastAsia" w:ascii="宋体" w:hAnsi="宋体" w:eastAsia="宋体"/>
          <w:sz w:val="24"/>
          <w:szCs w:val="24"/>
        </w:rPr>
        <w:t>个日历日之内交货至供货地点。</w:t>
      </w:r>
    </w:p>
    <w:p>
      <w:pPr>
        <w:pageBreakBefore w:val="0"/>
        <w:kinsoku/>
        <w:wordWrap/>
        <w:overflowPunct/>
        <w:topLinePunct w:val="0"/>
        <w:autoSpaceDE/>
        <w:autoSpaceDN/>
        <w:bidi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shd w:val="clear" w:color="auto" w:fill="FFFF00"/>
        </w:rPr>
        <w:t>30</w:t>
      </w:r>
      <w:r>
        <w:rPr>
          <w:rFonts w:hint="eastAsia" w:ascii="宋体" w:hAnsi="宋体" w:eastAsia="宋体"/>
          <w:sz w:val="24"/>
          <w:szCs w:val="24"/>
        </w:rPr>
        <w:t>个日历日之内安装调试完毕。</w:t>
      </w:r>
    </w:p>
    <w:p>
      <w:pPr>
        <w:pageBreakBefore w:val="0"/>
        <w:kinsoku/>
        <w:wordWrap/>
        <w:overflowPunct/>
        <w:topLinePunct w:val="0"/>
        <w:autoSpaceDE/>
        <w:autoSpaceDN/>
        <w:bidi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3.接续</w:t>
      </w:r>
      <w:r>
        <w:rPr>
          <w:rFonts w:hint="eastAsia" w:ascii="宋体" w:hAnsi="宋体" w:eastAsia="宋体"/>
          <w:sz w:val="24"/>
          <w:szCs w:val="24"/>
          <w:u w:val="single"/>
          <w:shd w:val="clear" w:color="auto" w:fill="FFFF00"/>
          <w:lang w:val="en-US" w:eastAsia="zh-CN"/>
        </w:rPr>
        <w:t>30</w:t>
      </w:r>
      <w:r>
        <w:rPr>
          <w:rFonts w:hint="eastAsia" w:ascii="宋体" w:hAnsi="宋体" w:eastAsia="宋体"/>
          <w:sz w:val="24"/>
          <w:szCs w:val="24"/>
        </w:rPr>
        <w:t>个日历日之内完成终验收。</w:t>
      </w:r>
    </w:p>
    <w:p>
      <w:pPr>
        <w:pageBreakBefore w:val="0"/>
        <w:kinsoku/>
        <w:wordWrap/>
        <w:overflowPunct/>
        <w:topLinePunct w:val="0"/>
        <w:autoSpaceDE/>
        <w:autoSpaceDN/>
        <w:bidi w:val="0"/>
        <w:spacing w:line="360" w:lineRule="auto"/>
        <w:ind w:firstLine="480" w:firstLineChars="200"/>
        <w:jc w:val="left"/>
        <w:rPr>
          <w:rFonts w:ascii="宋体" w:hAnsi="宋体" w:eastAsia="宋体"/>
          <w:sz w:val="24"/>
          <w:szCs w:val="24"/>
        </w:rPr>
      </w:pPr>
      <w:r>
        <w:rPr>
          <w:rFonts w:hint="eastAsia" w:ascii="宋体" w:hAnsi="宋体" w:eastAsia="宋体"/>
          <w:sz w:val="24"/>
          <w:szCs w:val="24"/>
          <w:shd w:val="clear" w:fill="FFFF00"/>
        </w:rPr>
        <w:t>安装调试时间或终验收时间超过规定时间</w:t>
      </w:r>
      <w:r>
        <w:rPr>
          <w:rFonts w:hint="eastAsia" w:ascii="宋体" w:hAnsi="宋体" w:eastAsia="宋体"/>
          <w:sz w:val="24"/>
          <w:szCs w:val="24"/>
        </w:rPr>
        <w:t>的，投标人应当随标书提供详细的工期计划。</w:t>
      </w:r>
    </w:p>
    <w:p>
      <w:pPr>
        <w:pageBreakBefore w:val="0"/>
        <w:kinsoku/>
        <w:wordWrap/>
        <w:overflowPunct/>
        <w:topLinePunct w:val="0"/>
        <w:autoSpaceDE/>
        <w:autoSpaceDN/>
        <w:bidi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pageBreakBefore w:val="0"/>
        <w:kinsoku/>
        <w:wordWrap/>
        <w:overflowPunct/>
        <w:topLinePunct w:val="0"/>
        <w:autoSpaceDE/>
        <w:autoSpaceDN/>
        <w:bidi w:val="0"/>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pageBreakBefore w:val="0"/>
        <w:kinsoku/>
        <w:wordWrap/>
        <w:overflowPunct/>
        <w:topLinePunct w:val="0"/>
        <w:autoSpaceDE/>
        <w:autoSpaceDN/>
        <w:bidi w:val="0"/>
        <w:adjustRightInd w:val="0"/>
        <w:snapToGrid w:val="0"/>
        <w:spacing w:line="360" w:lineRule="auto"/>
        <w:rPr>
          <w:rFonts w:ascii="宋体" w:hAnsi="Calibri" w:eastAsia="宋体" w:cs="Times New Roman"/>
          <w:szCs w:val="20"/>
        </w:rPr>
      </w:pPr>
    </w:p>
    <w:p>
      <w:pPr>
        <w:pageBreakBefore w:val="0"/>
        <w:widowControl/>
        <w:kinsoku/>
        <w:wordWrap/>
        <w:overflowPunct/>
        <w:topLinePunct w:val="0"/>
        <w:autoSpaceDE/>
        <w:autoSpaceDN/>
        <w:bidi w:val="0"/>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pageBreakBefore w:val="0"/>
        <w:kinsoku/>
        <w:wordWrap/>
        <w:overflowPunct/>
        <w:topLinePunct w:val="0"/>
        <w:autoSpaceDE/>
        <w:autoSpaceDN/>
        <w:bidi w:val="0"/>
        <w:spacing w:line="360" w:lineRule="auto"/>
        <w:jc w:val="center"/>
        <w:outlineLvl w:val="1"/>
        <w:rPr>
          <w:rFonts w:ascii="Calibri" w:hAnsi="Calibri" w:eastAsia="宋体" w:cs="Times New Roman"/>
          <w:b/>
          <w:bCs/>
          <w:kern w:val="44"/>
          <w:sz w:val="28"/>
          <w:szCs w:val="28"/>
        </w:rPr>
      </w:pPr>
      <w:bookmarkStart w:id="30"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0"/>
    </w:p>
    <w:p>
      <w:pPr>
        <w:pStyle w:val="117"/>
        <w:pageBreakBefore w:val="0"/>
        <w:kinsoku/>
        <w:wordWrap/>
        <w:overflowPunct/>
        <w:topLinePunct w:val="0"/>
        <w:autoSpaceDE/>
        <w:autoSpaceDN/>
        <w:bidi w:val="0"/>
        <w:spacing w:line="360" w:lineRule="auto"/>
      </w:pPr>
      <w:r>
        <w:rPr>
          <w:rFonts w:hint="eastAsia"/>
        </w:rPr>
        <w:t>一、质保期及质保要求</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7"/>
        <w:pageBreakBefore w:val="0"/>
        <w:kinsoku/>
        <w:wordWrap/>
        <w:overflowPunct/>
        <w:topLinePunct w:val="0"/>
        <w:autoSpaceDE/>
        <w:autoSpaceDN/>
        <w:bidi w:val="0"/>
        <w:spacing w:line="360" w:lineRule="auto"/>
        <w:rPr>
          <w:rFonts w:ascii="宋体" w:hAnsi="宋体" w:cs="宋体"/>
        </w:rPr>
      </w:pPr>
      <w:r>
        <w:rPr>
          <w:rFonts w:hint="eastAsia" w:ascii="宋体" w:hAnsi="宋体" w:cs="宋体"/>
        </w:rPr>
        <w:t>二、技术及培训服务</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3.若卖方提供货物涉及到外购外协货物、而且该货物的技术质量等较为关键时，卖方应能保证得到配套厂家的技术支持，并免费为买方提供技术服务。</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5.应按要求免费积极协助和提供招标方以及招标方所委托的工程设计单位有关人员所需要的、与货物有关的工程设计资料、技术咨询等。</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6.若投标方提供货物涉及到外购外协货物、而且该货物的技术质量等较为关键时，投标方应能保证得到配套厂家的技术支持，并免费为招标方提供技术服务。</w:t>
      </w:r>
    </w:p>
    <w:p>
      <w:pPr>
        <w:pStyle w:val="117"/>
        <w:pageBreakBefore w:val="0"/>
        <w:kinsoku/>
        <w:wordWrap/>
        <w:overflowPunct/>
        <w:topLinePunct w:val="0"/>
        <w:autoSpaceDE/>
        <w:autoSpaceDN/>
        <w:bidi w:val="0"/>
        <w:spacing w:line="360" w:lineRule="auto"/>
        <w:rPr>
          <w:rFonts w:ascii="宋体" w:hAnsi="宋体" w:cs="宋体"/>
        </w:rPr>
      </w:pPr>
      <w:r>
        <w:rPr>
          <w:rFonts w:hint="eastAsia" w:ascii="宋体" w:hAnsi="宋体" w:cs="宋体"/>
        </w:rPr>
        <w:t>三、安装调试及验收服务</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2.若卖方提供的货物涉及到外购外协货物、而且该货物的技术质量等较为关键时，应保证能得到供应商的技术支持，并免费为买方提供安装使用现场的指导与培训。</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5.卖方应当向买方提供货物试验、验收的有关标准、规范和方法，同时提供货物涉及并使用的软件合法性证明。</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6.服务缺陷视同货物缺陷和履约延期。</w:t>
      </w:r>
    </w:p>
    <w:p>
      <w:pPr>
        <w:pStyle w:val="117"/>
        <w:pageBreakBefore w:val="0"/>
        <w:kinsoku/>
        <w:wordWrap/>
        <w:overflowPunct/>
        <w:topLinePunct w:val="0"/>
        <w:autoSpaceDE/>
        <w:autoSpaceDN/>
        <w:bidi w:val="0"/>
        <w:spacing w:line="360" w:lineRule="auto"/>
        <w:rPr>
          <w:rFonts w:ascii="宋体" w:hAnsi="宋体" w:cs="宋体"/>
        </w:rPr>
      </w:pPr>
      <w:r>
        <w:rPr>
          <w:rFonts w:hint="eastAsia" w:ascii="宋体" w:hAnsi="宋体" w:cs="宋体"/>
        </w:rPr>
        <w:t>四、售后服务</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1.卖方提供的货物涉及的所有售后服务均由卖方负责。如果发生问题并且收到通知，卖方应当在2小时内予以答复。</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48 小时内提供免费技术支持（不限于电话、远程 、邮件、视频等方式）。</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3.卖方派往买方使用现场的人员，应具有较高的业务素质；现场解决问题时，不得无故拖延或推迟，应为买方提供最佳的服务。</w:t>
      </w:r>
    </w:p>
    <w:p>
      <w:pPr>
        <w:pStyle w:val="117"/>
        <w:pageBreakBefore w:val="0"/>
        <w:kinsoku/>
        <w:wordWrap/>
        <w:overflowPunct/>
        <w:topLinePunct w:val="0"/>
        <w:autoSpaceDE/>
        <w:autoSpaceDN/>
        <w:bidi w:val="0"/>
        <w:spacing w:line="360" w:lineRule="auto"/>
        <w:rPr>
          <w:rFonts w:ascii="宋体" w:hAnsi="宋体" w:cs="宋体"/>
        </w:rPr>
      </w:pPr>
      <w:r>
        <w:rPr>
          <w:rFonts w:hint="eastAsia" w:ascii="宋体" w:hAnsi="宋体" w:cs="宋体"/>
        </w:rPr>
        <w:t>五、其它服务</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pageBreakBefore w:val="0"/>
        <w:kinsoku/>
        <w:wordWrap/>
        <w:overflowPunct/>
        <w:topLinePunct w:val="0"/>
        <w:autoSpaceDE/>
        <w:autoSpaceDN/>
        <w:bidi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
        <w:pageBreakBefore w:val="0"/>
        <w:kinsoku/>
        <w:wordWrap/>
        <w:overflowPunct/>
        <w:topLinePunct w:val="0"/>
        <w:autoSpaceDE/>
        <w:autoSpaceDN/>
        <w:bidi w:val="0"/>
        <w:spacing w:line="360" w:lineRule="auto"/>
        <w:rPr>
          <w:rFonts w:eastAsia="宋体"/>
        </w:rPr>
      </w:pPr>
      <w:r>
        <w:rPr>
          <w:rFonts w:eastAsia="宋体"/>
        </w:rPr>
        <w:br w:type="page"/>
      </w:r>
    </w:p>
    <w:p>
      <w:pPr>
        <w:keepNext/>
        <w:keepLines/>
        <w:pageBreakBefore w:val="0"/>
        <w:kinsoku/>
        <w:wordWrap/>
        <w:overflowPunct/>
        <w:topLinePunct w:val="0"/>
        <w:autoSpaceDE/>
        <w:autoSpaceDN/>
        <w:bidi w:val="0"/>
        <w:spacing w:line="360" w:lineRule="auto"/>
        <w:jc w:val="center"/>
        <w:outlineLvl w:val="1"/>
        <w:rPr>
          <w:rFonts w:ascii="Calibri" w:hAnsi="Calibri" w:eastAsia="宋体" w:cs="Times New Roman"/>
          <w:b/>
          <w:bCs/>
          <w:kern w:val="44"/>
          <w:sz w:val="28"/>
          <w:szCs w:val="28"/>
        </w:rPr>
      </w:pPr>
      <w:bookmarkStart w:id="31" w:name="_Toc465187646"/>
      <w:r>
        <w:rPr>
          <w:rFonts w:hint="eastAsia" w:ascii="Calibri" w:hAnsi="Calibri" w:eastAsia="宋体" w:cs="Times New Roman"/>
          <w:b/>
          <w:bCs/>
          <w:kern w:val="44"/>
          <w:sz w:val="28"/>
          <w:szCs w:val="28"/>
        </w:rPr>
        <w:t>第五章  终验收</w:t>
      </w:r>
      <w:bookmarkEnd w:id="31"/>
    </w:p>
    <w:p>
      <w:pPr>
        <w:pStyle w:val="117"/>
        <w:pageBreakBefore w:val="0"/>
        <w:kinsoku/>
        <w:wordWrap/>
        <w:overflowPunct/>
        <w:topLinePunct w:val="0"/>
        <w:autoSpaceDE/>
        <w:autoSpaceDN/>
        <w:bidi w:val="0"/>
        <w:spacing w:line="360" w:lineRule="auto"/>
        <w:rPr>
          <w:rFonts w:ascii="宋体" w:hAnsi="宋体" w:cs="宋体"/>
        </w:rPr>
      </w:pPr>
      <w:r>
        <w:rPr>
          <w:rFonts w:hint="eastAsia" w:ascii="宋体" w:hAnsi="宋体" w:cs="宋体"/>
        </w:rPr>
        <w:t>一、验收依据和验收标准</w:t>
      </w:r>
    </w:p>
    <w:p>
      <w:pPr>
        <w:pageBreakBefore w:val="0"/>
        <w:kinsoku/>
        <w:wordWrap/>
        <w:overflowPunct/>
        <w:topLinePunct w:val="0"/>
        <w:autoSpaceDE/>
        <w:autoSpaceDN/>
        <w:bidi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7"/>
        <w:pageBreakBefore w:val="0"/>
        <w:kinsoku/>
        <w:wordWrap/>
        <w:overflowPunct/>
        <w:topLinePunct w:val="0"/>
        <w:autoSpaceDE/>
        <w:autoSpaceDN/>
        <w:bidi w:val="0"/>
        <w:spacing w:line="360" w:lineRule="auto"/>
        <w:rPr>
          <w:rFonts w:ascii="宋体" w:hAnsi="宋体" w:cs="宋体"/>
        </w:rPr>
      </w:pPr>
      <w:r>
        <w:rPr>
          <w:rFonts w:hint="eastAsia" w:ascii="宋体" w:hAnsi="宋体" w:cs="宋体"/>
        </w:rPr>
        <w:t>二、检验</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pageBreakBefore w:val="0"/>
        <w:kinsoku/>
        <w:wordWrap/>
        <w:overflowPunct/>
        <w:topLinePunct w:val="0"/>
        <w:autoSpaceDE/>
        <w:autoSpaceDN/>
        <w:bidi w:val="0"/>
        <w:spacing w:line="360" w:lineRule="auto"/>
        <w:rPr>
          <w:rFonts w:ascii="宋体" w:hAnsi="宋体" w:cs="宋体"/>
        </w:rPr>
      </w:pPr>
      <w:r>
        <w:rPr>
          <w:rFonts w:hint="eastAsia" w:ascii="宋体" w:hAnsi="宋体" w:cs="宋体"/>
        </w:rPr>
        <w:t>三、验收基本条件</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bookmarkStart w:id="32" w:name="_Toc465187647"/>
      <w:r>
        <w:rPr>
          <w:rFonts w:hint="eastAsia" w:ascii="宋体" w:hAnsi="宋体" w:eastAsia="宋体"/>
          <w:color w:val="000000"/>
          <w:sz w:val="24"/>
          <w:szCs w:val="24"/>
        </w:rPr>
        <w:t>买卖双方按照合同约定执行了合同，同时货物完成了试运行并经检验合格，则具备验收条件。</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1.外观检查及供货清单确认：投标方提供的设备内容及数量应满足标书中的要求，文档资料应满足标书中的要求；设备应是全新的、完好的、无破损、无裂纹等；。</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2.设备运行时，货物应连续运行15天，每天连续10小时或单次连续运24小时，运行不死机或者卡顿延迟。</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 出现下列问题之一，视作验收失败：</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3.1 在整个验收过程中发生关键零部件损坏或重大故障；</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3.2 一般性故障超过2次；</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3.3 所有出现的维修调整，每次时间均超过90分钟；所有维修调整时间的总和超过总运行时间的5%；</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3.4 更换的零部件货值超过总货值的1%。</w:t>
      </w:r>
    </w:p>
    <w:p>
      <w:pPr>
        <w:pageBreakBefore w:val="0"/>
        <w:kinsoku/>
        <w:wordWrap/>
        <w:overflowPunct/>
        <w:topLinePunct w:val="0"/>
        <w:autoSpaceDE/>
        <w:autoSpaceDN/>
        <w:bidi w:val="0"/>
        <w:adjustRightInd w:val="0"/>
        <w:snapToGrid w:val="0"/>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4.累计负载运行实际性能（或生产率）达到合同规定。</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．系统完整性验收</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a）对照技术要求中的供货范围，对提交的设备进行确认需提供完整的项目资料，主要包括系统硬件、系统软件、底层软件和上位机软件等方面。甲方对所提交的工程文件、文档资料进行确认。</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b）乙方提供完整的验收测试服务，包括信号测试以验证各通道功能正常。</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乙方为甲方提供四套快速原型开发系统的建立和运行，除了基本的硬件、软件外，还需要工程服务，主要包括：系统硬件培训、系统软件培训、系统功能测试。针对甲方提供的复杂控制器和一般控制器样例进行。</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．系统功能性验收</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.1系统IO功能测试</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对设备的I/O通道进行功能测试。</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主要包括：</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a）模拟产生控制器所需的输入信号，并在快速原型开发系统建模配置对应通道，在上位机软件中确认快速原型开发系统处理的信号是否满足要求。</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b）在快速原型开发系统建模配置对应通道，输出信号，并用上位机软件输出目标值，并使用示波器测量对应通道，确认通道输出信号是否满足要求。</w:t>
      </w:r>
    </w:p>
    <w:p>
      <w:pPr>
        <w:pageBreakBefore w:val="0"/>
        <w:kinsoku/>
        <w:wordWrap/>
        <w:overflowPunct/>
        <w:topLinePunct w:val="0"/>
        <w:bidi w:val="0"/>
        <w:snapToGrid/>
        <w:spacing w:line="360" w:lineRule="auto"/>
        <w:ind w:left="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c）复杂驱动及发动机相关功能的板卡，除上述测试外，接入实际被控系统进行相关功能验证。</w:t>
      </w:r>
    </w:p>
    <w:p>
      <w:pPr>
        <w:pStyle w:val="130"/>
        <w:pageBreakBefore w:val="0"/>
        <w:kinsoku/>
        <w:wordWrap/>
        <w:overflowPunct/>
        <w:topLinePunct w:val="0"/>
        <w:autoSpaceDE/>
        <w:autoSpaceDN/>
        <w:bidi w:val="0"/>
        <w:spacing w:line="360" w:lineRule="auto"/>
        <w:outlineLvl w:val="1"/>
        <w:rPr>
          <w:rFonts w:eastAsia="宋体"/>
          <w:b/>
          <w:bCs w:val="0"/>
          <w:iCs/>
          <w:color w:val="auto"/>
          <w:sz w:val="28"/>
        </w:rPr>
      </w:pPr>
      <w:r>
        <w:rPr>
          <w:rFonts w:eastAsia="宋体"/>
          <w:b/>
          <w:bCs w:val="0"/>
          <w:iCs/>
          <w:color w:val="auto"/>
          <w:sz w:val="28"/>
        </w:rPr>
        <w:t>第六章  投标技术文件一般要求</w:t>
      </w:r>
      <w:bookmarkEnd w:id="32"/>
    </w:p>
    <w:p>
      <w:pPr>
        <w:pStyle w:val="117"/>
        <w:pageBreakBefore w:val="0"/>
        <w:kinsoku/>
        <w:wordWrap/>
        <w:overflowPunct/>
        <w:topLinePunct w:val="0"/>
        <w:autoSpaceDE/>
        <w:autoSpaceDN/>
        <w:bidi w:val="0"/>
        <w:spacing w:line="360" w:lineRule="auto"/>
        <w:rPr>
          <w:color w:val="auto"/>
        </w:rPr>
      </w:pPr>
      <w:r>
        <w:rPr>
          <w:color w:val="auto"/>
        </w:rPr>
        <w:t>一、技术文件一般内容要求</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pageBreakBefore w:val="0"/>
        <w:kinsoku/>
        <w:wordWrap/>
        <w:overflowPunct/>
        <w:topLinePunct w:val="0"/>
        <w:autoSpaceDE/>
        <w:autoSpaceDN/>
        <w:bidi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pageBreakBefore w:val="0"/>
        <w:kinsoku/>
        <w:wordWrap/>
        <w:overflowPunct/>
        <w:topLinePunct w:val="0"/>
        <w:autoSpaceDE/>
        <w:autoSpaceDN/>
        <w:bidi w:val="0"/>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rPr>
            </w:pPr>
          </w:p>
        </w:tc>
        <w:tc>
          <w:tcPr>
            <w:tcW w:w="1924" w:type="dxa"/>
          </w:tcPr>
          <w:p>
            <w:pPr>
              <w:adjustRightInd w:val="0"/>
              <w:snapToGrid w:val="0"/>
              <w:spacing w:line="360" w:lineRule="exact"/>
              <w:rPr>
                <w:rFonts w:ascii="宋体" w:hAnsi="宋体" w:eastAsia="宋体" w:cs="宋体"/>
              </w:rPr>
            </w:pPr>
          </w:p>
        </w:tc>
        <w:tc>
          <w:tcPr>
            <w:tcW w:w="1236" w:type="dxa"/>
          </w:tcPr>
          <w:p>
            <w:pPr>
              <w:adjustRightInd w:val="0"/>
              <w:snapToGrid w:val="0"/>
              <w:spacing w:line="360" w:lineRule="exact"/>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720" w:type="dxa"/>
          </w:tcPr>
          <w:p>
            <w:pPr>
              <w:adjustRightInd w:val="0"/>
              <w:snapToGrid w:val="0"/>
              <w:spacing w:line="360" w:lineRule="exact"/>
              <w:jc w:val="center"/>
              <w:rPr>
                <w:rFonts w:ascii="宋体" w:hAnsi="宋体" w:eastAsia="宋体" w:cs="宋体"/>
              </w:rPr>
            </w:pPr>
          </w:p>
        </w:tc>
        <w:tc>
          <w:tcPr>
            <w:tcW w:w="2235" w:type="dxa"/>
          </w:tcPr>
          <w:p>
            <w:pPr>
              <w:adjustRightInd w:val="0"/>
              <w:snapToGrid w:val="0"/>
              <w:spacing w:line="360" w:lineRule="exact"/>
              <w:rPr>
                <w:rFonts w:ascii="宋体" w:hAnsi="宋体" w:eastAsia="宋体" w:cs="宋体"/>
              </w:rPr>
            </w:pPr>
          </w:p>
        </w:tc>
      </w:tr>
    </w:tbl>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rPr>
          <w:rFonts w:ascii="宋体" w:hAnsi="宋体" w:cs="宋体"/>
          <w:color w:val="auto"/>
        </w:rPr>
      </w:pPr>
      <w:r>
        <w:rPr>
          <w:rFonts w:hint="eastAsia" w:ascii="宋体" w:hAnsi="宋体" w:cs="宋体"/>
          <w:color w:val="auto"/>
        </w:rPr>
        <w:t>二、技术文件中货物报价格式要求</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7"/>
        <w:rPr>
          <w:rFonts w:ascii="宋体" w:hAnsi="宋体" w:cs="宋体"/>
          <w:color w:val="auto"/>
        </w:rPr>
      </w:pPr>
      <w:r>
        <w:rPr>
          <w:rFonts w:hint="eastAsia" w:ascii="宋体" w:hAnsi="宋体" w:cs="宋体"/>
          <w:color w:val="auto"/>
        </w:rPr>
        <w:t>三、验收标准及内容要求</w:t>
      </w:r>
    </w:p>
    <w:p>
      <w:pPr>
        <w:adjustRightInd w:val="0"/>
        <w:snapToGrid w:val="0"/>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480" w:lineRule="exact"/>
        <w:rPr>
          <w:rFonts w:ascii="宋体" w:hAnsi="宋体" w:eastAsia="宋体" w:cs="宋体"/>
          <w:b w:val="0"/>
          <w:sz w:val="24"/>
          <w:szCs w:val="24"/>
        </w:rPr>
        <w:sectPr>
          <w:footerReference r:id="rId10" w:type="first"/>
          <w:footerReference r:id="rId9" w:type="default"/>
          <w:pgSz w:w="11906" w:h="16838"/>
          <w:pgMar w:top="1588" w:right="1418" w:bottom="1134" w:left="1418" w:header="851" w:footer="992" w:gutter="0"/>
          <w:pgNumType w:fmt="numberInDash"/>
          <w:cols w:space="720" w:num="1"/>
          <w:titlePg/>
          <w:docGrid w:linePitch="312" w:charSpace="0"/>
        </w:sectPr>
      </w:pPr>
      <w:bookmarkStart w:id="33" w:name="_Toc465187648"/>
    </w:p>
    <w:p>
      <w:pPr>
        <w:pStyle w:val="130"/>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bookmarkEnd w:id="33"/>
    </w:p>
    <w:p>
      <w:pPr>
        <w:pStyle w:val="117"/>
        <w:rPr>
          <w:rFonts w:ascii="宋体" w:hAnsi="宋体" w:cs="宋体"/>
          <w:color w:val="auto"/>
        </w:rPr>
      </w:pPr>
      <w:r>
        <w:rPr>
          <w:rFonts w:hint="eastAsia" w:ascii="宋体" w:hAnsi="宋体" w:cs="宋体"/>
          <w:color w:val="auto"/>
        </w:rPr>
        <w:t>一、要求</w:t>
      </w:r>
    </w:p>
    <w:p>
      <w:pPr>
        <w:pStyle w:val="19"/>
        <w:spacing w:line="420" w:lineRule="exact"/>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420" w:lineRule="exact"/>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420" w:lineRule="exact"/>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7"/>
        <w:rPr>
          <w:sz w:val="21"/>
          <w:szCs w:val="22"/>
        </w:rPr>
      </w:pPr>
      <w:r>
        <w:rPr>
          <w:rFonts w:hint="eastAsia" w:ascii="宋体" w:hAnsi="宋体" w:cs="宋体"/>
          <w:color w:val="auto"/>
        </w:rPr>
        <w:t>二、其他</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2"/>
        <w:spacing w:line="360" w:lineRule="auto"/>
        <w:rPr>
          <w:rFonts w:hAnsi="宋体" w:eastAsia="宋体" w:cs="宋体"/>
        </w:rPr>
        <w:sectPr>
          <w:pgSz w:w="11907" w:h="16840"/>
          <w:pgMar w:top="1304" w:right="1418" w:bottom="1304" w:left="1418" w:header="724" w:footer="851" w:gutter="0"/>
          <w:cols w:space="720" w:num="1"/>
          <w:docGrid w:linePitch="290" w:charSpace="-3931"/>
        </w:sectPr>
      </w:pPr>
    </w:p>
    <w:p>
      <w:pPr>
        <w:pStyle w:val="2"/>
      </w:pPr>
    </w:p>
    <w:p>
      <w:pPr>
        <w:spacing w:line="360" w:lineRule="auto"/>
        <w:jc w:val="center"/>
        <w:outlineLvl w:val="0"/>
        <w:rPr>
          <w:rFonts w:ascii="宋体" w:hAnsi="Calibri" w:eastAsia="宋体" w:cs="Times New Roman"/>
          <w:b/>
          <w:sz w:val="36"/>
          <w:szCs w:val="36"/>
        </w:rPr>
      </w:pPr>
      <w:bookmarkStart w:id="34"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4"/>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4"/>
        <w:jc w:val="center"/>
      </w:pPr>
      <w:r>
        <w:rPr>
          <w:rFonts w:hint="eastAsia"/>
        </w:rPr>
        <w:t>(合同以双方最终签署的版本为准)</w:t>
      </w:r>
    </w:p>
    <w:p>
      <w:pPr>
        <w:pStyle w:val="2"/>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35" w:name="_Toc11930"/>
      <w:bookmarkStart w:id="36" w:name="_Toc9465"/>
      <w:bookmarkStart w:id="37" w:name="_Toc16330018"/>
      <w:bookmarkStart w:id="38" w:name="_Toc17619"/>
      <w:bookmarkStart w:id="39" w:name="_Toc11823"/>
      <w:r>
        <w:rPr>
          <w:rFonts w:hint="eastAsia" w:ascii="黑体" w:hAnsi="黑体" w:eastAsia="黑体" w:cstheme="minorEastAsia"/>
          <w:b w:val="0"/>
          <w:sz w:val="28"/>
          <w:szCs w:val="28"/>
        </w:rPr>
        <w:t>1 合同设备</w:t>
      </w:r>
      <w:bookmarkEnd w:id="35"/>
      <w:bookmarkEnd w:id="36"/>
      <w:bookmarkEnd w:id="37"/>
      <w:bookmarkEnd w:id="38"/>
      <w:bookmarkEnd w:id="3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0" w:name="_Toc32510"/>
      <w:bookmarkStart w:id="41" w:name="_Toc22800"/>
      <w:bookmarkStart w:id="42"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43" w:name="_Toc7716"/>
      <w:bookmarkStart w:id="44" w:name="_Toc16330019"/>
      <w:r>
        <w:rPr>
          <w:rFonts w:hint="eastAsia" w:ascii="黑体" w:hAnsi="黑体" w:eastAsia="黑体" w:cstheme="minorEastAsia"/>
          <w:b w:val="0"/>
          <w:sz w:val="28"/>
          <w:szCs w:val="28"/>
        </w:rPr>
        <w:t>2 包装</w:t>
      </w:r>
      <w:bookmarkEnd w:id="40"/>
      <w:bookmarkEnd w:id="41"/>
      <w:bookmarkEnd w:id="42"/>
      <w:bookmarkEnd w:id="43"/>
      <w:bookmarkEnd w:id="4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45" w:name="_Toc2833"/>
      <w:bookmarkStart w:id="46" w:name="_Toc27453"/>
      <w:bookmarkStart w:id="47" w:name="_Toc27144"/>
      <w:bookmarkStart w:id="48" w:name="_Toc30507"/>
      <w:bookmarkStart w:id="49" w:name="_Toc16330020"/>
      <w:r>
        <w:rPr>
          <w:rFonts w:hint="eastAsia" w:ascii="黑体" w:hAnsi="黑体" w:eastAsia="黑体" w:cstheme="minorEastAsia"/>
          <w:b w:val="0"/>
          <w:sz w:val="28"/>
          <w:szCs w:val="28"/>
        </w:rPr>
        <w:t>3 运输标记</w:t>
      </w:r>
      <w:bookmarkEnd w:id="45"/>
      <w:bookmarkEnd w:id="46"/>
      <w:bookmarkEnd w:id="47"/>
      <w:bookmarkEnd w:id="48"/>
      <w:bookmarkEnd w:id="4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0" w:name="_Toc10630"/>
      <w:bookmarkStart w:id="51" w:name="_Toc7431"/>
      <w:bookmarkStart w:id="52" w:name="_Toc16133"/>
      <w:bookmarkStart w:id="53" w:name="_Toc8624"/>
      <w:bookmarkStart w:id="54" w:name="_Toc16330021"/>
      <w:r>
        <w:rPr>
          <w:rFonts w:hint="eastAsia" w:ascii="黑体" w:hAnsi="黑体" w:eastAsia="黑体" w:cstheme="minorEastAsia"/>
          <w:b w:val="0"/>
          <w:sz w:val="28"/>
          <w:szCs w:val="28"/>
        </w:rPr>
        <w:t>4 检验</w:t>
      </w:r>
      <w:bookmarkEnd w:id="50"/>
      <w:bookmarkEnd w:id="51"/>
      <w:bookmarkEnd w:id="52"/>
      <w:bookmarkEnd w:id="53"/>
      <w:bookmarkEnd w:id="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5" w:name="_Toc14275"/>
      <w:bookmarkStart w:id="56" w:name="_Toc24467"/>
      <w:bookmarkStart w:id="57" w:name="_Toc19850"/>
      <w:bookmarkStart w:id="58" w:name="_Toc16330022"/>
      <w:bookmarkStart w:id="59" w:name="_Toc11217"/>
      <w:r>
        <w:rPr>
          <w:rFonts w:hint="eastAsia" w:ascii="黑体" w:hAnsi="黑体" w:eastAsia="黑体" w:cstheme="minorEastAsia"/>
          <w:b w:val="0"/>
          <w:sz w:val="28"/>
          <w:szCs w:val="28"/>
        </w:rPr>
        <w:t>5 权利担保</w:t>
      </w:r>
      <w:bookmarkEnd w:id="55"/>
      <w:bookmarkEnd w:id="56"/>
      <w:bookmarkEnd w:id="57"/>
      <w:bookmarkEnd w:id="58"/>
      <w:bookmarkEnd w:id="5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0" w:name="_Toc14809"/>
      <w:bookmarkStart w:id="61" w:name="_Toc16330023"/>
      <w:bookmarkStart w:id="62" w:name="_Toc11759"/>
      <w:bookmarkStart w:id="63" w:name="_Toc27500"/>
      <w:bookmarkStart w:id="64" w:name="_Toc20827"/>
      <w:r>
        <w:rPr>
          <w:rFonts w:hint="eastAsia" w:ascii="黑体" w:hAnsi="黑体" w:eastAsia="黑体" w:cstheme="minorEastAsia"/>
          <w:b w:val="0"/>
          <w:sz w:val="28"/>
          <w:szCs w:val="28"/>
        </w:rPr>
        <w:t>6 交货</w:t>
      </w:r>
      <w:bookmarkEnd w:id="60"/>
      <w:bookmarkEnd w:id="61"/>
      <w:bookmarkEnd w:id="62"/>
      <w:bookmarkEnd w:id="63"/>
      <w:bookmarkEnd w:id="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5" w:name="_Toc16330024"/>
      <w:bookmarkStart w:id="66" w:name="_Toc2984"/>
      <w:bookmarkStart w:id="67" w:name="_Toc25510"/>
      <w:bookmarkStart w:id="68" w:name="_Toc8024"/>
      <w:bookmarkStart w:id="69" w:name="_Toc23308"/>
      <w:r>
        <w:rPr>
          <w:rFonts w:hint="eastAsia" w:ascii="黑体" w:hAnsi="黑体" w:eastAsia="黑体" w:cstheme="minorEastAsia"/>
          <w:b w:val="0"/>
          <w:sz w:val="28"/>
          <w:szCs w:val="28"/>
        </w:rPr>
        <w:t>7 安装、调试</w:t>
      </w:r>
      <w:bookmarkEnd w:id="65"/>
      <w:bookmarkEnd w:id="66"/>
      <w:bookmarkEnd w:id="67"/>
      <w:bookmarkEnd w:id="68"/>
      <w:bookmarkEnd w:id="69"/>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0" w:name="_Toc14098"/>
      <w:bookmarkStart w:id="71" w:name="_Toc15547"/>
      <w:bookmarkStart w:id="72" w:name="_Toc16330025"/>
      <w:bookmarkStart w:id="73" w:name="_Toc6350"/>
      <w:bookmarkStart w:id="74" w:name="_Toc14260"/>
      <w:r>
        <w:rPr>
          <w:rFonts w:hint="eastAsia" w:ascii="黑体" w:hAnsi="黑体" w:eastAsia="黑体" w:cstheme="minorEastAsia"/>
          <w:b w:val="0"/>
          <w:sz w:val="28"/>
          <w:szCs w:val="28"/>
        </w:rPr>
        <w:t>8 价款与支付</w:t>
      </w:r>
      <w:bookmarkEnd w:id="70"/>
      <w:bookmarkEnd w:id="71"/>
      <w:bookmarkEnd w:id="72"/>
      <w:bookmarkEnd w:id="73"/>
      <w:bookmarkEnd w:id="7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8.3.1设备全部到齐无质量问题后,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w:t>
      </w:r>
      <w:r>
        <w:rPr>
          <w:rFonts w:hint="eastAsia" w:ascii="仿宋_GB2312" w:hAnsi="黑体" w:eastAsia="仿宋_GB2312" w:cstheme="minorEastAsia"/>
          <w:sz w:val="24"/>
          <w:szCs w:val="24"/>
          <w:lang w:eastAsia="zh-CN"/>
        </w:rPr>
        <w:t>内</w:t>
      </w:r>
      <w:r>
        <w:rPr>
          <w:rFonts w:hint="eastAsia" w:ascii="仿宋_GB2312" w:hAnsi="黑体" w:eastAsia="仿宋_GB2312" w:cstheme="minorEastAsia"/>
          <w:sz w:val="24"/>
          <w:szCs w:val="24"/>
        </w:rPr>
        <w:t>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8.3.2设备验收合格后，卖方提交金额为合同含税价款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0%的收据及合同价</w:t>
      </w:r>
      <w:r>
        <w:rPr>
          <w:rFonts w:hint="eastAsia" w:ascii="仿宋_GB2312" w:hAnsi="黑体" w:eastAsia="仿宋_GB2312" w:cstheme="minorEastAsia"/>
          <w:sz w:val="24"/>
          <w:szCs w:val="24"/>
          <w:lang w:val="en-US" w:eastAsia="zh-CN"/>
        </w:rPr>
        <w:t>7</w:t>
      </w:r>
      <w:r>
        <w:rPr>
          <w:rFonts w:hint="eastAsia" w:ascii="仿宋_GB2312" w:hAnsi="黑体" w:eastAsia="仿宋_GB2312" w:cstheme="minorEastAsia"/>
          <w:sz w:val="24"/>
          <w:szCs w:val="24"/>
        </w:rPr>
        <w:t>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w:t>
      </w:r>
      <w:r>
        <w:rPr>
          <w:rFonts w:hint="eastAsia" w:ascii="仿宋_GB2312" w:hAnsi="黑体" w:eastAsia="仿宋_GB2312" w:cstheme="minorEastAsia"/>
          <w:sz w:val="24"/>
          <w:szCs w:val="24"/>
          <w:lang w:eastAsia="zh-CN"/>
        </w:rPr>
        <w:t>内</w:t>
      </w:r>
      <w:r>
        <w:rPr>
          <w:rFonts w:hint="eastAsia" w:ascii="仿宋_GB2312" w:hAnsi="黑体" w:eastAsia="仿宋_GB2312" w:cstheme="minorEastAsia"/>
          <w:sz w:val="24"/>
          <w:szCs w:val="24"/>
        </w:rPr>
        <w:t>支付：</w:t>
      </w:r>
    </w:p>
    <w:p>
      <w:pPr>
        <w:spacing w:line="360" w:lineRule="auto"/>
        <w:ind w:firstLine="453" w:firstLineChars="189"/>
        <w:rPr>
          <w:rFonts w:asciiTheme="minorEastAsia" w:hAnsiTheme="minorEastAsia" w:cstheme="minorEastAsia"/>
          <w:sz w:val="20"/>
          <w:szCs w:val="20"/>
        </w:rPr>
      </w:pPr>
      <w:bookmarkStart w:id="75" w:name="_Toc14531628"/>
      <w:bookmarkStart w:id="76"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w:t>
      </w:r>
      <w:r>
        <w:rPr>
          <w:rFonts w:hint="eastAsia" w:ascii="仿宋_GB2312" w:hAnsi="黑体" w:eastAsia="仿宋_GB2312" w:cstheme="minorEastAsia"/>
          <w:sz w:val="24"/>
          <w:szCs w:val="24"/>
          <w:lang w:eastAsia="zh-CN"/>
        </w:rPr>
        <w:t>内</w:t>
      </w:r>
      <w:r>
        <w:rPr>
          <w:rFonts w:hint="eastAsia" w:ascii="仿宋_GB2312" w:hAnsi="黑体" w:eastAsia="仿宋_GB2312" w:cstheme="minorEastAsia"/>
          <w:sz w:val="24"/>
          <w:szCs w:val="24"/>
        </w:rPr>
        <w:t>支付。如有质量问题，质量保证金予以相应扣除。</w:t>
      </w:r>
      <w:bookmarkEnd w:id="75"/>
      <w:bookmarkEnd w:id="76"/>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7" w:name="_Toc21726"/>
      <w:bookmarkStart w:id="78" w:name="_Toc6726"/>
      <w:bookmarkStart w:id="79" w:name="_Toc25708"/>
      <w:bookmarkStart w:id="80" w:name="_Toc16330026"/>
      <w:bookmarkStart w:id="81" w:name="_Toc24085"/>
      <w:r>
        <w:rPr>
          <w:rFonts w:hint="eastAsia" w:ascii="黑体" w:hAnsi="黑体" w:eastAsia="黑体" w:cstheme="minorEastAsia"/>
          <w:b w:val="0"/>
          <w:sz w:val="28"/>
          <w:szCs w:val="28"/>
        </w:rPr>
        <w:t>9 质量保证及售后服务</w:t>
      </w:r>
      <w:bookmarkEnd w:id="77"/>
      <w:bookmarkEnd w:id="78"/>
      <w:bookmarkEnd w:id="79"/>
      <w:bookmarkEnd w:id="80"/>
      <w:bookmarkEnd w:id="8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2" w:name="_Toc15570"/>
      <w:bookmarkStart w:id="83" w:name="_Toc10359"/>
      <w:bookmarkStart w:id="84" w:name="_Toc16330027"/>
      <w:bookmarkStart w:id="85" w:name="_Toc26769"/>
      <w:bookmarkStart w:id="86" w:name="_Toc12927"/>
      <w:r>
        <w:rPr>
          <w:rFonts w:hint="eastAsia" w:ascii="黑体" w:hAnsi="黑体" w:eastAsia="黑体" w:cstheme="minorEastAsia"/>
          <w:b w:val="0"/>
          <w:sz w:val="28"/>
          <w:szCs w:val="28"/>
        </w:rPr>
        <w:t>10法定责任</w:t>
      </w:r>
      <w:bookmarkEnd w:id="82"/>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7" w:name="_Toc27314"/>
      <w:bookmarkStart w:id="88" w:name="_Toc7698"/>
      <w:bookmarkStart w:id="89" w:name="_Toc30381"/>
      <w:bookmarkStart w:id="90" w:name="_Toc9708"/>
      <w:bookmarkStart w:id="91" w:name="_Toc16330028"/>
      <w:r>
        <w:rPr>
          <w:rFonts w:hint="eastAsia" w:ascii="黑体" w:hAnsi="黑体" w:eastAsia="黑体" w:cstheme="minorEastAsia"/>
          <w:b w:val="0"/>
          <w:sz w:val="28"/>
          <w:szCs w:val="28"/>
        </w:rPr>
        <w:t>11 违约责任</w:t>
      </w:r>
      <w:bookmarkEnd w:id="87"/>
      <w:bookmarkEnd w:id="88"/>
      <w:bookmarkEnd w:id="89"/>
      <w:bookmarkEnd w:id="90"/>
      <w:bookmarkEnd w:id="9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92" w:name="_Toc16330029"/>
      <w:bookmarkStart w:id="93" w:name="_Toc31554"/>
      <w:bookmarkStart w:id="94" w:name="_Toc9172"/>
      <w:bookmarkStart w:id="95"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92"/>
    <w:bookmarkEnd w:id="93"/>
    <w:bookmarkEnd w:id="94"/>
    <w:bookmarkEnd w:id="95"/>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6" w:name="_Toc23793"/>
      <w:r>
        <w:rPr>
          <w:rFonts w:hint="eastAsia" w:ascii="黑体" w:hAnsi="黑体" w:eastAsia="黑体" w:cstheme="minorEastAsia"/>
          <w:b w:val="0"/>
          <w:sz w:val="28"/>
          <w:szCs w:val="28"/>
        </w:rPr>
        <w:t>12 合同的终止与解除</w:t>
      </w:r>
      <w:bookmarkEnd w:id="9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7" w:name="_Toc16330030"/>
      <w:bookmarkStart w:id="98" w:name="_Toc11937"/>
      <w:bookmarkStart w:id="99" w:name="_Toc8620"/>
      <w:bookmarkStart w:id="100" w:name="_Toc31945"/>
      <w:bookmarkStart w:id="101" w:name="_Toc13671"/>
      <w:r>
        <w:rPr>
          <w:rFonts w:hint="eastAsia" w:ascii="黑体" w:hAnsi="黑体" w:eastAsia="黑体" w:cstheme="minorEastAsia"/>
          <w:b w:val="0"/>
          <w:sz w:val="28"/>
          <w:szCs w:val="28"/>
        </w:rPr>
        <w:t>13 不可抗力</w:t>
      </w:r>
      <w:bookmarkEnd w:id="97"/>
      <w:bookmarkEnd w:id="98"/>
      <w:bookmarkEnd w:id="99"/>
      <w:bookmarkEnd w:id="100"/>
      <w:bookmarkEnd w:id="10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2" w:name="_Toc30389"/>
      <w:bookmarkStart w:id="103" w:name="_Toc18772"/>
      <w:bookmarkStart w:id="104" w:name="_Toc637"/>
      <w:bookmarkStart w:id="105" w:name="_Toc31243"/>
      <w:bookmarkStart w:id="106" w:name="_Toc16330031"/>
      <w:r>
        <w:rPr>
          <w:rFonts w:hint="eastAsia" w:ascii="黑体" w:hAnsi="黑体" w:eastAsia="黑体" w:cstheme="minorEastAsia"/>
          <w:b w:val="0"/>
          <w:sz w:val="28"/>
          <w:szCs w:val="28"/>
        </w:rPr>
        <w:t>14 通讯</w:t>
      </w:r>
      <w:bookmarkEnd w:id="102"/>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07" w:name="_Toc11290"/>
      <w:bookmarkStart w:id="108" w:name="_Toc23011"/>
      <w:bookmarkStart w:id="109" w:name="_Toc9915"/>
      <w:bookmarkStart w:id="110" w:name="_Toc16330032"/>
      <w:bookmarkStart w:id="111" w:name="_Toc12984"/>
      <w:r>
        <w:rPr>
          <w:rFonts w:hint="eastAsia" w:ascii="黑体" w:hAnsi="黑体" w:eastAsia="黑体" w:cstheme="minorEastAsia"/>
          <w:b w:val="0"/>
          <w:sz w:val="28"/>
          <w:szCs w:val="28"/>
        </w:rPr>
        <w:t>15 适用法律及争议解决</w:t>
      </w:r>
      <w:bookmarkEnd w:id="107"/>
      <w:bookmarkEnd w:id="108"/>
      <w:bookmarkEnd w:id="109"/>
      <w:bookmarkEnd w:id="110"/>
      <w:bookmarkEnd w:id="11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2" w:name="_Toc23765"/>
      <w:bookmarkStart w:id="113" w:name="_Toc16330033"/>
      <w:bookmarkStart w:id="114" w:name="_Toc5747"/>
      <w:bookmarkStart w:id="115" w:name="_Toc23906"/>
      <w:bookmarkStart w:id="116" w:name="_Toc18207"/>
      <w:r>
        <w:rPr>
          <w:rFonts w:hint="eastAsia" w:ascii="黑体" w:hAnsi="黑体" w:eastAsia="黑体" w:cstheme="minorEastAsia"/>
          <w:b w:val="0"/>
          <w:sz w:val="28"/>
          <w:szCs w:val="28"/>
        </w:rPr>
        <w:t>16 附件</w:t>
      </w:r>
      <w:bookmarkEnd w:id="112"/>
      <w:bookmarkEnd w:id="113"/>
      <w:bookmarkEnd w:id="114"/>
      <w:bookmarkEnd w:id="115"/>
      <w:bookmarkEnd w:id="11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7" w:name="_Toc9594"/>
      <w:bookmarkStart w:id="118" w:name="_Toc17656"/>
      <w:bookmarkStart w:id="119" w:name="_Toc27202"/>
      <w:bookmarkStart w:id="120" w:name="_Toc16330034"/>
      <w:bookmarkStart w:id="121" w:name="_Toc31331"/>
      <w:r>
        <w:rPr>
          <w:rFonts w:hint="eastAsia" w:ascii="黑体" w:hAnsi="黑体" w:eastAsia="黑体" w:cstheme="minorEastAsia"/>
          <w:b w:val="0"/>
          <w:sz w:val="28"/>
          <w:szCs w:val="28"/>
        </w:rPr>
        <w:t>17 其他规定</w:t>
      </w:r>
      <w:bookmarkEnd w:id="117"/>
      <w:bookmarkEnd w:id="118"/>
      <w:bookmarkEnd w:id="119"/>
      <w:bookmarkEnd w:id="120"/>
      <w:bookmarkEnd w:id="12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2" w:name="_Toc17952"/>
      <w:bookmarkStart w:id="123" w:name="_Toc29136"/>
      <w:bookmarkStart w:id="124" w:name="_Toc19077"/>
      <w:bookmarkStart w:id="125"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6" w:name="_Toc15340"/>
      <w:r>
        <w:rPr>
          <w:rFonts w:hint="eastAsia" w:ascii="黑体" w:hAnsi="黑体" w:eastAsia="黑体" w:cstheme="minorEastAsia"/>
          <w:b w:val="0"/>
          <w:sz w:val="28"/>
          <w:szCs w:val="28"/>
        </w:rPr>
        <w:t>18 签署事项</w:t>
      </w:r>
      <w:bookmarkEnd w:id="122"/>
      <w:bookmarkEnd w:id="123"/>
      <w:bookmarkEnd w:id="124"/>
      <w:bookmarkEnd w:id="125"/>
      <w:bookmarkEnd w:id="12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27" w:name="_Toc16330036"/>
      <w:bookmarkStart w:id="128" w:name="_Toc15689"/>
      <w:bookmarkStart w:id="129" w:name="_Toc10272"/>
      <w:bookmarkStart w:id="130" w:name="_Toc28611"/>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pStyle w:val="2"/>
        <w:rPr>
          <w:sz w:val="24"/>
          <w:szCs w:val="24"/>
        </w:rPr>
      </w:pPr>
    </w:p>
    <w:p>
      <w:pPr>
        <w:tabs>
          <w:tab w:val="right" w:leader="dot" w:pos="9061"/>
        </w:tabs>
        <w:rPr>
          <w:sz w:val="24"/>
          <w:szCs w:val="24"/>
        </w:rPr>
      </w:pPr>
    </w:p>
    <w:bookmarkEnd w:id="127"/>
    <w:bookmarkEnd w:id="128"/>
    <w:bookmarkEnd w:id="129"/>
    <w:bookmarkEnd w:id="130"/>
    <w:p>
      <w:pPr>
        <w:rPr>
          <w:sz w:val="24"/>
          <w:szCs w:val="24"/>
        </w:rPr>
      </w:pPr>
    </w:p>
    <w:p>
      <w:pPr>
        <w:pStyle w:val="4"/>
        <w:tabs>
          <w:tab w:val="right" w:leader="dot" w:pos="9061"/>
        </w:tabs>
        <w:rPr>
          <w:rFonts w:ascii="黑体" w:hAnsi="黑体" w:eastAsia="黑体" w:cstheme="minorEastAsia"/>
          <w:b w:val="0"/>
          <w:sz w:val="28"/>
          <w:szCs w:val="28"/>
        </w:rPr>
      </w:pPr>
      <w:bookmarkStart w:id="131" w:name="_Toc14581"/>
      <w:r>
        <w:rPr>
          <w:rFonts w:hint="eastAsia" w:ascii="黑体" w:hAnsi="黑体" w:eastAsia="黑体" w:cstheme="minorEastAsia"/>
          <w:b w:val="0"/>
          <w:sz w:val="28"/>
          <w:szCs w:val="28"/>
        </w:rPr>
        <w:t>附件一：设备清单明细表</w:t>
      </w:r>
      <w:bookmarkEnd w:id="131"/>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
          <w:sz w:val="28"/>
          <w:szCs w:val="28"/>
        </w:rPr>
      </w:pPr>
      <w:bookmarkStart w:id="132" w:name="_Toc24623"/>
      <w:bookmarkStart w:id="133" w:name="_Toc16330037"/>
      <w:bookmarkStart w:id="134" w:name="_Toc5379"/>
      <w:bookmarkStart w:id="135" w:name="_Toc25120"/>
      <w:bookmarkStart w:id="136" w:name="_Toc3778"/>
      <w:bookmarkStart w:id="137" w:name="_Toc8175"/>
    </w:p>
    <w:p>
      <w:pPr>
        <w:rPr>
          <w:rFonts w:ascii="黑体" w:hAnsi="黑体" w:eastAsia="黑体" w:cstheme="minorEastAsia"/>
          <w:b/>
          <w:sz w:val="28"/>
          <w:szCs w:val="28"/>
        </w:rPr>
      </w:pPr>
      <w:r>
        <w:rPr>
          <w:rFonts w:hint="eastAsia" w:ascii="黑体" w:hAnsi="黑体" w:eastAsia="黑体" w:cstheme="minorEastAsia"/>
          <w:b/>
          <w:sz w:val="28"/>
          <w:szCs w:val="28"/>
        </w:rPr>
        <w:t xml:space="preserve">附件二 </w:t>
      </w:r>
      <w:bookmarkEnd w:id="132"/>
      <w:bookmarkEnd w:id="133"/>
      <w:bookmarkEnd w:id="134"/>
      <w:bookmarkEnd w:id="135"/>
      <w:bookmarkEnd w:id="136"/>
      <w:r>
        <w:rPr>
          <w:rFonts w:hint="eastAsia" w:ascii="黑体" w:hAnsi="黑体" w:eastAsia="黑体" w:cstheme="minorEastAsia"/>
          <w:b/>
          <w:sz w:val="28"/>
          <w:szCs w:val="28"/>
        </w:rPr>
        <w:t>技术协议书</w:t>
      </w:r>
      <w:bookmarkEnd w:id="137"/>
    </w:p>
    <w:p>
      <w:pPr>
        <w:ind w:right="360"/>
        <w:rPr>
          <w:rFonts w:asciiTheme="minorEastAsia" w:hAnsiTheme="minorEastAsia" w:cstheme="minorEastAsia"/>
          <w:sz w:val="20"/>
          <w:szCs w:val="20"/>
        </w:rPr>
        <w:sectPr>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38" w:name="_Toc2969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8"/>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说明：</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1、投标人须认真填写和提交本部分中的附件文件；</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2、对附件文件中所要求的内容应给予明确的答复；</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3、附件文件的签字人应保证其对一切问题的答复、所做的声明及出具的资格资质文件、资料等具有真实性和准确性；</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4、招标人将对投标人提交的文件、资料等内容予以保密，但不退还；</w:t>
      </w:r>
    </w:p>
    <w:p>
      <w:pPr>
        <w:spacing w:line="420" w:lineRule="exact"/>
        <w:ind w:firstLine="720" w:firstLineChars="200"/>
        <w:rPr>
          <w:rFonts w:ascii="宋体" w:hAnsi="宋体" w:eastAsia="宋体" w:cs="宋体"/>
          <w:sz w:val="36"/>
          <w:szCs w:val="36"/>
        </w:rPr>
      </w:pPr>
      <w:r>
        <w:rPr>
          <w:rFonts w:hint="eastAsia" w:ascii="宋体" w:hAnsi="宋体" w:eastAsia="宋体" w:cs="宋体"/>
          <w:sz w:val="36"/>
          <w:szCs w:val="36"/>
        </w:rPr>
        <w:t>5、所有附件文件应以中文书写，作为投标文件的组成部分。</w:t>
      </w:r>
    </w:p>
    <w:p>
      <w:pPr>
        <w:widowControl/>
        <w:jc w:val="left"/>
        <w:rPr>
          <w:rFonts w:ascii="宋体" w:hAnsi="Courier New"/>
        </w:rPr>
      </w:pPr>
      <w:r>
        <w:br w:type="page"/>
      </w:r>
    </w:p>
    <w:p>
      <w:pPr>
        <w:pStyle w:val="2"/>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9" w:name="_Toc212369550"/>
      <w:bookmarkStart w:id="140" w:name="_Toc639004"/>
      <w:bookmarkStart w:id="141" w:name="_Toc353881012"/>
      <w:bookmarkStart w:id="14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9"/>
      <w:bookmarkEnd w:id="140"/>
      <w:bookmarkEnd w:id="141"/>
      <w:bookmarkEnd w:id="14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eastAsia="zh-CN"/>
        </w:rPr>
        <w:t>快速原型</w:t>
      </w:r>
      <w:r>
        <w:rPr>
          <w:rFonts w:hint="eastAsia" w:ascii="宋体" w:hAnsi="宋体" w:eastAsia="宋体" w:cs="Times New Roman"/>
          <w:b/>
          <w:bCs/>
          <w:color w:val="000000"/>
          <w:sz w:val="24"/>
          <w:szCs w:val="24"/>
          <w:u w:val="single"/>
        </w:rPr>
        <w:t>招标</w:t>
      </w:r>
      <w:r>
        <w:rPr>
          <w:rFonts w:ascii="宋体" w:hAnsi="宋体" w:eastAsia="宋体" w:cs="Times New Roman"/>
          <w:color w:val="000000"/>
          <w:sz w:val="24"/>
          <w:szCs w:val="24"/>
          <w:u w:val="single"/>
        </w:rPr>
        <w:t xml:space="preserve"> </w:t>
      </w:r>
      <w:r>
        <w:rPr>
          <w:rFonts w:hint="eastAsia" w:ascii="宋体" w:hAnsi="宋体" w:eastAsia="宋体" w:cs="Times New Roman"/>
          <w:bCs/>
          <w:snapToGrid w:val="0"/>
          <w:color w:val="000000"/>
          <w:kern w:val="0"/>
          <w:sz w:val="24"/>
          <w:szCs w:val="24"/>
        </w:rPr>
        <w:t>项目招标公告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b/>
          <w:bCs/>
          <w:snapToGrid w:val="0"/>
          <w:color w:val="000000"/>
          <w:kern w:val="0"/>
          <w:sz w:val="24"/>
          <w:szCs w:val="24"/>
          <w:u w:val="single"/>
        </w:rPr>
        <w:t>（</w:t>
      </w:r>
      <w:r>
        <w:rPr>
          <w:rFonts w:hint="eastAsia" w:ascii="宋体" w:hAnsi="宋体" w:eastAsia="宋体" w:cs="Times New Roman"/>
          <w:b/>
          <w:bCs/>
          <w:snapToGrid w:val="0"/>
          <w:color w:val="000000"/>
          <w:kern w:val="0"/>
          <w:sz w:val="24"/>
          <w:szCs w:val="24"/>
          <w:u w:val="single"/>
          <w:lang w:val="en-US" w:eastAsia="zh-CN"/>
        </w:rPr>
        <w:t xml:space="preserve">              </w:t>
      </w:r>
      <w:r>
        <w:rPr>
          <w:rFonts w:hint="eastAsia" w:ascii="宋体" w:hAnsi="宋体" w:eastAsia="宋体" w:cs="Times New Roman"/>
          <w:b/>
          <w:bCs/>
          <w:snapToGrid w:val="0"/>
          <w:color w:val="000000"/>
          <w:kern w:val="0"/>
          <w:sz w:val="24"/>
          <w:szCs w:val="24"/>
          <w:u w:val="single"/>
        </w:rPr>
        <w:t>）</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eastAsia="zh-CN"/>
        </w:rPr>
        <w:t>快速原型</w:t>
      </w:r>
      <w:r>
        <w:rPr>
          <w:rFonts w:hint="eastAsia" w:ascii="宋体" w:hAnsi="宋体" w:eastAsia="宋体" w:cs="Times New Roman"/>
          <w:b/>
          <w:bCs/>
          <w:color w:val="000000"/>
          <w:sz w:val="24"/>
          <w:szCs w:val="24"/>
          <w:u w:val="single"/>
        </w:rPr>
        <w:t>招标</w:t>
      </w:r>
      <w:r>
        <w:rPr>
          <w:rFonts w:hint="eastAsia" w:ascii="宋体" w:hAnsi="宋体" w:eastAsia="宋体" w:cs="宋体"/>
          <w:b/>
          <w:bCs/>
          <w:color w:val="000000"/>
          <w:sz w:val="24"/>
          <w:szCs w:val="24"/>
          <w:u w:val="single"/>
          <w:shd w:val="clear" w:color="auto" w:fill="FCFCFC"/>
        </w:rPr>
        <w:t>项目</w:t>
      </w:r>
      <w:r>
        <w:rPr>
          <w:rFonts w:ascii="宋体" w:hAnsi="宋体" w:eastAsia="宋体" w:cs="Times New Roman"/>
          <w:b/>
          <w:bCs/>
          <w:color w:val="000000"/>
          <w:sz w:val="24"/>
          <w:szCs w:val="24"/>
        </w:rPr>
        <w:t xml:space="preserve"> </w:t>
      </w:r>
      <w:r>
        <w:rPr>
          <w:rFonts w:hint="eastAsia" w:ascii="宋体" w:hAnsi="宋体" w:eastAsia="宋体" w:cs="Times New Roman"/>
          <w:b/>
          <w:bCs/>
          <w:snapToGrid w:val="0"/>
          <w:color w:val="000000"/>
          <w:kern w:val="0"/>
          <w:sz w:val="24"/>
          <w:szCs w:val="24"/>
          <w:u w:val="single"/>
        </w:rPr>
        <w:t>（</w:t>
      </w:r>
      <w:r>
        <w:rPr>
          <w:rFonts w:hint="eastAsia" w:ascii="宋体" w:hAnsi="宋体" w:eastAsia="宋体" w:cs="Times New Roman"/>
          <w:b/>
          <w:bCs/>
          <w:snapToGrid w:val="0"/>
          <w:color w:val="000000"/>
          <w:kern w:val="0"/>
          <w:sz w:val="24"/>
          <w:szCs w:val="24"/>
          <w:u w:val="single"/>
          <w:shd w:val="clear" w:fill="FFFF00"/>
          <w:lang w:val="en-US" w:eastAsia="zh-CN"/>
        </w:rPr>
        <w:t>CGZX2023030219</w:t>
      </w:r>
      <w:r>
        <w:rPr>
          <w:rFonts w:hint="eastAsia" w:ascii="宋体" w:hAnsi="宋体" w:eastAsia="宋体" w:cs="Times New Roman"/>
          <w:b/>
          <w:bCs/>
          <w:snapToGrid w:val="0"/>
          <w:color w:val="000000"/>
          <w:kern w:val="0"/>
          <w:sz w:val="24"/>
          <w:szCs w:val="24"/>
          <w:u w:val="singl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8"/>
        <w:gridCol w:w="1224"/>
        <w:gridCol w:w="1225"/>
        <w:gridCol w:w="1227"/>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060" w:type="dxa"/>
            <w:gridSpan w:val="5"/>
            <w:vAlign w:val="center"/>
          </w:tcPr>
          <w:p>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52"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52"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2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225"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22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176" w:type="dxa"/>
            <w:vAlign w:val="center"/>
          </w:tcPr>
          <w:p>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w:t>
            </w:r>
            <w:r>
              <w:rPr>
                <w:rFonts w:ascii="宋体" w:hAnsi="宋体" w:eastAsia="宋体"/>
                <w:color w:val="000000"/>
                <w:sz w:val="24"/>
                <w:szCs w:val="24"/>
              </w:rPr>
              <w:t>022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24" w:type="dxa"/>
          </w:tcPr>
          <w:p>
            <w:pPr>
              <w:spacing w:line="440" w:lineRule="exact"/>
              <w:jc w:val="center"/>
              <w:rPr>
                <w:rFonts w:ascii="宋体" w:hAnsi="宋体"/>
                <w:color w:val="000000"/>
                <w:sz w:val="24"/>
                <w:szCs w:val="24"/>
              </w:rPr>
            </w:pPr>
          </w:p>
        </w:tc>
        <w:tc>
          <w:tcPr>
            <w:tcW w:w="1225" w:type="dxa"/>
          </w:tcPr>
          <w:p>
            <w:pPr>
              <w:spacing w:line="440" w:lineRule="exact"/>
              <w:jc w:val="center"/>
              <w:rPr>
                <w:rFonts w:ascii="宋体" w:hAnsi="宋体"/>
                <w:color w:val="000000"/>
                <w:sz w:val="24"/>
                <w:szCs w:val="24"/>
              </w:rPr>
            </w:pPr>
          </w:p>
        </w:tc>
        <w:tc>
          <w:tcPr>
            <w:tcW w:w="1227" w:type="dxa"/>
          </w:tcPr>
          <w:p>
            <w:pPr>
              <w:spacing w:line="440" w:lineRule="exact"/>
              <w:jc w:val="center"/>
              <w:rPr>
                <w:rFonts w:ascii="宋体" w:hAnsi="宋体"/>
                <w:color w:val="000000"/>
                <w:sz w:val="24"/>
                <w:szCs w:val="24"/>
              </w:rPr>
            </w:pPr>
          </w:p>
        </w:tc>
        <w:tc>
          <w:tcPr>
            <w:tcW w:w="1176"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24" w:type="dxa"/>
          </w:tcPr>
          <w:p>
            <w:pPr>
              <w:spacing w:line="440" w:lineRule="exact"/>
              <w:jc w:val="center"/>
              <w:rPr>
                <w:rFonts w:ascii="宋体" w:hAnsi="宋体"/>
                <w:color w:val="000000"/>
                <w:sz w:val="24"/>
                <w:szCs w:val="24"/>
              </w:rPr>
            </w:pPr>
          </w:p>
        </w:tc>
        <w:tc>
          <w:tcPr>
            <w:tcW w:w="1225" w:type="dxa"/>
          </w:tcPr>
          <w:p>
            <w:pPr>
              <w:spacing w:line="440" w:lineRule="exact"/>
              <w:jc w:val="center"/>
              <w:rPr>
                <w:rFonts w:ascii="宋体" w:hAnsi="宋体"/>
                <w:color w:val="000000"/>
                <w:sz w:val="24"/>
                <w:szCs w:val="24"/>
              </w:rPr>
            </w:pPr>
          </w:p>
        </w:tc>
        <w:tc>
          <w:tcPr>
            <w:tcW w:w="1227" w:type="dxa"/>
          </w:tcPr>
          <w:p>
            <w:pPr>
              <w:spacing w:line="440" w:lineRule="exact"/>
              <w:jc w:val="center"/>
              <w:rPr>
                <w:rFonts w:ascii="宋体" w:hAnsi="宋体"/>
                <w:color w:val="000000"/>
                <w:sz w:val="24"/>
                <w:szCs w:val="24"/>
              </w:rPr>
            </w:pPr>
          </w:p>
        </w:tc>
        <w:tc>
          <w:tcPr>
            <w:tcW w:w="1176"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24" w:type="dxa"/>
          </w:tcPr>
          <w:p>
            <w:pPr>
              <w:spacing w:line="440" w:lineRule="exact"/>
              <w:jc w:val="center"/>
              <w:rPr>
                <w:rFonts w:ascii="宋体" w:hAnsi="宋体"/>
                <w:color w:val="000000"/>
                <w:sz w:val="24"/>
                <w:szCs w:val="24"/>
                <w:highlight w:val="yellow"/>
              </w:rPr>
            </w:pPr>
          </w:p>
        </w:tc>
        <w:tc>
          <w:tcPr>
            <w:tcW w:w="1225" w:type="dxa"/>
          </w:tcPr>
          <w:p>
            <w:pPr>
              <w:spacing w:line="440" w:lineRule="exact"/>
              <w:jc w:val="center"/>
              <w:rPr>
                <w:rFonts w:ascii="宋体" w:hAnsi="宋体"/>
                <w:color w:val="000000"/>
                <w:sz w:val="24"/>
                <w:szCs w:val="24"/>
                <w:highlight w:val="yellow"/>
              </w:rPr>
            </w:pPr>
          </w:p>
        </w:tc>
        <w:tc>
          <w:tcPr>
            <w:tcW w:w="1227" w:type="dxa"/>
          </w:tcPr>
          <w:p>
            <w:pPr>
              <w:spacing w:line="440" w:lineRule="exact"/>
              <w:jc w:val="center"/>
              <w:rPr>
                <w:rFonts w:ascii="宋体" w:hAnsi="宋体"/>
                <w:color w:val="000000"/>
                <w:sz w:val="24"/>
                <w:szCs w:val="24"/>
                <w:highlight w:val="yellow"/>
              </w:rPr>
            </w:pPr>
          </w:p>
        </w:tc>
        <w:tc>
          <w:tcPr>
            <w:tcW w:w="1176"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24" w:type="dxa"/>
          </w:tcPr>
          <w:p>
            <w:pPr>
              <w:spacing w:line="440" w:lineRule="exact"/>
              <w:jc w:val="center"/>
              <w:rPr>
                <w:rFonts w:ascii="宋体" w:hAnsi="宋体"/>
                <w:color w:val="000000"/>
                <w:sz w:val="24"/>
                <w:szCs w:val="24"/>
              </w:rPr>
            </w:pPr>
          </w:p>
        </w:tc>
        <w:tc>
          <w:tcPr>
            <w:tcW w:w="1225" w:type="dxa"/>
          </w:tcPr>
          <w:p>
            <w:pPr>
              <w:spacing w:line="440" w:lineRule="exact"/>
              <w:jc w:val="center"/>
              <w:rPr>
                <w:rFonts w:ascii="宋体" w:hAnsi="宋体"/>
                <w:color w:val="000000"/>
                <w:sz w:val="24"/>
                <w:szCs w:val="24"/>
              </w:rPr>
            </w:pPr>
          </w:p>
        </w:tc>
        <w:tc>
          <w:tcPr>
            <w:tcW w:w="1227" w:type="dxa"/>
          </w:tcPr>
          <w:p>
            <w:pPr>
              <w:spacing w:line="440" w:lineRule="exact"/>
              <w:jc w:val="center"/>
              <w:rPr>
                <w:rFonts w:ascii="宋体" w:hAnsi="宋体"/>
                <w:color w:val="000000"/>
                <w:sz w:val="24"/>
                <w:szCs w:val="24"/>
              </w:rPr>
            </w:pPr>
          </w:p>
        </w:tc>
        <w:tc>
          <w:tcPr>
            <w:tcW w:w="1176"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24" w:type="dxa"/>
          </w:tcPr>
          <w:p>
            <w:pPr>
              <w:spacing w:line="440" w:lineRule="exact"/>
              <w:jc w:val="center"/>
              <w:rPr>
                <w:rFonts w:ascii="宋体" w:hAnsi="宋体"/>
                <w:color w:val="000000"/>
                <w:sz w:val="24"/>
                <w:szCs w:val="24"/>
              </w:rPr>
            </w:pPr>
          </w:p>
        </w:tc>
        <w:tc>
          <w:tcPr>
            <w:tcW w:w="1225" w:type="dxa"/>
          </w:tcPr>
          <w:p>
            <w:pPr>
              <w:spacing w:line="440" w:lineRule="exact"/>
              <w:jc w:val="center"/>
              <w:rPr>
                <w:rFonts w:ascii="宋体" w:hAnsi="宋体"/>
                <w:color w:val="000000"/>
                <w:sz w:val="24"/>
                <w:szCs w:val="24"/>
              </w:rPr>
            </w:pPr>
          </w:p>
        </w:tc>
        <w:tc>
          <w:tcPr>
            <w:tcW w:w="1227" w:type="dxa"/>
          </w:tcPr>
          <w:p>
            <w:pPr>
              <w:spacing w:line="440" w:lineRule="exact"/>
              <w:jc w:val="center"/>
              <w:rPr>
                <w:rFonts w:ascii="宋体" w:hAnsi="宋体"/>
                <w:color w:val="000000"/>
                <w:sz w:val="24"/>
                <w:szCs w:val="24"/>
              </w:rPr>
            </w:pPr>
          </w:p>
        </w:tc>
        <w:tc>
          <w:tcPr>
            <w:tcW w:w="1176"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24" w:type="dxa"/>
          </w:tcPr>
          <w:p>
            <w:pPr>
              <w:spacing w:line="440" w:lineRule="exact"/>
              <w:jc w:val="center"/>
              <w:rPr>
                <w:rFonts w:ascii="宋体" w:hAnsi="宋体"/>
                <w:color w:val="000000"/>
                <w:sz w:val="24"/>
                <w:szCs w:val="24"/>
                <w:highlight w:val="yellow"/>
              </w:rPr>
            </w:pPr>
          </w:p>
        </w:tc>
        <w:tc>
          <w:tcPr>
            <w:tcW w:w="1225" w:type="dxa"/>
          </w:tcPr>
          <w:p>
            <w:pPr>
              <w:spacing w:line="440" w:lineRule="exact"/>
              <w:jc w:val="center"/>
              <w:rPr>
                <w:rFonts w:ascii="宋体" w:hAnsi="宋体"/>
                <w:color w:val="000000"/>
                <w:sz w:val="24"/>
                <w:szCs w:val="24"/>
                <w:highlight w:val="yellow"/>
              </w:rPr>
            </w:pPr>
          </w:p>
        </w:tc>
        <w:tc>
          <w:tcPr>
            <w:tcW w:w="1227" w:type="dxa"/>
          </w:tcPr>
          <w:p>
            <w:pPr>
              <w:spacing w:line="440" w:lineRule="exact"/>
              <w:jc w:val="center"/>
              <w:rPr>
                <w:rFonts w:ascii="宋体" w:hAnsi="宋体"/>
                <w:color w:val="000000"/>
                <w:sz w:val="24"/>
                <w:szCs w:val="24"/>
                <w:highlight w:val="yellow"/>
              </w:rPr>
            </w:pPr>
          </w:p>
        </w:tc>
        <w:tc>
          <w:tcPr>
            <w:tcW w:w="1176"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24" w:type="dxa"/>
          </w:tcPr>
          <w:p>
            <w:pPr>
              <w:spacing w:line="440" w:lineRule="exact"/>
              <w:jc w:val="center"/>
              <w:rPr>
                <w:rFonts w:ascii="宋体" w:hAnsi="宋体"/>
                <w:color w:val="000000"/>
                <w:sz w:val="24"/>
                <w:szCs w:val="24"/>
                <w:highlight w:val="yellow"/>
              </w:rPr>
            </w:pPr>
          </w:p>
        </w:tc>
        <w:tc>
          <w:tcPr>
            <w:tcW w:w="1225" w:type="dxa"/>
          </w:tcPr>
          <w:p>
            <w:pPr>
              <w:spacing w:line="440" w:lineRule="exact"/>
              <w:jc w:val="center"/>
              <w:rPr>
                <w:rFonts w:ascii="宋体" w:hAnsi="宋体"/>
                <w:color w:val="000000"/>
                <w:sz w:val="24"/>
                <w:szCs w:val="24"/>
                <w:highlight w:val="yellow"/>
              </w:rPr>
            </w:pPr>
          </w:p>
        </w:tc>
        <w:tc>
          <w:tcPr>
            <w:tcW w:w="1227" w:type="dxa"/>
          </w:tcPr>
          <w:p>
            <w:pPr>
              <w:spacing w:line="440" w:lineRule="exact"/>
              <w:jc w:val="center"/>
              <w:rPr>
                <w:rFonts w:ascii="宋体" w:hAnsi="宋体"/>
                <w:color w:val="000000"/>
                <w:sz w:val="24"/>
                <w:szCs w:val="24"/>
                <w:highlight w:val="yellow"/>
              </w:rPr>
            </w:pPr>
          </w:p>
        </w:tc>
        <w:tc>
          <w:tcPr>
            <w:tcW w:w="1176"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24" w:type="dxa"/>
          </w:tcPr>
          <w:p>
            <w:pPr>
              <w:spacing w:line="440" w:lineRule="exact"/>
              <w:jc w:val="center"/>
              <w:rPr>
                <w:rFonts w:ascii="宋体" w:hAnsi="宋体"/>
                <w:color w:val="000000"/>
                <w:sz w:val="24"/>
                <w:szCs w:val="24"/>
              </w:rPr>
            </w:pPr>
          </w:p>
        </w:tc>
        <w:tc>
          <w:tcPr>
            <w:tcW w:w="1225" w:type="dxa"/>
          </w:tcPr>
          <w:p>
            <w:pPr>
              <w:spacing w:line="440" w:lineRule="exact"/>
              <w:jc w:val="center"/>
              <w:rPr>
                <w:rFonts w:ascii="宋体" w:hAnsi="宋体"/>
                <w:color w:val="000000"/>
                <w:sz w:val="24"/>
                <w:szCs w:val="24"/>
              </w:rPr>
            </w:pPr>
          </w:p>
        </w:tc>
        <w:tc>
          <w:tcPr>
            <w:tcW w:w="1227" w:type="dxa"/>
          </w:tcPr>
          <w:p>
            <w:pPr>
              <w:spacing w:line="440" w:lineRule="exact"/>
              <w:jc w:val="center"/>
              <w:rPr>
                <w:rFonts w:ascii="宋体" w:hAnsi="宋体"/>
                <w:color w:val="000000"/>
                <w:sz w:val="24"/>
                <w:szCs w:val="24"/>
              </w:rPr>
            </w:pPr>
          </w:p>
        </w:tc>
        <w:tc>
          <w:tcPr>
            <w:tcW w:w="1176"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24" w:type="dxa"/>
          </w:tcPr>
          <w:p>
            <w:pPr>
              <w:spacing w:line="440" w:lineRule="exact"/>
              <w:jc w:val="center"/>
              <w:rPr>
                <w:rFonts w:ascii="宋体" w:hAnsi="宋体"/>
                <w:color w:val="000000"/>
                <w:sz w:val="24"/>
                <w:szCs w:val="24"/>
              </w:rPr>
            </w:pPr>
          </w:p>
        </w:tc>
        <w:tc>
          <w:tcPr>
            <w:tcW w:w="1225" w:type="dxa"/>
          </w:tcPr>
          <w:p>
            <w:pPr>
              <w:spacing w:line="440" w:lineRule="exact"/>
              <w:jc w:val="center"/>
              <w:rPr>
                <w:rFonts w:ascii="宋体" w:hAnsi="宋体"/>
                <w:color w:val="000000"/>
                <w:sz w:val="24"/>
                <w:szCs w:val="24"/>
              </w:rPr>
            </w:pPr>
          </w:p>
        </w:tc>
        <w:tc>
          <w:tcPr>
            <w:tcW w:w="1227" w:type="dxa"/>
          </w:tcPr>
          <w:p>
            <w:pPr>
              <w:spacing w:line="440" w:lineRule="exact"/>
              <w:jc w:val="center"/>
              <w:rPr>
                <w:rFonts w:ascii="宋体" w:hAnsi="宋体"/>
                <w:color w:val="000000"/>
                <w:sz w:val="24"/>
                <w:szCs w:val="24"/>
              </w:rPr>
            </w:pPr>
          </w:p>
        </w:tc>
        <w:tc>
          <w:tcPr>
            <w:tcW w:w="1176"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20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24" w:type="dxa"/>
          </w:tcPr>
          <w:p>
            <w:pPr>
              <w:spacing w:line="440" w:lineRule="exact"/>
              <w:jc w:val="center"/>
              <w:rPr>
                <w:rFonts w:ascii="宋体" w:hAnsi="宋体"/>
                <w:color w:val="000000"/>
                <w:sz w:val="24"/>
                <w:szCs w:val="24"/>
              </w:rPr>
            </w:pPr>
          </w:p>
        </w:tc>
        <w:tc>
          <w:tcPr>
            <w:tcW w:w="1225" w:type="dxa"/>
          </w:tcPr>
          <w:p>
            <w:pPr>
              <w:spacing w:line="440" w:lineRule="exact"/>
              <w:jc w:val="center"/>
              <w:rPr>
                <w:rFonts w:ascii="宋体" w:hAnsi="宋体"/>
                <w:color w:val="000000"/>
                <w:sz w:val="24"/>
                <w:szCs w:val="24"/>
              </w:rPr>
            </w:pPr>
          </w:p>
        </w:tc>
        <w:tc>
          <w:tcPr>
            <w:tcW w:w="1227" w:type="dxa"/>
          </w:tcPr>
          <w:p>
            <w:pPr>
              <w:spacing w:line="440" w:lineRule="exact"/>
              <w:jc w:val="center"/>
              <w:rPr>
                <w:rFonts w:ascii="宋体" w:hAnsi="宋体"/>
                <w:color w:val="000000"/>
                <w:sz w:val="24"/>
                <w:szCs w:val="24"/>
              </w:rPr>
            </w:pPr>
          </w:p>
        </w:tc>
        <w:tc>
          <w:tcPr>
            <w:tcW w:w="1176"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b/>
          <w:bCs/>
          <w:color w:val="000000"/>
          <w:sz w:val="24"/>
          <w:szCs w:val="24"/>
          <w:u w:val="single"/>
          <w:lang w:eastAsia="zh-CN"/>
        </w:rPr>
        <w:t>快速原型</w:t>
      </w:r>
      <w:r>
        <w:rPr>
          <w:rFonts w:hint="eastAsia" w:ascii="宋体" w:hAnsi="宋体" w:eastAsia="宋体" w:cs="Times New Roman"/>
          <w:b/>
          <w:bCs/>
          <w:color w:val="000000"/>
          <w:sz w:val="24"/>
          <w:szCs w:val="24"/>
          <w:u w:val="single"/>
        </w:rPr>
        <w:t>招标</w:t>
      </w:r>
      <w:r>
        <w:rPr>
          <w:rFonts w:hint="eastAsia" w:ascii="宋体" w:hAnsi="宋体" w:eastAsia="宋体" w:cs="宋体"/>
          <w:b/>
          <w:bCs/>
          <w:color w:val="000000"/>
          <w:sz w:val="24"/>
          <w:szCs w:val="24"/>
          <w:u w:val="single"/>
          <w:shd w:val="clear" w:color="auto" w:fill="FCFCFC"/>
        </w:rPr>
        <w:t>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color w:val="000000"/>
          <w:sz w:val="24"/>
          <w:szCs w:val="24"/>
          <w:u w:val="single"/>
          <w:lang w:eastAsia="zh-CN"/>
        </w:rPr>
        <w:t>快速原型</w:t>
      </w:r>
      <w:r>
        <w:rPr>
          <w:rFonts w:hint="eastAsia" w:ascii="宋体" w:hAnsi="宋体" w:eastAsia="宋体" w:cs="宋体"/>
          <w:b/>
          <w:bCs/>
          <w:color w:val="000000"/>
          <w:sz w:val="24"/>
          <w:szCs w:val="24"/>
          <w:u w:val="single"/>
        </w:rPr>
        <w:t>招标项目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2019年1月1日以来同类项目业绩一览表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color w:val="000000"/>
          <w:sz w:val="24"/>
          <w:szCs w:val="24"/>
          <w:u w:val="single"/>
          <w:lang w:eastAsia="zh-CN"/>
        </w:rPr>
        <w:t>快速原型</w:t>
      </w:r>
      <w:r>
        <w:rPr>
          <w:rFonts w:hint="eastAsia" w:ascii="宋体" w:hAnsi="宋体" w:eastAsia="宋体" w:cs="宋体"/>
          <w:b/>
          <w:bCs/>
          <w:color w:val="000000"/>
          <w:sz w:val="24"/>
          <w:szCs w:val="24"/>
          <w:u w:val="single"/>
        </w:rPr>
        <w:t>招标项目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2019年1月1日至今所有业绩合同总额汇总（必填）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宋体" w:eastAsia="宋体" w:cs="宋体"/>
          <w:kern w:val="0"/>
          <w:sz w:val="24"/>
          <w:szCs w:val="20"/>
        </w:rPr>
      </w:pPr>
      <w:r>
        <w:rPr>
          <w:rFonts w:hint="eastAsia" w:ascii="宋体" w:hAnsi="宋体" w:eastAsia="宋体" w:cs="Times New Roman"/>
          <w:sz w:val="24"/>
          <w:szCs w:val="20"/>
        </w:rPr>
        <w:t>注：提供2019年1月1日以来同类产品的制造销售业绩（用户名单、联系方式），并附合同复印件。该同类项目业绩一览表必须</w:t>
      </w:r>
      <w:r>
        <w:rPr>
          <w:rFonts w:hint="eastAsia" w:ascii="宋体" w:hAnsi="宋体" w:eastAsia="宋体" w:cs="Times New Roman"/>
          <w:b/>
          <w:bCs/>
          <w:sz w:val="24"/>
          <w:szCs w:val="20"/>
        </w:rPr>
        <w:t>如实填写，应全尽全</w:t>
      </w:r>
      <w:r>
        <w:rPr>
          <w:rFonts w:hint="eastAsia" w:ascii="宋体" w:hAnsi="宋体" w:eastAsia="宋体" w:cs="Times New Roman"/>
          <w:sz w:val="24"/>
          <w:szCs w:val="20"/>
        </w:rPr>
        <w:t>；一览表最终的所有业绩</w:t>
      </w:r>
      <w:r>
        <w:rPr>
          <w:rFonts w:hint="eastAsia" w:ascii="宋体" w:hAnsi="宋体" w:eastAsia="宋体" w:cs="Times New Roman"/>
          <w:b/>
          <w:bCs/>
          <w:sz w:val="24"/>
          <w:szCs w:val="20"/>
        </w:rPr>
        <w:t>合同总额汇总必填</w:t>
      </w:r>
      <w:r>
        <w:rPr>
          <w:rFonts w:hint="eastAsia" w:ascii="宋体" w:hAnsi="宋体" w:eastAsia="宋体" w:cs="Times New Roman"/>
          <w:sz w:val="24"/>
          <w:szCs w:val="20"/>
        </w:rPr>
        <w:t>，此项很重要，数据将影响现场评标专家组对投标单位的业绩考评。若未提供相应业绩证明，根据技术标评分规则，将影响现场评标专家组对投标单位业绩判定打分。</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b/>
          <w:bCs/>
          <w:color w:val="000000"/>
          <w:sz w:val="24"/>
          <w:szCs w:val="24"/>
          <w:u w:val="single"/>
          <w:lang w:eastAsia="zh-CN"/>
        </w:rPr>
        <w:t>快速原型</w:t>
      </w:r>
      <w:r>
        <w:rPr>
          <w:rFonts w:hint="eastAsia" w:ascii="宋体" w:hAnsi="宋体" w:eastAsia="宋体" w:cs="Times New Roman"/>
          <w:b/>
          <w:bCs/>
          <w:color w:val="000000"/>
          <w:sz w:val="24"/>
          <w:szCs w:val="24"/>
          <w:u w:val="single"/>
        </w:rPr>
        <w:t>招标</w:t>
      </w:r>
      <w:r>
        <w:rPr>
          <w:rFonts w:hint="eastAsia" w:ascii="宋体" w:hAnsi="宋体" w:eastAsia="宋体" w:cs="宋体"/>
          <w:b/>
          <w:bCs/>
          <w:color w:val="000000"/>
          <w:sz w:val="24"/>
          <w:szCs w:val="24"/>
          <w:u w:val="single"/>
          <w:shd w:val="clear" w:color="auto" w:fill="FCFCFC"/>
        </w:rPr>
        <w:t>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lang w:eastAsia="zh-CN"/>
        </w:rPr>
        <w:t>快速原型</w:t>
      </w:r>
      <w:r>
        <w:rPr>
          <w:rFonts w:hint="eastAsia" w:ascii="宋体" w:hAnsi="宋体" w:eastAsia="宋体" w:cs="Times New Roman"/>
          <w:b/>
          <w:bCs/>
          <w:color w:val="000000"/>
          <w:sz w:val="24"/>
          <w:szCs w:val="24"/>
          <w:u w:val="single"/>
        </w:rPr>
        <w:t>招标</w:t>
      </w:r>
      <w:r>
        <w:rPr>
          <w:rFonts w:hint="eastAsia" w:ascii="宋体" w:hAnsi="宋体" w:eastAsia="宋体" w:cs="宋体"/>
          <w:b/>
          <w:bCs/>
          <w:color w:val="000000"/>
          <w:sz w:val="24"/>
          <w:szCs w:val="24"/>
          <w:u w:val="single"/>
          <w:shd w:val="clear" w:color="auto" w:fill="FCFCFC"/>
        </w:rPr>
        <w:t>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快速原型设备</w:t>
            </w:r>
          </w:p>
        </w:tc>
        <w:tc>
          <w:tcPr>
            <w:tcW w:w="780"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color w:val="auto"/>
                <w:szCs w:val="20"/>
                <w:highlight w:val="none"/>
                <w:lang w:val="en-US" w:eastAsia="zh-CN"/>
              </w:rPr>
              <w:t>2套</w:t>
            </w:r>
          </w:p>
        </w:tc>
        <w:tc>
          <w:tcPr>
            <w:tcW w:w="158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pPr>
              <w:jc w:val="center"/>
              <w:rPr>
                <w:rFonts w:ascii="Times New Roman" w:hAnsi="Times New Roman" w:eastAsia="宋体" w:cs="Times New Roman"/>
                <w:b/>
                <w:szCs w:val="20"/>
              </w:rPr>
            </w:pPr>
          </w:p>
        </w:tc>
        <w:tc>
          <w:tcPr>
            <w:tcW w:w="1375" w:type="dxa"/>
            <w:vAlign w:val="center"/>
          </w:tcPr>
          <w:p>
            <w:pPr>
              <w:jc w:val="center"/>
              <w:rPr>
                <w:rFonts w:ascii="Times New Roman" w:hAnsi="Times New Roman" w:eastAsia="宋体" w:cs="Times New Roman"/>
                <w:b/>
                <w:szCs w:val="20"/>
              </w:rPr>
            </w:pPr>
          </w:p>
        </w:tc>
        <w:tc>
          <w:tcPr>
            <w:tcW w:w="1065" w:type="dxa"/>
            <w:vAlign w:val="center"/>
          </w:tcPr>
          <w:p>
            <w:pPr>
              <w:jc w:val="center"/>
              <w:rPr>
                <w:rFonts w:ascii="Times New Roman" w:hAnsi="Times New Roman" w:eastAsia="宋体" w:cs="Times New Roman"/>
                <w:b/>
                <w:szCs w:val="20"/>
              </w:rPr>
            </w:pPr>
          </w:p>
        </w:tc>
        <w:tc>
          <w:tcPr>
            <w:tcW w:w="1132" w:type="dxa"/>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2918" w:type="dxa"/>
            <w:gridSpan w:val="3"/>
            <w:vAlign w:val="center"/>
          </w:tcPr>
          <w:p>
            <w:pPr>
              <w:jc w:val="center"/>
              <w:rPr>
                <w:rFonts w:hint="eastAsia" w:ascii="Times New Roman" w:hAnsi="Times New Roman" w:eastAsia="等线" w:cs="Times New Roman"/>
                <w:b/>
                <w:color w:val="auto"/>
                <w:szCs w:val="20"/>
                <w:highlight w:val="none"/>
                <w:lang w:val="en-US" w:eastAsia="zh-CN"/>
              </w:rPr>
            </w:pPr>
            <w:r>
              <w:rPr>
                <w:rFonts w:hint="eastAsia" w:ascii="Times New Roman" w:hAnsi="Times New Roman" w:eastAsia="宋体" w:cs="Times New Roman"/>
                <w:b/>
                <w:color w:val="auto"/>
                <w:szCs w:val="20"/>
                <w:highlight w:val="none"/>
                <w:lang w:val="en-US" w:eastAsia="zh-CN"/>
              </w:rPr>
              <w:t>投标总价</w:t>
            </w:r>
            <w:r>
              <w:rPr>
                <w:rFonts w:hint="eastAsia" w:ascii="等线" w:hAnsi="等线" w:eastAsia="等线" w:cs="Times New Roman"/>
                <w:b/>
                <w:szCs w:val="20"/>
              </w:rPr>
              <w:t>（元</w:t>
            </w:r>
            <w:r>
              <w:rPr>
                <w:rFonts w:hint="eastAsia" w:ascii="等线" w:hAnsi="等线" w:eastAsia="等线" w:cs="Times New Roman"/>
                <w:b/>
                <w:szCs w:val="20"/>
                <w:lang w:eastAsia="zh-CN"/>
              </w:rPr>
              <w:t>，</w:t>
            </w:r>
            <w:r>
              <w:rPr>
                <w:rFonts w:hint="eastAsia" w:ascii="等线" w:hAnsi="等线" w:eastAsia="等线" w:cs="Times New Roman"/>
                <w:b/>
                <w:szCs w:val="20"/>
                <w:lang w:val="en-US" w:eastAsia="zh-CN"/>
              </w:rPr>
              <w:t>含税</w:t>
            </w:r>
            <w:r>
              <w:rPr>
                <w:rFonts w:hint="eastAsia" w:ascii="等线" w:hAnsi="等线" w:eastAsia="等线" w:cs="Times New Roman"/>
                <w:b/>
                <w:szCs w:val="20"/>
              </w:rPr>
              <w:t>）</w:t>
            </w:r>
            <w:r>
              <w:rPr>
                <w:rFonts w:hint="eastAsia" w:ascii="等线" w:hAnsi="等线" w:eastAsia="等线" w:cs="Times New Roman"/>
                <w:b/>
                <w:szCs w:val="20"/>
                <w:lang w:val="en-US" w:eastAsia="zh-CN"/>
              </w:rPr>
              <w:t>大写</w:t>
            </w:r>
          </w:p>
        </w:tc>
        <w:tc>
          <w:tcPr>
            <w:tcW w:w="6142" w:type="dxa"/>
            <w:gridSpan w:val="5"/>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int="eastAsia" w:hAnsi="宋体" w:eastAsia="宋体" w:cs="Times New Roman"/>
          <w:b/>
          <w:bCs/>
          <w:szCs w:val="21"/>
          <w:highlight w:val="yellow"/>
          <w:lang w:val="en-US" w:eastAsia="zh-CN"/>
        </w:rPr>
      </w:pPr>
      <w:r>
        <w:rPr>
          <w:rFonts w:hint="eastAsia" w:hAnsi="宋体" w:eastAsia="宋体" w:cs="宋体"/>
          <w:b/>
          <w:szCs w:val="20"/>
          <w:highlight w:val="yellow"/>
        </w:rPr>
        <w:t>4.</w:t>
      </w:r>
      <w:r>
        <w:rPr>
          <w:rFonts w:hint="eastAsia" w:hAnsi="宋体" w:eastAsia="宋体" w:cs="Times New Roman"/>
          <w:b/>
          <w:bCs/>
          <w:szCs w:val="21"/>
          <w:highlight w:val="yellow"/>
        </w:rPr>
        <w:t>投标总价</w:t>
      </w:r>
      <w:r>
        <w:rPr>
          <w:rFonts w:hint="eastAsia" w:hAnsi="宋体" w:eastAsia="宋体" w:cs="Times New Roman"/>
          <w:b/>
          <w:bCs/>
          <w:szCs w:val="21"/>
          <w:highlight w:val="yellow"/>
          <w:lang w:val="en-US" w:eastAsia="zh-CN"/>
        </w:rPr>
        <w:t>大写为必填项，如发生大小写不一致，以大写为准。</w:t>
      </w:r>
    </w:p>
    <w:p>
      <w:pPr>
        <w:pStyle w:val="2"/>
        <w:rPr>
          <w:rFonts w:hAnsi="宋体" w:eastAsia="宋体" w:cs="Times New Roman"/>
          <w:b/>
          <w:bCs/>
          <w:szCs w:val="21"/>
          <w:highlight w:val="yellow"/>
        </w:rPr>
      </w:pPr>
      <w:r>
        <w:rPr>
          <w:rFonts w:hint="eastAsia" w:hAnsi="宋体" w:eastAsia="宋体" w:cs="Times New Roman"/>
          <w:b/>
          <w:bCs/>
          <w:szCs w:val="21"/>
          <w:highlight w:val="yellow"/>
          <w:lang w:val="en-US" w:eastAsia="zh-CN"/>
        </w:rPr>
        <w:t>5.投标总价</w:t>
      </w:r>
      <w:r>
        <w:rPr>
          <w:rFonts w:hint="eastAsia" w:hAnsi="宋体" w:eastAsia="宋体" w:cs="Times New Roman"/>
          <w:b/>
          <w:bCs/>
          <w:szCs w:val="21"/>
          <w:highlight w:val="yellow"/>
        </w:rPr>
        <w:t>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left"/>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yellow"/>
          <w:lang w:val="en-US" w:eastAsia="zh-CN"/>
          <w14:textOutline w14:w="3835" w14:cap="flat" w14:cmpd="sng" w14:algn="ctr">
            <w14:solidFill>
              <w14:srgbClr w14:val="000000"/>
            </w14:solidFill>
            <w14:prstDash w14:val="solid"/>
            <w14:miter w14:val="0"/>
          </w14:textOutline>
        </w:rPr>
        <w:t>CGZX2023030219</w:t>
      </w:r>
      <w:r>
        <w:rPr>
          <w:rFonts w:hint="eastAsia" w:ascii="宋体" w:hAnsi="宋体" w:eastAsia="宋体" w:cs="宋体"/>
          <w:spacing w:val="-1"/>
          <w:szCs w:val="21"/>
          <w:highlight w:val="yellow"/>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pPr>
              <w:spacing w:before="221" w:line="222" w:lineRule="auto"/>
              <w:ind w:left="129"/>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2238" w:type="dxa"/>
          </w:tcPr>
          <w:p>
            <w:pPr>
              <w:spacing w:before="221" w:line="220" w:lineRule="auto"/>
              <w:ind w:left="707"/>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2239" w:type="dxa"/>
          </w:tcPr>
          <w:p>
            <w:pPr>
              <w:spacing w:before="221" w:line="221" w:lineRule="auto"/>
              <w:ind w:left="60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120" w:type="dxa"/>
          </w:tcPr>
          <w:p>
            <w:pPr>
              <w:spacing w:before="221" w:line="221" w:lineRule="auto"/>
              <w:ind w:left="35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682" w:type="dxa"/>
          </w:tcPr>
          <w:p>
            <w:pPr>
              <w:spacing w:before="59" w:line="254" w:lineRule="auto"/>
              <w:ind w:right="308"/>
              <w:jc w:val="center"/>
              <w:rPr>
                <w:rFonts w:ascii="宋体" w:hAnsi="宋体" w:eastAsia="宋体" w:cs="宋体"/>
                <w:szCs w:val="21"/>
              </w:rPr>
            </w:pP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14:textOutline w14:w="3835" w14:cap="flat" w14:cmpd="sng" w14:algn="ctr">
                  <w14:solidFill>
                    <w14:srgbClr w14:val="000000"/>
                  </w14:solidFill>
                  <w14:prstDash w14:val="solid"/>
                  <w14:miter w14:val="0"/>
                </w14:textOutline>
              </w:rPr>
              <w:t>原</w:t>
            </w:r>
            <w:r>
              <w:rPr>
                <w:rFonts w:ascii="宋体" w:hAnsi="宋体" w:eastAsia="宋体" w:cs="宋体"/>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szCs w:val="21"/>
                <w14:textOutline w14:w="3835" w14:cap="flat" w14:cmpd="sng" w14:algn="ctr">
                  <w14:solidFill>
                    <w14:srgbClr w14:val="000000"/>
                  </w14:solidFill>
                  <w14:prstDash w14:val="solid"/>
                  <w14:miter w14:val="0"/>
                </w14:textOutline>
              </w:rPr>
              <w:t>称</w:t>
            </w:r>
          </w:p>
        </w:tc>
        <w:tc>
          <w:tcPr>
            <w:tcW w:w="2519" w:type="dxa"/>
            <w:tcBorders>
              <w:right w:val="single" w:color="000000" w:sz="4" w:space="0"/>
            </w:tcBorders>
          </w:tcPr>
          <w:p>
            <w:pPr>
              <w:spacing w:before="58"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8" w:line="221" w:lineRule="auto"/>
              <w:ind w:left="1093"/>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tcPr>
          <w:p>
            <w:pPr>
              <w:spacing w:before="58" w:line="219" w:lineRule="auto"/>
              <w:jc w:val="center"/>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总价[4</w:t>
            </w:r>
            <w:r>
              <w:rPr>
                <w:rFonts w:ascii="宋体" w:hAnsi="宋体" w:eastAsia="宋体" w:cs="宋体"/>
                <w:szCs w:val="21"/>
                <w14:textOutline w14:w="3835" w14:cap="flat" w14:cmpd="sng" w14:algn="ctr">
                  <w14:solidFill>
                    <w14:srgbClr w14:val="000000"/>
                  </w14:solidFill>
                  <w14:prstDash w14:val="solid"/>
                  <w14:miter w14:val="0"/>
                </w14:textOutline>
              </w:rPr>
              <w:t>×6]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58" w:line="219" w:lineRule="auto"/>
              <w:jc w:val="center"/>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069" w:type="dxa"/>
          </w:tcPr>
          <w:p>
            <w:pPr>
              <w:spacing w:before="221" w:line="222" w:lineRule="auto"/>
              <w:ind w:firstLine="208" w:firstLineChars="1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jc w:val="center"/>
              <w:rPr>
                <w:rFonts w:ascii="宋体" w:hAnsi="宋体" w:eastAsia="宋体" w:cs="宋体"/>
                <w:szCs w:val="21"/>
              </w:rPr>
            </w:pPr>
            <w:r>
              <w:rPr>
                <w:rFonts w:ascii="宋体" w:hAnsi="宋体" w:eastAsia="宋体" w:cs="宋体"/>
                <w:szCs w:val="21"/>
              </w:rPr>
              <w:t>1</w:t>
            </w:r>
          </w:p>
        </w:tc>
        <w:tc>
          <w:tcPr>
            <w:tcW w:w="2238" w:type="dxa"/>
            <w:vAlign w:val="center"/>
          </w:tcPr>
          <w:p>
            <w:pPr>
              <w:spacing w:line="360" w:lineRule="auto"/>
              <w:jc w:val="center"/>
              <w:textAlignment w:val="center"/>
              <w:rPr>
                <w:rFonts w:ascii="宋体" w:hAnsi="宋体" w:eastAsia="宋体" w:cs="宋体"/>
                <w:szCs w:val="21"/>
              </w:rPr>
            </w:pPr>
          </w:p>
        </w:tc>
        <w:tc>
          <w:tcPr>
            <w:tcW w:w="2239" w:type="dxa"/>
            <w:vAlign w:val="center"/>
          </w:tcPr>
          <w:p>
            <w:pPr>
              <w:rPr>
                <w:rFonts w:ascii="宋体" w:hAnsi="宋体" w:eastAsia="宋体"/>
                <w:szCs w:val="21"/>
              </w:rPr>
            </w:pPr>
          </w:p>
        </w:tc>
        <w:tc>
          <w:tcPr>
            <w:tcW w:w="1120" w:type="dxa"/>
            <w:vAlign w:val="center"/>
          </w:tcPr>
          <w:p>
            <w:pPr>
              <w:spacing w:line="360" w:lineRule="auto"/>
              <w:jc w:val="center"/>
              <w:textAlignment w:val="center"/>
              <w:rPr>
                <w:rFonts w:ascii="宋体" w:hAnsi="宋体" w:eastAsia="宋体" w:cs="宋体"/>
                <w:szCs w:val="21"/>
              </w:rPr>
            </w:pPr>
          </w:p>
        </w:tc>
        <w:tc>
          <w:tcPr>
            <w:tcW w:w="1682" w:type="dxa"/>
          </w:tcPr>
          <w:p>
            <w:pPr>
              <w:rPr>
                <w:rFonts w:ascii="宋体" w:hAnsi="宋体" w:eastAsia="宋体"/>
                <w:szCs w:val="21"/>
              </w:rPr>
            </w:pPr>
          </w:p>
        </w:tc>
        <w:tc>
          <w:tcPr>
            <w:tcW w:w="2519" w:type="dxa"/>
            <w:tcBorders>
              <w:right w:val="single" w:color="000000" w:sz="4" w:space="0"/>
            </w:tcBorders>
          </w:tcPr>
          <w:p>
            <w:pPr>
              <w:rPr>
                <w:rFonts w:ascii="宋体" w:hAnsi="宋体" w:eastAsia="宋体"/>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jc w:val="center"/>
              <w:rPr>
                <w:rFonts w:ascii="宋体" w:hAnsi="宋体" w:eastAsia="宋体" w:cs="宋体"/>
                <w:szCs w:val="21"/>
              </w:rPr>
            </w:pPr>
            <w:r>
              <w:rPr>
                <w:rFonts w:ascii="宋体" w:hAnsi="宋体" w:eastAsia="宋体" w:cs="宋体"/>
                <w:szCs w:val="21"/>
              </w:rPr>
              <w:t>2</w:t>
            </w:r>
          </w:p>
        </w:tc>
        <w:tc>
          <w:tcPr>
            <w:tcW w:w="2238" w:type="dxa"/>
            <w:vAlign w:val="center"/>
          </w:tcPr>
          <w:p>
            <w:pPr>
              <w:spacing w:line="360" w:lineRule="auto"/>
              <w:jc w:val="center"/>
              <w:textAlignment w:val="center"/>
              <w:rPr>
                <w:rFonts w:ascii="宋体" w:hAnsi="宋体" w:eastAsia="宋体" w:cs="宋体"/>
                <w:szCs w:val="21"/>
              </w:rPr>
            </w:pPr>
          </w:p>
        </w:tc>
        <w:tc>
          <w:tcPr>
            <w:tcW w:w="2239" w:type="dxa"/>
            <w:vAlign w:val="center"/>
          </w:tcPr>
          <w:p/>
        </w:tc>
        <w:tc>
          <w:tcPr>
            <w:tcW w:w="1120" w:type="dxa"/>
            <w:vAlign w:val="center"/>
          </w:tcPr>
          <w:p>
            <w:pPr>
              <w:spacing w:line="360" w:lineRule="auto"/>
              <w:jc w:val="center"/>
              <w:textAlignment w:val="center"/>
              <w:rPr>
                <w:rFonts w:ascii="宋体" w:hAnsi="宋体" w:eastAsia="宋体" w:cs="宋体"/>
                <w:szCs w:val="21"/>
              </w:rPr>
            </w:pPr>
          </w:p>
        </w:tc>
        <w:tc>
          <w:tcPr>
            <w:tcW w:w="1682" w:type="dxa"/>
          </w:tcPr>
          <w:p>
            <w:pPr>
              <w:rPr>
                <w:rFonts w:ascii="宋体" w:hAnsi="宋体" w:eastAsia="宋体"/>
                <w:szCs w:val="21"/>
              </w:rPr>
            </w:pPr>
          </w:p>
        </w:tc>
        <w:tc>
          <w:tcPr>
            <w:tcW w:w="2519" w:type="dxa"/>
            <w:tcBorders>
              <w:right w:val="single" w:color="000000" w:sz="4" w:space="0"/>
            </w:tcBorders>
          </w:tcPr>
          <w:p>
            <w:pPr>
              <w:rPr>
                <w:rFonts w:ascii="宋体" w:hAnsi="宋体" w:eastAsia="宋体"/>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jc w:val="center"/>
              <w:rPr>
                <w:rFonts w:ascii="宋体" w:hAnsi="宋体" w:eastAsia="宋体" w:cs="宋体"/>
                <w:szCs w:val="21"/>
              </w:rPr>
            </w:pPr>
            <w:r>
              <w:rPr>
                <w:rFonts w:ascii="宋体" w:hAnsi="宋体" w:eastAsia="宋体" w:cs="宋体"/>
                <w:szCs w:val="21"/>
              </w:rPr>
              <w:t>3</w:t>
            </w:r>
          </w:p>
        </w:tc>
        <w:tc>
          <w:tcPr>
            <w:tcW w:w="2238" w:type="dxa"/>
            <w:vAlign w:val="center"/>
          </w:tcPr>
          <w:p>
            <w:pPr>
              <w:pStyle w:val="2"/>
              <w:jc w:val="center"/>
              <w:rPr>
                <w:rFonts w:hAnsi="宋体" w:eastAsia="宋体"/>
                <w:szCs w:val="21"/>
              </w:rPr>
            </w:pPr>
          </w:p>
        </w:tc>
        <w:tc>
          <w:tcPr>
            <w:tcW w:w="2239" w:type="dxa"/>
            <w:vAlign w:val="center"/>
          </w:tcPr>
          <w:p/>
        </w:tc>
        <w:tc>
          <w:tcPr>
            <w:tcW w:w="1120" w:type="dxa"/>
            <w:vAlign w:val="center"/>
          </w:tcPr>
          <w:p>
            <w:pPr>
              <w:spacing w:line="360" w:lineRule="auto"/>
              <w:jc w:val="center"/>
              <w:textAlignment w:val="center"/>
              <w:rPr>
                <w:rFonts w:ascii="宋体" w:hAnsi="宋体" w:eastAsia="宋体" w:cs="宋体"/>
                <w:szCs w:val="21"/>
              </w:rPr>
            </w:pPr>
          </w:p>
        </w:tc>
        <w:tc>
          <w:tcPr>
            <w:tcW w:w="1682" w:type="dxa"/>
          </w:tcPr>
          <w:p>
            <w:pPr>
              <w:rPr>
                <w:rFonts w:ascii="宋体" w:hAnsi="宋体" w:eastAsia="宋体"/>
                <w:szCs w:val="21"/>
              </w:rPr>
            </w:pPr>
          </w:p>
        </w:tc>
        <w:tc>
          <w:tcPr>
            <w:tcW w:w="2519" w:type="dxa"/>
            <w:tcBorders>
              <w:right w:val="single" w:color="000000" w:sz="4" w:space="0"/>
            </w:tcBorders>
          </w:tcPr>
          <w:p>
            <w:pPr>
              <w:rPr>
                <w:rFonts w:ascii="宋体" w:hAnsi="宋体" w:eastAsia="宋体"/>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jc w:val="center"/>
              <w:rPr>
                <w:rFonts w:ascii="宋体" w:hAnsi="宋体" w:eastAsia="宋体" w:cs="宋体"/>
                <w:szCs w:val="21"/>
              </w:rPr>
            </w:pPr>
            <w:r>
              <w:rPr>
                <w:rFonts w:ascii="宋体" w:hAnsi="宋体" w:eastAsia="宋体" w:cs="宋体"/>
                <w:szCs w:val="21"/>
              </w:rPr>
              <w:t>4</w:t>
            </w:r>
          </w:p>
        </w:tc>
        <w:tc>
          <w:tcPr>
            <w:tcW w:w="2238" w:type="dxa"/>
            <w:vAlign w:val="center"/>
          </w:tcPr>
          <w:p>
            <w:pPr>
              <w:spacing w:line="360" w:lineRule="auto"/>
              <w:jc w:val="center"/>
              <w:textAlignment w:val="center"/>
              <w:rPr>
                <w:rFonts w:ascii="宋体" w:hAnsi="宋体" w:eastAsia="宋体" w:cs="宋体"/>
                <w:szCs w:val="21"/>
              </w:rPr>
            </w:pPr>
          </w:p>
        </w:tc>
        <w:tc>
          <w:tcPr>
            <w:tcW w:w="2239" w:type="dxa"/>
            <w:vAlign w:val="center"/>
          </w:tcPr>
          <w:p>
            <w:pPr>
              <w:widowControl/>
              <w:jc w:val="center"/>
              <w:rPr>
                <w:rFonts w:ascii="宋体" w:hAnsi="宋体" w:eastAsia="宋体" w:cs="宋体"/>
                <w:kern w:val="0"/>
                <w:szCs w:val="21"/>
              </w:rPr>
            </w:pPr>
          </w:p>
        </w:tc>
        <w:tc>
          <w:tcPr>
            <w:tcW w:w="1120" w:type="dxa"/>
            <w:vAlign w:val="center"/>
          </w:tcPr>
          <w:p>
            <w:pPr>
              <w:spacing w:line="360" w:lineRule="auto"/>
              <w:jc w:val="center"/>
              <w:textAlignment w:val="center"/>
              <w:rPr>
                <w:rFonts w:ascii="宋体" w:hAnsi="宋体" w:eastAsia="宋体" w:cs="宋体"/>
                <w:szCs w:val="21"/>
              </w:rPr>
            </w:pPr>
          </w:p>
        </w:tc>
        <w:tc>
          <w:tcPr>
            <w:tcW w:w="1682" w:type="dxa"/>
          </w:tcPr>
          <w:p>
            <w:pPr>
              <w:rPr>
                <w:rFonts w:ascii="宋体" w:hAnsi="宋体" w:eastAsia="宋体"/>
                <w:szCs w:val="21"/>
              </w:rPr>
            </w:pPr>
          </w:p>
        </w:tc>
        <w:tc>
          <w:tcPr>
            <w:tcW w:w="2519" w:type="dxa"/>
            <w:tcBorders>
              <w:right w:val="single" w:color="000000" w:sz="4" w:space="0"/>
            </w:tcBorders>
          </w:tcPr>
          <w:p>
            <w:pPr>
              <w:rPr>
                <w:rFonts w:ascii="宋体" w:hAnsi="宋体" w:eastAsia="宋体"/>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jc w:val="center"/>
              <w:rPr>
                <w:rFonts w:ascii="宋体" w:hAnsi="宋体" w:eastAsia="宋体" w:cs="宋体"/>
                <w:szCs w:val="21"/>
              </w:rPr>
            </w:pPr>
            <w:r>
              <w:rPr>
                <w:rFonts w:ascii="宋体" w:hAnsi="宋体" w:eastAsia="宋体" w:cs="宋体"/>
                <w:szCs w:val="21"/>
              </w:rPr>
              <w:t>5</w:t>
            </w:r>
          </w:p>
        </w:tc>
        <w:tc>
          <w:tcPr>
            <w:tcW w:w="2238" w:type="dxa"/>
            <w:vAlign w:val="center"/>
          </w:tcPr>
          <w:p>
            <w:pPr>
              <w:spacing w:line="360" w:lineRule="auto"/>
              <w:jc w:val="center"/>
              <w:textAlignment w:val="center"/>
              <w:rPr>
                <w:rFonts w:ascii="宋体" w:hAnsi="宋体" w:eastAsia="宋体" w:cs="宋体"/>
                <w:szCs w:val="21"/>
              </w:rPr>
            </w:pPr>
          </w:p>
        </w:tc>
        <w:tc>
          <w:tcPr>
            <w:tcW w:w="2239" w:type="dxa"/>
            <w:vAlign w:val="center"/>
          </w:tcPr>
          <w:p>
            <w:pPr>
              <w:jc w:val="center"/>
              <w:rPr>
                <w:rFonts w:ascii="宋体" w:hAnsi="宋体" w:eastAsia="宋体"/>
                <w:szCs w:val="21"/>
              </w:rPr>
            </w:pPr>
          </w:p>
        </w:tc>
        <w:tc>
          <w:tcPr>
            <w:tcW w:w="1120" w:type="dxa"/>
            <w:vAlign w:val="center"/>
          </w:tcPr>
          <w:p>
            <w:pPr>
              <w:spacing w:line="360" w:lineRule="auto"/>
              <w:jc w:val="center"/>
              <w:textAlignment w:val="center"/>
              <w:rPr>
                <w:rFonts w:ascii="宋体" w:hAnsi="宋体" w:eastAsia="宋体" w:cs="宋体"/>
                <w:szCs w:val="21"/>
              </w:rPr>
            </w:pPr>
          </w:p>
        </w:tc>
        <w:tc>
          <w:tcPr>
            <w:tcW w:w="1682" w:type="dxa"/>
          </w:tcPr>
          <w:p>
            <w:pPr>
              <w:rPr>
                <w:rFonts w:ascii="宋体" w:hAnsi="宋体" w:eastAsia="宋体"/>
                <w:szCs w:val="21"/>
              </w:rPr>
            </w:pPr>
          </w:p>
        </w:tc>
        <w:tc>
          <w:tcPr>
            <w:tcW w:w="2519" w:type="dxa"/>
            <w:tcBorders>
              <w:right w:val="single" w:color="000000" w:sz="4" w:space="0"/>
            </w:tcBorders>
          </w:tcPr>
          <w:p>
            <w:pPr>
              <w:rPr>
                <w:rFonts w:ascii="宋体" w:hAnsi="宋体" w:eastAsia="宋体"/>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jc w:val="center"/>
              <w:rPr>
                <w:rFonts w:ascii="宋体" w:hAnsi="宋体" w:eastAsia="宋体" w:cs="宋体"/>
                <w:szCs w:val="21"/>
              </w:rPr>
            </w:pPr>
            <w:r>
              <w:rPr>
                <w:rFonts w:ascii="宋体" w:hAnsi="宋体" w:eastAsia="宋体" w:cs="宋体"/>
                <w:szCs w:val="21"/>
              </w:rPr>
              <w:t>6</w:t>
            </w:r>
          </w:p>
        </w:tc>
        <w:tc>
          <w:tcPr>
            <w:tcW w:w="2238" w:type="dxa"/>
            <w:vAlign w:val="center"/>
          </w:tcPr>
          <w:p>
            <w:pPr>
              <w:spacing w:line="360" w:lineRule="auto"/>
              <w:jc w:val="center"/>
              <w:textAlignment w:val="center"/>
              <w:rPr>
                <w:rFonts w:ascii="宋体" w:hAnsi="宋体" w:eastAsia="宋体" w:cs="宋体"/>
                <w:szCs w:val="21"/>
              </w:rPr>
            </w:pPr>
          </w:p>
        </w:tc>
        <w:tc>
          <w:tcPr>
            <w:tcW w:w="2239" w:type="dxa"/>
            <w:vAlign w:val="center"/>
          </w:tcPr>
          <w:p>
            <w:pPr>
              <w:jc w:val="center"/>
              <w:rPr>
                <w:rFonts w:ascii="宋体" w:hAnsi="宋体" w:eastAsia="宋体"/>
                <w:szCs w:val="21"/>
              </w:rPr>
            </w:pPr>
          </w:p>
        </w:tc>
        <w:tc>
          <w:tcPr>
            <w:tcW w:w="1120" w:type="dxa"/>
            <w:vAlign w:val="center"/>
          </w:tcPr>
          <w:p>
            <w:pPr>
              <w:spacing w:line="360" w:lineRule="auto"/>
              <w:jc w:val="center"/>
              <w:textAlignment w:val="center"/>
              <w:rPr>
                <w:rFonts w:ascii="宋体" w:hAnsi="宋体" w:eastAsia="宋体" w:cs="宋体"/>
                <w:szCs w:val="21"/>
              </w:rPr>
            </w:pPr>
          </w:p>
        </w:tc>
        <w:tc>
          <w:tcPr>
            <w:tcW w:w="1682" w:type="dxa"/>
          </w:tcPr>
          <w:p>
            <w:pPr>
              <w:rPr>
                <w:rFonts w:ascii="宋体" w:hAnsi="宋体" w:eastAsia="宋体"/>
                <w:szCs w:val="21"/>
              </w:rPr>
            </w:pPr>
          </w:p>
        </w:tc>
        <w:tc>
          <w:tcPr>
            <w:tcW w:w="2519" w:type="dxa"/>
            <w:tcBorders>
              <w:right w:val="single" w:color="000000" w:sz="4" w:space="0"/>
            </w:tcBorders>
          </w:tcPr>
          <w:p>
            <w:pPr>
              <w:rPr>
                <w:rFonts w:ascii="宋体" w:hAnsi="宋体" w:eastAsia="宋体"/>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pPr>
              <w:spacing w:before="116" w:line="182" w:lineRule="auto"/>
              <w:jc w:val="center"/>
              <w:rPr>
                <w:rFonts w:ascii="宋体" w:hAnsi="宋体" w:eastAsia="宋体" w:cs="宋体"/>
                <w:szCs w:val="21"/>
              </w:rPr>
            </w:pPr>
            <w:r>
              <w:rPr>
                <w:rFonts w:ascii="宋体" w:hAnsi="宋体" w:eastAsia="宋体" w:cs="宋体"/>
                <w:szCs w:val="21"/>
              </w:rPr>
              <w:t>7</w:t>
            </w:r>
          </w:p>
        </w:tc>
        <w:tc>
          <w:tcPr>
            <w:tcW w:w="2238" w:type="dxa"/>
            <w:vAlign w:val="center"/>
          </w:tcPr>
          <w:p>
            <w:pPr>
              <w:spacing w:line="360" w:lineRule="auto"/>
              <w:jc w:val="center"/>
              <w:textAlignment w:val="center"/>
              <w:rPr>
                <w:rFonts w:ascii="宋体" w:hAnsi="宋体" w:eastAsia="宋体" w:cs="宋体"/>
                <w:szCs w:val="21"/>
              </w:rPr>
            </w:pPr>
          </w:p>
        </w:tc>
        <w:tc>
          <w:tcPr>
            <w:tcW w:w="2239" w:type="dxa"/>
            <w:vAlign w:val="center"/>
          </w:tcPr>
          <w:p>
            <w:pPr>
              <w:jc w:val="center"/>
              <w:rPr>
                <w:rFonts w:ascii="宋体" w:hAnsi="宋体" w:eastAsia="宋体"/>
                <w:szCs w:val="21"/>
              </w:rPr>
            </w:pPr>
          </w:p>
        </w:tc>
        <w:tc>
          <w:tcPr>
            <w:tcW w:w="1120" w:type="dxa"/>
            <w:vAlign w:val="center"/>
          </w:tcPr>
          <w:p>
            <w:pPr>
              <w:spacing w:line="360" w:lineRule="auto"/>
              <w:jc w:val="center"/>
              <w:textAlignment w:val="center"/>
              <w:rPr>
                <w:rFonts w:ascii="宋体" w:hAnsi="宋体" w:eastAsia="宋体" w:cs="宋体"/>
                <w:szCs w:val="21"/>
              </w:rPr>
            </w:pPr>
          </w:p>
        </w:tc>
        <w:tc>
          <w:tcPr>
            <w:tcW w:w="1682" w:type="dxa"/>
          </w:tcPr>
          <w:p>
            <w:pPr>
              <w:rPr>
                <w:rFonts w:ascii="宋体" w:hAnsi="宋体" w:eastAsia="宋体"/>
                <w:szCs w:val="21"/>
              </w:rPr>
            </w:pPr>
          </w:p>
        </w:tc>
        <w:tc>
          <w:tcPr>
            <w:tcW w:w="2519" w:type="dxa"/>
            <w:tcBorders>
              <w:right w:val="single" w:color="000000" w:sz="4" w:space="0"/>
            </w:tcBorders>
          </w:tcPr>
          <w:p>
            <w:pPr>
              <w:rPr>
                <w:rFonts w:ascii="宋体" w:hAnsi="宋体" w:eastAsia="宋体"/>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4" w:line="183" w:lineRule="auto"/>
              <w:jc w:val="center"/>
              <w:rPr>
                <w:rFonts w:ascii="宋体" w:hAnsi="宋体" w:eastAsia="宋体" w:cs="宋体"/>
                <w:szCs w:val="21"/>
              </w:rPr>
            </w:pPr>
            <w:r>
              <w:rPr>
                <w:rFonts w:ascii="宋体" w:hAnsi="宋体" w:eastAsia="宋体" w:cs="宋体"/>
                <w:szCs w:val="21"/>
              </w:rPr>
              <w:t>8</w:t>
            </w:r>
          </w:p>
        </w:tc>
        <w:tc>
          <w:tcPr>
            <w:tcW w:w="2238" w:type="dxa"/>
            <w:vAlign w:val="center"/>
          </w:tcPr>
          <w:p>
            <w:pPr>
              <w:spacing w:line="360" w:lineRule="auto"/>
              <w:jc w:val="center"/>
              <w:textAlignment w:val="center"/>
              <w:rPr>
                <w:rFonts w:ascii="宋体" w:hAnsi="宋体" w:eastAsia="宋体" w:cs="宋体"/>
                <w:szCs w:val="21"/>
              </w:rPr>
            </w:pPr>
          </w:p>
        </w:tc>
        <w:tc>
          <w:tcPr>
            <w:tcW w:w="2239" w:type="dxa"/>
            <w:vAlign w:val="center"/>
          </w:tcPr>
          <w:p>
            <w:pPr>
              <w:jc w:val="center"/>
              <w:rPr>
                <w:rFonts w:ascii="宋体" w:hAnsi="宋体" w:eastAsia="宋体"/>
                <w:szCs w:val="21"/>
              </w:rPr>
            </w:pPr>
          </w:p>
        </w:tc>
        <w:tc>
          <w:tcPr>
            <w:tcW w:w="1120" w:type="dxa"/>
            <w:vAlign w:val="center"/>
          </w:tcPr>
          <w:p>
            <w:pPr>
              <w:spacing w:line="360" w:lineRule="auto"/>
              <w:jc w:val="center"/>
              <w:textAlignment w:val="center"/>
              <w:rPr>
                <w:rFonts w:ascii="宋体" w:hAnsi="宋体" w:eastAsia="宋体" w:cs="宋体"/>
                <w:szCs w:val="21"/>
              </w:rPr>
            </w:pPr>
          </w:p>
        </w:tc>
        <w:tc>
          <w:tcPr>
            <w:tcW w:w="1682" w:type="dxa"/>
          </w:tcPr>
          <w:p>
            <w:pPr>
              <w:rPr>
                <w:rFonts w:ascii="宋体" w:hAnsi="宋体" w:eastAsia="宋体"/>
                <w:szCs w:val="21"/>
              </w:rPr>
            </w:pPr>
          </w:p>
        </w:tc>
        <w:tc>
          <w:tcPr>
            <w:tcW w:w="2519" w:type="dxa"/>
            <w:tcBorders>
              <w:right w:val="single" w:color="000000" w:sz="4" w:space="0"/>
            </w:tcBorders>
          </w:tcPr>
          <w:p>
            <w:pPr>
              <w:rPr>
                <w:rFonts w:ascii="宋体" w:hAnsi="宋体" w:eastAsia="宋体"/>
                <w:szCs w:val="21"/>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3"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yellow"/>
          <w:lang w:val="en-US" w:eastAsia="zh-CN"/>
          <w14:textOutline w14:w="3835" w14:cap="flat" w14:cmpd="sng" w14:algn="ctr">
            <w14:solidFill>
              <w14:srgbClr w14:val="000000"/>
            </w14:solidFill>
            <w14:prstDash w14:val="solid"/>
            <w14:miter w14:val="0"/>
          </w14:textOutline>
        </w:rPr>
        <w:t>CGZX2023030219</w:t>
      </w:r>
      <w:r>
        <w:rPr>
          <w:rFonts w:hint="eastAsia" w:ascii="宋体" w:hAnsi="宋体" w:eastAsia="宋体" w:cs="宋体"/>
          <w:spacing w:val="-1"/>
          <w:szCs w:val="21"/>
          <w:highlight w:val="yellow"/>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2" w:line="186" w:lineRule="auto"/>
              <w:ind w:left="366"/>
              <w:rPr>
                <w:rFonts w:ascii="宋体" w:hAnsi="宋体" w:eastAsia="宋体" w:cs="宋体"/>
                <w:szCs w:val="21"/>
              </w:rPr>
            </w:pPr>
            <w:r>
              <w:rPr>
                <w:rFonts w:ascii="宋体" w:hAnsi="宋体" w:eastAsia="宋体" w:cs="宋体"/>
                <w:szCs w:val="21"/>
              </w:rPr>
              <w:t>1</w:t>
            </w:r>
          </w:p>
        </w:tc>
        <w:tc>
          <w:tcPr>
            <w:tcW w:w="3530" w:type="dxa"/>
          </w:tcPr>
          <w:p>
            <w:pPr>
              <w:spacing w:before="208" w:line="221" w:lineRule="auto"/>
              <w:ind w:left="1555"/>
              <w:rPr>
                <w:rFonts w:ascii="宋体" w:hAnsi="宋体" w:eastAsia="宋体" w:cs="宋体"/>
                <w:szCs w:val="21"/>
              </w:rPr>
            </w:pPr>
            <w:r>
              <w:rPr>
                <w:rFonts w:ascii="宋体" w:hAnsi="宋体" w:eastAsia="宋体" w:cs="宋体"/>
                <w:spacing w:val="-2"/>
                <w:szCs w:val="21"/>
              </w:rPr>
              <w:t>税</w:t>
            </w:r>
            <w:r>
              <w:rPr>
                <w:rFonts w:ascii="宋体" w:hAnsi="宋体" w:eastAsia="宋体" w:cs="宋体"/>
                <w:spacing w:val="-1"/>
                <w:szCs w:val="21"/>
              </w:rPr>
              <w:t>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ascii="宋体" w:hAnsi="宋体" w:eastAsia="宋体" w:cs="宋体"/>
                <w:szCs w:val="21"/>
              </w:rPr>
              <w:t>3</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ascii="宋体" w:hAnsi="宋体" w:eastAsia="宋体" w:cs="宋体"/>
                <w:szCs w:val="21"/>
              </w:rPr>
              <w:t>4</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ascii="宋体" w:hAnsi="宋体" w:eastAsia="宋体" w:cs="宋体"/>
                <w:szCs w:val="21"/>
              </w:rPr>
              <w:t>5</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ascii="宋体" w:hAnsi="宋体" w:eastAsia="宋体" w:cs="宋体"/>
                <w:szCs w:val="21"/>
              </w:rPr>
              <w:t>6</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4" w:type="default"/>
          <w:pgSz w:w="16841" w:h="11907"/>
          <w:pgMar w:top="400" w:right="1699" w:bottom="1184" w:left="1481"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yellow"/>
          <w:lang w:val="en-US" w:eastAsia="zh-CN"/>
          <w14:textOutline w14:w="3835" w14:cap="flat" w14:cmpd="sng" w14:algn="ctr">
            <w14:solidFill>
              <w14:srgbClr w14:val="000000"/>
            </w14:solidFill>
            <w14:prstDash w14:val="solid"/>
            <w14:miter w14:val="0"/>
          </w14:textOutline>
        </w:rPr>
        <w:t>CGZX2023030219</w:t>
      </w:r>
      <w:r>
        <w:rPr>
          <w:rFonts w:hint="eastAsia" w:ascii="宋体" w:hAnsi="宋体" w:eastAsia="宋体" w:cs="宋体"/>
          <w:spacing w:val="-1"/>
          <w:szCs w:val="21"/>
          <w:highlight w:val="yellow"/>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27"/>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pPr>
              <w:spacing w:before="267" w:line="222" w:lineRule="auto"/>
              <w:ind w:left="27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241"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255"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699"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3668" w:type="dxa"/>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241"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241"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783" w:type="dxa"/>
          </w:tcPr>
          <w:p>
            <w:pPr>
              <w:spacing w:before="303" w:line="183" w:lineRule="auto"/>
              <w:ind w:left="432"/>
              <w:rPr>
                <w:rFonts w:ascii="宋体" w:hAnsi="宋体" w:eastAsia="宋体" w:cs="宋体"/>
                <w:szCs w:val="21"/>
              </w:rPr>
            </w:pPr>
            <w:r>
              <w:rPr>
                <w:rFonts w:ascii="宋体" w:hAnsi="宋体" w:eastAsia="宋体" w:cs="宋体"/>
                <w:szCs w:val="21"/>
              </w:rPr>
              <w:t>3</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1" w:line="185" w:lineRule="auto"/>
              <w:ind w:left="427"/>
              <w:rPr>
                <w:rFonts w:ascii="宋体" w:hAnsi="宋体" w:eastAsia="宋体" w:cs="宋体"/>
                <w:szCs w:val="21"/>
              </w:rPr>
            </w:pPr>
            <w:r>
              <w:rPr>
                <w:rFonts w:ascii="宋体" w:hAnsi="宋体" w:eastAsia="宋体" w:cs="宋体"/>
                <w:szCs w:val="21"/>
              </w:rPr>
              <w:t>4</w:t>
            </w:r>
          </w:p>
        </w:tc>
        <w:tc>
          <w:tcPr>
            <w:tcW w:w="3995" w:type="dxa"/>
          </w:tcPr>
          <w:p>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241"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83" w:type="dxa"/>
          </w:tcPr>
          <w:p>
            <w:pPr>
              <w:spacing w:before="306" w:line="182" w:lineRule="auto"/>
              <w:ind w:left="432"/>
              <w:rPr>
                <w:rFonts w:ascii="宋体" w:hAnsi="宋体" w:eastAsia="宋体" w:cs="宋体"/>
                <w:szCs w:val="21"/>
              </w:rPr>
            </w:pPr>
            <w:r>
              <w:rPr>
                <w:rFonts w:ascii="宋体" w:hAnsi="宋体" w:eastAsia="宋体" w:cs="宋体"/>
                <w:szCs w:val="21"/>
              </w:rPr>
              <w:t>5</w:t>
            </w:r>
          </w:p>
        </w:tc>
        <w:tc>
          <w:tcPr>
            <w:tcW w:w="3995" w:type="dxa"/>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241" w:type="dxa"/>
          </w:tcPr>
          <w:p>
            <w:pPr>
              <w:spacing w:before="266" w:line="221" w:lineRule="auto"/>
              <w:jc w:val="center"/>
              <w:rPr>
                <w:rFonts w:ascii="宋体" w:hAnsi="宋体" w:eastAsia="宋体" w:cs="宋体"/>
                <w:spacing w:val="-2"/>
                <w:szCs w:val="21"/>
              </w:rPr>
            </w:pPr>
          </w:p>
        </w:tc>
        <w:tc>
          <w:tcPr>
            <w:tcW w:w="1255" w:type="dxa"/>
          </w:tcPr>
          <w:p>
            <w:pPr>
              <w:spacing w:before="266" w:line="221" w:lineRule="auto"/>
              <w:jc w:val="center"/>
              <w:rPr>
                <w:rFonts w:ascii="宋体" w:hAnsi="宋体" w:eastAsia="宋体" w:cs="宋体"/>
                <w:spacing w:val="-2"/>
                <w:szCs w:val="21"/>
              </w:rPr>
            </w:pPr>
          </w:p>
        </w:tc>
        <w:tc>
          <w:tcPr>
            <w:tcW w:w="2699" w:type="dxa"/>
          </w:tcPr>
          <w:p>
            <w:pPr>
              <w:rPr>
                <w:rFonts w:ascii="Arial"/>
              </w:rPr>
            </w:pPr>
          </w:p>
        </w:tc>
        <w:tc>
          <w:tcPr>
            <w:tcW w:w="366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4778"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241"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255"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69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66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5" w:type="default"/>
          <w:pgSz w:w="16841" w:h="11907"/>
          <w:pgMar w:top="400" w:right="1699" w:bottom="1184" w:left="1481" w:header="0" w:footer="1022" w:gutter="0"/>
          <w:cols w:space="720" w:num="1"/>
        </w:sectPr>
      </w:pPr>
    </w:p>
    <w:p>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yellow"/>
          <w:lang w:val="en-US" w:eastAsia="zh-CN"/>
          <w14:textOutline w14:w="3835" w14:cap="flat" w14:cmpd="sng" w14:algn="ctr">
            <w14:solidFill>
              <w14:srgbClr w14:val="000000"/>
            </w14:solidFill>
            <w14:prstDash w14:val="solid"/>
            <w14:miter w14:val="0"/>
          </w14:textOutline>
        </w:rPr>
        <w:t>CGZX2023030219</w:t>
      </w:r>
      <w:r>
        <w:rPr>
          <w:rFonts w:hint="eastAsia" w:ascii="宋体" w:hAnsi="宋体" w:eastAsia="宋体" w:cs="宋体"/>
          <w:spacing w:val="-1"/>
          <w:szCs w:val="21"/>
          <w:highlight w:val="yellow"/>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spacing w:before="146" w:line="211" w:lineRule="auto"/>
              <w:ind w:left="89"/>
              <w:rPr>
                <w:rFonts w:ascii="宋体" w:hAnsi="宋体" w:eastAsia="宋体" w:cs="宋体"/>
                <w:szCs w:val="21"/>
              </w:rPr>
            </w:pPr>
            <w:r>
              <w:rPr>
                <w:rFonts w:ascii="宋体" w:hAnsi="宋体" w:eastAsia="宋体" w:cs="宋体"/>
                <w:spacing w:val="4"/>
                <w:szCs w:val="21"/>
                <w14:textOutline w14:w="3835" w14:cap="flat" w14:cmpd="sng" w14:algn="ctr">
                  <w14:solidFill>
                    <w14:srgbClr w14:val="000000"/>
                  </w14:solidFill>
                  <w14:prstDash w14:val="solid"/>
                  <w14:miter w14:val="0"/>
                </w14:textOutline>
              </w:rPr>
              <w:t>序</w:t>
            </w:r>
            <w:r>
              <w:rPr>
                <w:rFonts w:ascii="宋体" w:hAnsi="宋体" w:eastAsia="宋体" w:cs="宋体"/>
                <w:spacing w:val="4"/>
                <w:szCs w:val="21"/>
              </w:rPr>
              <w:t xml:space="preserve"> </w:t>
            </w:r>
            <w:r>
              <w:rPr>
                <w:rFonts w:ascii="宋体" w:hAnsi="宋体" w:eastAsia="宋体" w:cs="宋体"/>
                <w:spacing w:val="4"/>
                <w:szCs w:val="21"/>
                <w14:textOutline w14:w="3835" w14:cap="flat" w14:cmpd="sng" w14:algn="ctr">
                  <w14:solidFill>
                    <w14:srgbClr w14:val="000000"/>
                  </w14:solidFill>
                  <w14:prstDash w14:val="solid"/>
                  <w14:miter w14:val="0"/>
                </w14:textOutline>
              </w:rPr>
              <w:t>号</w:t>
            </w:r>
          </w:p>
        </w:tc>
        <w:tc>
          <w:tcPr>
            <w:tcW w:w="2543" w:type="dxa"/>
          </w:tcPr>
          <w:p>
            <w:pPr>
              <w:spacing w:before="252" w:line="221" w:lineRule="auto"/>
              <w:ind w:left="53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ascii="宋体" w:hAnsi="宋体" w:eastAsia="宋体" w:cs="宋体"/>
                <w:szCs w:val="21"/>
                <w14:textOutline w14:w="3835" w14:cap="flat" w14:cmpd="sng" w14:algn="ctr">
                  <w14:solidFill>
                    <w14:srgbClr w14:val="000000"/>
                  </w14:solidFill>
                  <w14:prstDash w14:val="solid"/>
                  <w14:miter w14:val="0"/>
                </w14:textOutline>
              </w:rPr>
              <w:t>工具名称</w:t>
            </w:r>
          </w:p>
        </w:tc>
        <w:tc>
          <w:tcPr>
            <w:tcW w:w="2100" w:type="dxa"/>
          </w:tcPr>
          <w:p>
            <w:pPr>
              <w:spacing w:before="252" w:line="221" w:lineRule="auto"/>
              <w:ind w:left="534"/>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tcPr>
          <w:p>
            <w:pPr>
              <w:spacing w:before="252" w:line="221" w:lineRule="auto"/>
              <w:ind w:left="21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2239" w:type="dxa"/>
          </w:tcPr>
          <w:p>
            <w:pPr>
              <w:spacing w:before="89" w:line="327" w:lineRule="exact"/>
              <w:ind w:left="708"/>
              <w:rPr>
                <w:rFonts w:ascii="宋体" w:hAnsi="宋体" w:eastAsia="宋体" w:cs="宋体"/>
                <w:szCs w:val="21"/>
              </w:rPr>
            </w:pP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14:textOutline w14:w="3835" w14:cap="flat" w14:cmpd="sng" w14:algn="ctr">
                  <w14:solidFill>
                    <w14:srgbClr w14:val="000000"/>
                  </w14:solidFill>
                  <w14:prstDash w14:val="solid"/>
                  <w14:miter w14:val="0"/>
                </w14:textOutline>
              </w:rPr>
              <w:t>和</w:t>
            </w:r>
          </w:p>
          <w:p>
            <w:pPr>
              <w:spacing w:line="221" w:lineRule="auto"/>
              <w:ind w:left="598"/>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ascii="宋体" w:hAnsi="宋体" w:eastAsia="宋体" w:cs="宋体"/>
                <w:szCs w:val="21"/>
                <w14:textOutline w14:w="3835" w14:cap="flat" w14:cmpd="sng" w14:algn="ctr">
                  <w14:solidFill>
                    <w14:srgbClr w14:val="000000"/>
                  </w14:solidFill>
                  <w14:prstDash w14:val="solid"/>
                  <w14:miter w14:val="0"/>
                </w14:textOutline>
              </w:rPr>
              <w:t>名称</w:t>
            </w:r>
          </w:p>
        </w:tc>
        <w:tc>
          <w:tcPr>
            <w:tcW w:w="1498" w:type="dxa"/>
          </w:tcPr>
          <w:p>
            <w:pPr>
              <w:spacing w:before="90"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jc w:val="center"/>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1861" w:type="dxa"/>
          </w:tcPr>
          <w:p>
            <w:pPr>
              <w:spacing w:before="90"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ascii="宋体" w:hAnsi="宋体" w:eastAsia="宋体" w:cs="宋体"/>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pPr>
              <w:spacing w:before="77" w:line="221" w:lineRule="auto"/>
              <w:jc w:val="center"/>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120" w:type="dxa"/>
          </w:tcPr>
          <w:p>
            <w:pPr>
              <w:spacing w:before="89" w:line="327" w:lineRule="exact"/>
              <w:ind w:left="360"/>
              <w:jc w:val="center"/>
              <w:rPr>
                <w:rFonts w:ascii="宋体" w:hAnsi="宋体" w:eastAsia="宋体" w:cs="宋体"/>
                <w:szCs w:val="21"/>
              </w:rPr>
            </w:pPr>
            <w:r>
              <w:rPr>
                <w:rFonts w:ascii="宋体" w:hAnsi="宋体" w:eastAsia="宋体" w:cs="宋体"/>
                <w:spacing w:val="-3"/>
                <w:position w:val="8"/>
                <w:szCs w:val="21"/>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14:textOutline w14:w="3835" w14:cap="flat" w14:cmpd="sng" w14:algn="ctr">
                  <w14:solidFill>
                    <w14:srgbClr w14:val="000000"/>
                  </w14:solidFill>
                  <w14:prstDash w14:val="solid"/>
                  <w14:miter w14:val="0"/>
                </w14:textOutline>
              </w:rPr>
              <w:t>换</w:t>
            </w:r>
          </w:p>
          <w:p>
            <w:pPr>
              <w:spacing w:line="221" w:lineRule="auto"/>
              <w:ind w:left="358"/>
              <w:jc w:val="center"/>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周期</w:t>
            </w:r>
          </w:p>
        </w:tc>
        <w:tc>
          <w:tcPr>
            <w:tcW w:w="1125" w:type="dxa"/>
          </w:tcPr>
          <w:p>
            <w:pPr>
              <w:spacing w:before="253" w:line="222" w:lineRule="auto"/>
              <w:ind w:left="252"/>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6"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416" w:firstLineChars="2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yellow"/>
          <w:lang w:val="en-US" w:eastAsia="zh-CN"/>
          <w14:textOutline w14:w="3835" w14:cap="flat" w14:cmpd="sng" w14:algn="ctr">
            <w14:solidFill>
              <w14:srgbClr w14:val="000000"/>
            </w14:solidFill>
            <w14:prstDash w14:val="solid"/>
            <w14:miter w14:val="0"/>
          </w14:textOutline>
        </w:rPr>
        <w:t>CGZX2023030219</w:t>
      </w:r>
      <w:r>
        <w:rPr>
          <w:rFonts w:hint="eastAsia" w:ascii="宋体" w:hAnsi="宋体" w:eastAsia="宋体" w:cs="宋体"/>
          <w:spacing w:val="-1"/>
          <w:szCs w:val="21"/>
          <w:highlight w:val="yellow"/>
          <w:lang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Times New Roman"/>
          <w:b/>
          <w:bCs/>
          <w:snapToGrid w:val="0"/>
          <w:color w:val="000000"/>
          <w:kern w:val="0"/>
          <w:sz w:val="24"/>
          <w:szCs w:val="24"/>
          <w:u w:val="single"/>
          <w:lang w:val="en-US" w:eastAsia="zh-CN"/>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Cs w:val="21"/>
        </w:rPr>
        <w:sectPr>
          <w:footerReference r:id="rId27"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宋体"/>
          <w:spacing w:val="-5"/>
          <w:sz w:val="24"/>
          <w:szCs w:val="24"/>
          <w:u w:val="single"/>
          <w:lang w:eastAsia="zh-CN"/>
        </w:rPr>
        <w:t>快速原型</w:t>
      </w:r>
      <w:r>
        <w:rPr>
          <w:rFonts w:hint="eastAsia" w:ascii="宋体" w:hAnsi="宋体" w:eastAsia="宋体" w:cs="宋体"/>
          <w:spacing w:val="-5"/>
          <w:sz w:val="24"/>
          <w:szCs w:val="24"/>
          <w:u w:val="single"/>
        </w:rPr>
        <w:t>招标项目</w:t>
      </w:r>
      <w:r>
        <w:rPr>
          <w:rFonts w:ascii="宋体" w:hAnsi="宋体" w:eastAsia="宋体" w:cs="宋体"/>
          <w:spacing w:val="-5"/>
          <w:sz w:val="24"/>
          <w:szCs w:val="24"/>
          <w:u w:val="single"/>
        </w:rPr>
        <w:t xml:space="preserve">      </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eastAsia="zh-CN"/>
        </w:rPr>
        <w:t>快速原型</w:t>
      </w:r>
      <w:r>
        <w:rPr>
          <w:rFonts w:hint="eastAsia" w:ascii="宋体" w:hAnsi="宋体" w:eastAsia="宋体" w:cs="Times New Roman"/>
          <w:sz w:val="24"/>
          <w:szCs w:val="20"/>
          <w:u w:val="single"/>
        </w:rPr>
        <w:t>招标项目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2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szCs w:val="20"/>
                <w:lang w:eastAsia="zh-CN"/>
              </w:rPr>
              <w:t>快速原型</w:t>
            </w:r>
            <w:r>
              <w:rPr>
                <w:rFonts w:hint="eastAsia" w:ascii="宋体" w:hAnsi="宋体" w:eastAsia="宋体" w:cs="宋体"/>
                <w:b/>
                <w:szCs w:val="20"/>
              </w:rPr>
              <w:t>招标项目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pPr>
    </w:p>
    <w:p>
      <w:pPr>
        <w:adjustRightInd w:val="0"/>
        <w:snapToGrid w:val="0"/>
        <w:spacing w:line="420" w:lineRule="exact"/>
        <w:ind w:firstLine="480" w:firstLineChars="200"/>
        <w:outlineLvl w:val="2"/>
        <w:rPr>
          <w:rFonts w:ascii="宋体" w:hAnsi="宋体" w:eastAsia="宋体" w:cs="Times New Roman"/>
          <w:b/>
          <w:bCs/>
          <w:sz w:val="24"/>
          <w:szCs w:val="24"/>
        </w:rPr>
      </w:pPr>
      <w:r>
        <w:rPr>
          <w:rFonts w:hint="eastAsia" w:ascii="Times New Roman" w:hAnsi="Times New Roman" w:eastAsia="宋体" w:cs="Times New Roman"/>
          <w:b/>
          <w:bCs/>
          <w:color w:val="000000"/>
          <w:sz w:val="24"/>
          <w:szCs w:val="24"/>
        </w:rPr>
        <w:t>附件14技术标评分标准</w:t>
      </w:r>
    </w:p>
    <w:p>
      <w:pPr>
        <w:keepNext/>
        <w:keepLines/>
        <w:spacing w:before="156" w:beforeLines="50" w:after="156" w:afterLines="50" w:line="360" w:lineRule="auto"/>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技术标评审表（50分）</w:t>
      </w:r>
    </w:p>
    <w:tbl>
      <w:tblPr>
        <w:tblStyle w:val="35"/>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863"/>
        <w:gridCol w:w="764"/>
        <w:gridCol w:w="2575"/>
        <w:gridCol w:w="693"/>
        <w:gridCol w:w="8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74" w:type="pct"/>
            <w:vAlign w:val="center"/>
          </w:tcPr>
          <w:p>
            <w:pPr>
              <w:tabs>
                <w:tab w:val="left" w:pos="13965"/>
              </w:tabs>
              <w:spacing w:line="360" w:lineRule="auto"/>
              <w:ind w:right="-6"/>
              <w:jc w:val="center"/>
              <w:rPr>
                <w:rFonts w:hint="eastAsia" w:ascii="宋体" w:hAnsi="宋体" w:eastAsia="宋体" w:cs="宋体"/>
                <w:b/>
                <w:sz w:val="21"/>
                <w:szCs w:val="21"/>
              </w:rPr>
            </w:pPr>
            <w:r>
              <w:rPr>
                <w:rFonts w:hint="eastAsia" w:ascii="宋体" w:hAnsi="宋体" w:eastAsia="宋体" w:cs="宋体"/>
                <w:b/>
                <w:sz w:val="21"/>
                <w:szCs w:val="21"/>
              </w:rPr>
              <w:t>评价类型</w:t>
            </w:r>
          </w:p>
        </w:tc>
        <w:tc>
          <w:tcPr>
            <w:tcW w:w="315" w:type="pct"/>
            <w:vAlign w:val="center"/>
          </w:tcPr>
          <w:p>
            <w:pPr>
              <w:tabs>
                <w:tab w:val="left" w:pos="13965"/>
              </w:tabs>
              <w:spacing w:line="360" w:lineRule="auto"/>
              <w:ind w:right="-6"/>
              <w:jc w:val="center"/>
              <w:rPr>
                <w:rFonts w:hint="eastAsia" w:ascii="宋体" w:hAnsi="宋体" w:eastAsia="宋体" w:cs="宋体"/>
                <w:b/>
                <w:sz w:val="21"/>
                <w:szCs w:val="21"/>
              </w:rPr>
            </w:pPr>
            <w:r>
              <w:rPr>
                <w:rFonts w:hint="eastAsia" w:ascii="宋体" w:hAnsi="宋体" w:eastAsia="宋体" w:cs="宋体"/>
                <w:b/>
                <w:sz w:val="21"/>
                <w:szCs w:val="21"/>
              </w:rPr>
              <w:t>评审内容</w:t>
            </w:r>
          </w:p>
        </w:tc>
        <w:tc>
          <w:tcPr>
            <w:tcW w:w="279" w:type="pct"/>
            <w:vAlign w:val="center"/>
          </w:tcPr>
          <w:p>
            <w:pPr>
              <w:tabs>
                <w:tab w:val="left" w:pos="13965"/>
              </w:tabs>
              <w:spacing w:line="360" w:lineRule="auto"/>
              <w:ind w:right="-6"/>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940" w:type="pct"/>
            <w:vAlign w:val="center"/>
          </w:tcPr>
          <w:p>
            <w:pPr>
              <w:tabs>
                <w:tab w:val="left" w:pos="13965"/>
              </w:tabs>
              <w:spacing w:line="360" w:lineRule="auto"/>
              <w:ind w:right="-6"/>
              <w:jc w:val="center"/>
              <w:rPr>
                <w:rFonts w:hint="eastAsia" w:ascii="宋体" w:hAnsi="宋体" w:eastAsia="宋体" w:cs="宋体"/>
                <w:b/>
                <w:sz w:val="21"/>
                <w:szCs w:val="21"/>
              </w:rPr>
            </w:pPr>
            <w:r>
              <w:rPr>
                <w:rFonts w:hint="eastAsia" w:ascii="宋体" w:hAnsi="宋体" w:eastAsia="宋体" w:cs="宋体"/>
                <w:b/>
                <w:sz w:val="21"/>
                <w:szCs w:val="21"/>
              </w:rPr>
              <w:t>内   容</w:t>
            </w:r>
          </w:p>
        </w:tc>
        <w:tc>
          <w:tcPr>
            <w:tcW w:w="253" w:type="pct"/>
            <w:vAlign w:val="center"/>
          </w:tcPr>
          <w:p>
            <w:pPr>
              <w:tabs>
                <w:tab w:val="left" w:pos="13965"/>
              </w:tabs>
              <w:spacing w:line="360" w:lineRule="auto"/>
              <w:ind w:right="-6"/>
              <w:jc w:val="center"/>
              <w:rPr>
                <w:rFonts w:hint="eastAsia" w:ascii="宋体" w:hAnsi="宋体" w:eastAsia="宋体" w:cs="宋体"/>
                <w:b/>
                <w:sz w:val="21"/>
                <w:szCs w:val="21"/>
              </w:rPr>
            </w:pPr>
            <w:r>
              <w:rPr>
                <w:rFonts w:hint="eastAsia" w:ascii="宋体" w:hAnsi="宋体" w:eastAsia="宋体" w:cs="宋体"/>
                <w:b/>
                <w:sz w:val="21"/>
                <w:szCs w:val="21"/>
              </w:rPr>
              <w:t>标准分</w:t>
            </w:r>
          </w:p>
        </w:tc>
        <w:tc>
          <w:tcPr>
            <w:tcW w:w="2936" w:type="pct"/>
            <w:vAlign w:val="center"/>
          </w:tcPr>
          <w:p>
            <w:pPr>
              <w:tabs>
                <w:tab w:val="left" w:pos="13965"/>
              </w:tabs>
              <w:spacing w:line="360" w:lineRule="auto"/>
              <w:ind w:right="-6"/>
              <w:jc w:val="center"/>
              <w:rPr>
                <w:rFonts w:hint="eastAsia" w:ascii="宋体" w:hAnsi="宋体" w:eastAsia="宋体" w:cs="宋体"/>
                <w:b/>
                <w:sz w:val="21"/>
                <w:szCs w:val="21"/>
              </w:rPr>
            </w:pPr>
            <w:r>
              <w:rPr>
                <w:rFonts w:hint="eastAsia" w:ascii="宋体" w:hAnsi="宋体" w:eastAsia="宋体" w:cs="宋体"/>
                <w:b/>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74" w:type="pct"/>
            <w:vMerge w:val="restart"/>
            <w:vAlign w:val="center"/>
          </w:tcPr>
          <w:p>
            <w:pPr>
              <w:tabs>
                <w:tab w:val="left" w:pos="13965"/>
              </w:tabs>
              <w:spacing w:line="360" w:lineRule="auto"/>
              <w:ind w:right="-6"/>
              <w:jc w:val="center"/>
              <w:rPr>
                <w:rFonts w:hint="eastAsia" w:ascii="宋体" w:hAnsi="宋体" w:eastAsia="宋体" w:cs="宋体"/>
                <w:sz w:val="21"/>
                <w:szCs w:val="21"/>
              </w:rPr>
            </w:pPr>
            <w:r>
              <w:rPr>
                <w:rFonts w:hint="eastAsia" w:ascii="宋体" w:hAnsi="宋体" w:eastAsia="宋体" w:cs="宋体"/>
                <w:sz w:val="21"/>
                <w:szCs w:val="21"/>
              </w:rPr>
              <w:t>技术</w:t>
            </w:r>
          </w:p>
          <w:p>
            <w:pPr>
              <w:tabs>
                <w:tab w:val="left" w:pos="13965"/>
              </w:tabs>
              <w:spacing w:line="360" w:lineRule="auto"/>
              <w:ind w:right="-6"/>
              <w:jc w:val="center"/>
              <w:rPr>
                <w:rFonts w:hint="eastAsia" w:ascii="宋体" w:hAnsi="宋体" w:eastAsia="宋体" w:cs="宋体"/>
                <w:sz w:val="21"/>
                <w:szCs w:val="21"/>
              </w:rPr>
            </w:pPr>
            <w:r>
              <w:rPr>
                <w:rFonts w:hint="eastAsia" w:ascii="宋体" w:hAnsi="宋体" w:eastAsia="宋体" w:cs="宋体"/>
                <w:sz w:val="21"/>
                <w:szCs w:val="21"/>
              </w:rPr>
              <w:t>50分</w:t>
            </w:r>
          </w:p>
        </w:tc>
        <w:tc>
          <w:tcPr>
            <w:tcW w:w="315" w:type="pct"/>
            <w:vAlign w:val="center"/>
          </w:tcPr>
          <w:p>
            <w:pPr>
              <w:tabs>
                <w:tab w:val="left" w:pos="13965"/>
              </w:tabs>
              <w:spacing w:line="420" w:lineRule="exact"/>
              <w:jc w:val="center"/>
              <w:rPr>
                <w:rFonts w:hint="eastAsia" w:ascii="宋体" w:hAnsi="宋体" w:eastAsia="宋体" w:cs="宋体"/>
                <w:sz w:val="21"/>
                <w:szCs w:val="21"/>
              </w:rPr>
            </w:pPr>
            <w:r>
              <w:rPr>
                <w:rFonts w:hint="eastAsia" w:ascii="宋体" w:hAnsi="宋体" w:eastAsia="宋体" w:cs="宋体"/>
                <w:sz w:val="21"/>
                <w:szCs w:val="21"/>
              </w:rPr>
              <w:t>业绩</w:t>
            </w:r>
          </w:p>
        </w:tc>
        <w:tc>
          <w:tcPr>
            <w:tcW w:w="279" w:type="pct"/>
            <w:vAlign w:val="center"/>
          </w:tcPr>
          <w:p>
            <w:pPr>
              <w:tabs>
                <w:tab w:val="left" w:pos="13965"/>
              </w:tabs>
              <w:spacing w:line="42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940" w:type="pct"/>
            <w:vAlign w:val="center"/>
          </w:tcPr>
          <w:p>
            <w:pPr>
              <w:spacing w:line="420" w:lineRule="exact"/>
              <w:rPr>
                <w:rFonts w:hint="eastAsia" w:ascii="宋体" w:hAnsi="宋体" w:eastAsia="宋体" w:cs="宋体"/>
                <w:sz w:val="21"/>
                <w:szCs w:val="21"/>
              </w:rPr>
            </w:pPr>
            <w:r>
              <w:rPr>
                <w:rFonts w:hint="eastAsia" w:ascii="宋体" w:hAnsi="宋体" w:eastAsia="宋体" w:cs="宋体"/>
                <w:sz w:val="21"/>
                <w:szCs w:val="21"/>
              </w:rPr>
              <w:t>技术参数</w:t>
            </w:r>
          </w:p>
        </w:tc>
        <w:tc>
          <w:tcPr>
            <w:tcW w:w="253" w:type="pct"/>
            <w:vAlign w:val="center"/>
          </w:tcPr>
          <w:p>
            <w:pPr>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w:t>
            </w:r>
          </w:p>
        </w:tc>
        <w:tc>
          <w:tcPr>
            <w:tcW w:w="2936" w:type="pct"/>
            <w:vAlign w:val="center"/>
          </w:tcPr>
          <w:p>
            <w:pPr>
              <w:spacing w:line="420" w:lineRule="exact"/>
              <w:jc w:val="left"/>
              <w:rPr>
                <w:rFonts w:hint="eastAsia" w:ascii="宋体" w:hAnsi="宋体" w:eastAsia="宋体" w:cs="宋体"/>
                <w:bCs/>
                <w:sz w:val="21"/>
                <w:szCs w:val="21"/>
              </w:rPr>
            </w:pPr>
            <w:r>
              <w:rPr>
                <w:rFonts w:hint="eastAsia" w:ascii="宋体" w:hAnsi="宋体" w:eastAsia="宋体" w:cs="宋体"/>
                <w:bCs/>
                <w:sz w:val="21"/>
                <w:szCs w:val="21"/>
              </w:rPr>
              <w:t>投标文件中技术参数符合招标文件的要求赋8分，再详细考察其功能与项目需求的吻合性,有一处负偏离，扣1分，以此类推；有正偏离，且对项目存在实际改进作用，则加1分，最高可以加到2分，得分上限20分。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74" w:type="pct"/>
            <w:vMerge w:val="continue"/>
            <w:vAlign w:val="center"/>
          </w:tcPr>
          <w:p>
            <w:pPr>
              <w:spacing w:line="360" w:lineRule="auto"/>
              <w:jc w:val="center"/>
              <w:rPr>
                <w:rFonts w:hint="eastAsia" w:ascii="宋体" w:hAnsi="宋体" w:eastAsia="宋体" w:cs="宋体"/>
                <w:sz w:val="21"/>
                <w:szCs w:val="21"/>
              </w:rPr>
            </w:pPr>
          </w:p>
        </w:tc>
        <w:tc>
          <w:tcPr>
            <w:tcW w:w="315" w:type="pct"/>
            <w:vMerge w:val="restar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产品技术</w:t>
            </w:r>
          </w:p>
        </w:tc>
        <w:tc>
          <w:tcPr>
            <w:tcW w:w="279"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2</w:t>
            </w:r>
          </w:p>
        </w:tc>
        <w:tc>
          <w:tcPr>
            <w:tcW w:w="940" w:type="pct"/>
            <w:vAlign w:val="center"/>
          </w:tcPr>
          <w:p>
            <w:pPr>
              <w:spacing w:line="420" w:lineRule="exact"/>
              <w:rPr>
                <w:rFonts w:hint="eastAsia" w:ascii="宋体" w:hAnsi="宋体" w:eastAsia="宋体" w:cs="宋体"/>
                <w:bCs/>
                <w:sz w:val="21"/>
                <w:szCs w:val="21"/>
              </w:rPr>
            </w:pPr>
            <w:r>
              <w:rPr>
                <w:rFonts w:hint="eastAsia" w:ascii="宋体" w:hAnsi="宋体" w:eastAsia="宋体" w:cs="宋体"/>
                <w:bCs/>
                <w:sz w:val="21"/>
                <w:szCs w:val="21"/>
              </w:rPr>
              <w:t>核心产品</w:t>
            </w:r>
          </w:p>
        </w:tc>
        <w:tc>
          <w:tcPr>
            <w:tcW w:w="253" w:type="pct"/>
            <w:vAlign w:val="center"/>
          </w:tcPr>
          <w:p>
            <w:pPr>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2936" w:type="pct"/>
            <w:vAlign w:val="center"/>
          </w:tcPr>
          <w:p>
            <w:pPr>
              <w:spacing w:line="420" w:lineRule="exact"/>
              <w:jc w:val="left"/>
              <w:rPr>
                <w:rFonts w:hint="eastAsia" w:ascii="宋体" w:hAnsi="宋体" w:eastAsia="宋体" w:cs="宋体"/>
                <w:bCs/>
                <w:sz w:val="21"/>
                <w:szCs w:val="21"/>
              </w:rPr>
            </w:pPr>
            <w:r>
              <w:rPr>
                <w:rFonts w:hint="eastAsia" w:ascii="宋体" w:hAnsi="宋体" w:eastAsia="宋体" w:cs="宋体"/>
                <w:bCs/>
                <w:sz w:val="21"/>
                <w:szCs w:val="21"/>
              </w:rPr>
              <w:t>对核心产品（数据采集系统，力锤，配套软件）在项目中所起的作用和描述，每一项各1分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74" w:type="pct"/>
            <w:vMerge w:val="continue"/>
            <w:vAlign w:val="center"/>
          </w:tcPr>
          <w:p>
            <w:pPr>
              <w:spacing w:line="360" w:lineRule="auto"/>
              <w:jc w:val="center"/>
              <w:rPr>
                <w:rFonts w:hint="eastAsia" w:ascii="宋体" w:hAnsi="宋体" w:eastAsia="宋体" w:cs="宋体"/>
                <w:sz w:val="21"/>
                <w:szCs w:val="21"/>
              </w:rPr>
            </w:pPr>
          </w:p>
        </w:tc>
        <w:tc>
          <w:tcPr>
            <w:tcW w:w="315" w:type="pct"/>
            <w:vMerge w:val="continue"/>
            <w:vAlign w:val="center"/>
          </w:tcPr>
          <w:p>
            <w:pPr>
              <w:spacing w:line="420" w:lineRule="exact"/>
              <w:jc w:val="center"/>
              <w:rPr>
                <w:rFonts w:hint="eastAsia" w:ascii="宋体" w:hAnsi="宋体" w:eastAsia="宋体" w:cs="宋体"/>
                <w:sz w:val="21"/>
                <w:szCs w:val="21"/>
              </w:rPr>
            </w:pPr>
          </w:p>
        </w:tc>
        <w:tc>
          <w:tcPr>
            <w:tcW w:w="279"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3</w:t>
            </w:r>
          </w:p>
        </w:tc>
        <w:tc>
          <w:tcPr>
            <w:tcW w:w="940" w:type="pct"/>
            <w:vAlign w:val="center"/>
          </w:tcPr>
          <w:p>
            <w:pPr>
              <w:spacing w:line="420" w:lineRule="exact"/>
              <w:rPr>
                <w:rFonts w:hint="eastAsia" w:ascii="宋体" w:hAnsi="宋体" w:eastAsia="宋体" w:cs="宋体"/>
                <w:bCs/>
                <w:sz w:val="21"/>
                <w:szCs w:val="21"/>
              </w:rPr>
            </w:pPr>
            <w:r>
              <w:rPr>
                <w:rFonts w:hint="eastAsia" w:ascii="宋体" w:hAnsi="宋体" w:eastAsia="宋体" w:cs="宋体"/>
                <w:bCs/>
                <w:sz w:val="21"/>
                <w:szCs w:val="21"/>
              </w:rPr>
              <w:t>关键部件技术支持资料</w:t>
            </w:r>
          </w:p>
        </w:tc>
        <w:tc>
          <w:tcPr>
            <w:tcW w:w="253" w:type="pct"/>
            <w:vAlign w:val="center"/>
          </w:tcPr>
          <w:p>
            <w:pPr>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2936" w:type="pct"/>
            <w:vAlign w:val="center"/>
          </w:tcPr>
          <w:p>
            <w:pPr>
              <w:spacing w:line="420" w:lineRule="exact"/>
              <w:jc w:val="left"/>
              <w:rPr>
                <w:rFonts w:hint="eastAsia" w:ascii="宋体" w:hAnsi="宋体" w:eastAsia="宋体" w:cs="宋体"/>
                <w:bCs/>
                <w:sz w:val="21"/>
                <w:szCs w:val="21"/>
              </w:rPr>
            </w:pPr>
            <w:r>
              <w:rPr>
                <w:rFonts w:hint="eastAsia" w:ascii="宋体" w:hAnsi="宋体" w:eastAsia="宋体" w:cs="宋体"/>
                <w:bCs/>
                <w:sz w:val="21"/>
                <w:szCs w:val="21"/>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74" w:type="pct"/>
            <w:vMerge w:val="continue"/>
            <w:vAlign w:val="center"/>
          </w:tcPr>
          <w:p>
            <w:pPr>
              <w:spacing w:line="360" w:lineRule="auto"/>
              <w:jc w:val="center"/>
              <w:rPr>
                <w:rFonts w:hint="eastAsia" w:ascii="宋体" w:hAnsi="宋体" w:eastAsia="宋体" w:cs="宋体"/>
                <w:sz w:val="21"/>
                <w:szCs w:val="21"/>
              </w:rPr>
            </w:pPr>
          </w:p>
        </w:tc>
        <w:tc>
          <w:tcPr>
            <w:tcW w:w="315"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答疑</w:t>
            </w:r>
          </w:p>
        </w:tc>
        <w:tc>
          <w:tcPr>
            <w:tcW w:w="279"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4</w:t>
            </w:r>
          </w:p>
        </w:tc>
        <w:tc>
          <w:tcPr>
            <w:tcW w:w="940" w:type="pct"/>
            <w:vAlign w:val="center"/>
          </w:tcPr>
          <w:p>
            <w:pPr>
              <w:spacing w:line="420" w:lineRule="exact"/>
              <w:rPr>
                <w:rFonts w:hint="eastAsia" w:ascii="宋体" w:hAnsi="宋体" w:eastAsia="宋体" w:cs="宋体"/>
                <w:bCs/>
                <w:sz w:val="21"/>
                <w:szCs w:val="21"/>
              </w:rPr>
            </w:pPr>
            <w:r>
              <w:rPr>
                <w:rFonts w:hint="eastAsia" w:ascii="宋体" w:hAnsi="宋体" w:eastAsia="宋体" w:cs="宋体"/>
                <w:bCs/>
                <w:sz w:val="21"/>
                <w:szCs w:val="21"/>
              </w:rPr>
              <w:t>现场答疑</w:t>
            </w:r>
          </w:p>
        </w:tc>
        <w:tc>
          <w:tcPr>
            <w:tcW w:w="253" w:type="pct"/>
            <w:vAlign w:val="center"/>
          </w:tcPr>
          <w:p>
            <w:pPr>
              <w:spacing w:line="3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2936" w:type="pct"/>
            <w:vAlign w:val="center"/>
          </w:tcPr>
          <w:p>
            <w:pPr>
              <w:spacing w:line="420" w:lineRule="exact"/>
              <w:jc w:val="left"/>
              <w:rPr>
                <w:rFonts w:hint="eastAsia" w:ascii="宋体" w:hAnsi="宋体" w:eastAsia="宋体" w:cs="宋体"/>
                <w:bCs/>
                <w:sz w:val="21"/>
                <w:szCs w:val="21"/>
              </w:rPr>
            </w:pPr>
            <w:r>
              <w:rPr>
                <w:rFonts w:hint="eastAsia" w:ascii="宋体" w:hAnsi="宋体" w:eastAsia="宋体" w:cs="宋体"/>
                <w:bCs/>
                <w:sz w:val="21"/>
                <w:szCs w:val="21"/>
              </w:rPr>
              <w:t>是否了解项目实际作用，谈一谈自己对项目的理解；（3分）</w:t>
            </w:r>
          </w:p>
          <w:p>
            <w:pPr>
              <w:spacing w:line="420" w:lineRule="exact"/>
              <w:jc w:val="left"/>
              <w:rPr>
                <w:rFonts w:hint="eastAsia" w:ascii="宋体" w:hAnsi="宋体" w:eastAsia="宋体" w:cs="宋体"/>
                <w:bCs/>
                <w:sz w:val="21"/>
                <w:szCs w:val="21"/>
              </w:rPr>
            </w:pPr>
            <w:r>
              <w:rPr>
                <w:rFonts w:hint="eastAsia" w:ascii="宋体" w:hAnsi="宋体" w:eastAsia="宋体" w:cs="宋体"/>
                <w:bCs/>
                <w:sz w:val="21"/>
                <w:szCs w:val="21"/>
              </w:rPr>
              <w:t>是否在招标前至项目实际所在地勘察；（1分）</w:t>
            </w:r>
          </w:p>
          <w:p>
            <w:pPr>
              <w:spacing w:line="420" w:lineRule="exact"/>
              <w:jc w:val="left"/>
              <w:rPr>
                <w:rFonts w:hint="eastAsia" w:ascii="宋体" w:hAnsi="宋体" w:eastAsia="宋体" w:cs="宋体"/>
                <w:bCs/>
                <w:sz w:val="21"/>
                <w:szCs w:val="21"/>
              </w:rPr>
            </w:pPr>
            <w:r>
              <w:rPr>
                <w:rFonts w:hint="eastAsia" w:ascii="宋体" w:hAnsi="宋体" w:eastAsia="宋体" w:cs="宋体"/>
                <w:bCs/>
                <w:sz w:val="21"/>
                <w:szCs w:val="21"/>
              </w:rPr>
              <w:t>是否了解客户现有的设备配置；（1分）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74" w:type="pct"/>
            <w:vMerge w:val="continue"/>
            <w:vAlign w:val="center"/>
          </w:tcPr>
          <w:p>
            <w:pPr>
              <w:spacing w:line="360" w:lineRule="auto"/>
              <w:jc w:val="center"/>
              <w:rPr>
                <w:rFonts w:hint="eastAsia" w:ascii="宋体" w:hAnsi="宋体" w:eastAsia="宋体" w:cs="宋体"/>
                <w:sz w:val="21"/>
                <w:szCs w:val="21"/>
              </w:rPr>
            </w:pPr>
          </w:p>
        </w:tc>
        <w:tc>
          <w:tcPr>
            <w:tcW w:w="315"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技术偏离</w:t>
            </w:r>
          </w:p>
        </w:tc>
        <w:tc>
          <w:tcPr>
            <w:tcW w:w="279"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5</w:t>
            </w:r>
          </w:p>
        </w:tc>
        <w:tc>
          <w:tcPr>
            <w:tcW w:w="940" w:type="pct"/>
            <w:vAlign w:val="center"/>
          </w:tcPr>
          <w:p>
            <w:pPr>
              <w:spacing w:line="420" w:lineRule="exact"/>
              <w:rPr>
                <w:rFonts w:hint="eastAsia" w:ascii="宋体" w:hAnsi="宋体" w:eastAsia="宋体" w:cs="宋体"/>
                <w:sz w:val="21"/>
                <w:szCs w:val="21"/>
              </w:rPr>
            </w:pPr>
            <w:r>
              <w:rPr>
                <w:rFonts w:hint="eastAsia" w:ascii="宋体" w:hAnsi="宋体" w:eastAsia="宋体" w:cs="宋体"/>
                <w:bCs/>
                <w:sz w:val="21"/>
                <w:szCs w:val="21"/>
              </w:rPr>
              <w:t>技术偏离</w:t>
            </w:r>
          </w:p>
        </w:tc>
        <w:tc>
          <w:tcPr>
            <w:tcW w:w="253"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6</w:t>
            </w:r>
          </w:p>
        </w:tc>
        <w:tc>
          <w:tcPr>
            <w:tcW w:w="2936" w:type="pct"/>
            <w:vAlign w:val="center"/>
          </w:tcPr>
          <w:p>
            <w:pPr>
              <w:spacing w:line="420" w:lineRule="exact"/>
              <w:jc w:val="left"/>
              <w:rPr>
                <w:rFonts w:hint="eastAsia" w:ascii="宋体" w:hAnsi="宋体" w:eastAsia="宋体" w:cs="宋体"/>
                <w:bCs/>
                <w:sz w:val="21"/>
                <w:szCs w:val="21"/>
              </w:rPr>
            </w:pPr>
            <w:r>
              <w:rPr>
                <w:rFonts w:hint="eastAsia" w:ascii="宋体" w:hAnsi="宋体" w:eastAsia="宋体" w:cs="宋体"/>
                <w:bCs/>
                <w:sz w:val="21"/>
                <w:szCs w:val="21"/>
              </w:rPr>
              <w:t>由评标委员会成员独立进行客观、公正的评价，根据各投标单位的核心产品的配置参数、技术偏离情况，在满足我司技术基本要求的前提下偏离，无偏离得满分6分，较大偏离每一项扣2分，一般偏离每一项扣1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74" w:type="pct"/>
            <w:vMerge w:val="continue"/>
            <w:vAlign w:val="center"/>
          </w:tcPr>
          <w:p>
            <w:pPr>
              <w:spacing w:line="360" w:lineRule="auto"/>
              <w:jc w:val="center"/>
              <w:rPr>
                <w:rFonts w:hint="eastAsia" w:ascii="宋体" w:hAnsi="宋体" w:eastAsia="宋体" w:cs="宋体"/>
                <w:sz w:val="21"/>
                <w:szCs w:val="21"/>
              </w:rPr>
            </w:pPr>
          </w:p>
        </w:tc>
        <w:tc>
          <w:tcPr>
            <w:tcW w:w="315" w:type="pct"/>
            <w:vMerge w:val="restar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售后服务</w:t>
            </w:r>
          </w:p>
        </w:tc>
        <w:tc>
          <w:tcPr>
            <w:tcW w:w="279"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6</w:t>
            </w:r>
          </w:p>
        </w:tc>
        <w:tc>
          <w:tcPr>
            <w:tcW w:w="940" w:type="pct"/>
            <w:vAlign w:val="center"/>
          </w:tcPr>
          <w:p>
            <w:pPr>
              <w:spacing w:line="420" w:lineRule="exact"/>
              <w:rPr>
                <w:rFonts w:hint="eastAsia" w:ascii="宋体" w:hAnsi="宋体" w:eastAsia="宋体" w:cs="宋体"/>
                <w:sz w:val="21"/>
                <w:szCs w:val="21"/>
              </w:rPr>
            </w:pPr>
            <w:r>
              <w:rPr>
                <w:rFonts w:hint="eastAsia" w:ascii="宋体" w:hAnsi="宋体" w:eastAsia="宋体" w:cs="宋体"/>
                <w:sz w:val="21"/>
                <w:szCs w:val="21"/>
              </w:rPr>
              <w:t>技术培训方案：对采购方人员的技术培训方案安排科学、合理、可行</w:t>
            </w:r>
          </w:p>
        </w:tc>
        <w:tc>
          <w:tcPr>
            <w:tcW w:w="253"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3</w:t>
            </w:r>
          </w:p>
        </w:tc>
        <w:tc>
          <w:tcPr>
            <w:tcW w:w="2936" w:type="pct"/>
            <w:vAlign w:val="center"/>
          </w:tcPr>
          <w:p>
            <w:pPr>
              <w:spacing w:line="420" w:lineRule="exact"/>
              <w:rPr>
                <w:rFonts w:hint="eastAsia" w:ascii="宋体" w:hAnsi="宋体" w:eastAsia="宋体" w:cs="宋体"/>
                <w:bCs/>
                <w:sz w:val="21"/>
                <w:szCs w:val="21"/>
              </w:rPr>
            </w:pPr>
            <w:r>
              <w:rPr>
                <w:rFonts w:hint="eastAsia" w:ascii="宋体" w:hAnsi="宋体" w:eastAsia="宋体" w:cs="宋体"/>
                <w:bCs/>
                <w:sz w:val="21"/>
                <w:szCs w:val="21"/>
              </w:rPr>
              <w:t>由评标委员会成员独立进行客观、公正的评价，按照优、良、一般进行赋分，优得3分，良得2分，一般得1分。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74" w:type="pct"/>
            <w:vMerge w:val="continue"/>
            <w:vAlign w:val="center"/>
          </w:tcPr>
          <w:p>
            <w:pPr>
              <w:spacing w:line="360" w:lineRule="auto"/>
              <w:jc w:val="center"/>
              <w:rPr>
                <w:rFonts w:hint="eastAsia" w:ascii="宋体" w:hAnsi="宋体" w:eastAsia="宋体" w:cs="宋体"/>
                <w:sz w:val="21"/>
                <w:szCs w:val="21"/>
              </w:rPr>
            </w:pPr>
          </w:p>
        </w:tc>
        <w:tc>
          <w:tcPr>
            <w:tcW w:w="315" w:type="pct"/>
            <w:vMerge w:val="continue"/>
            <w:vAlign w:val="center"/>
          </w:tcPr>
          <w:p>
            <w:pPr>
              <w:spacing w:line="420" w:lineRule="exact"/>
              <w:jc w:val="center"/>
              <w:rPr>
                <w:rFonts w:hint="eastAsia" w:ascii="宋体" w:hAnsi="宋体" w:eastAsia="宋体" w:cs="宋体"/>
                <w:sz w:val="21"/>
                <w:szCs w:val="21"/>
              </w:rPr>
            </w:pPr>
          </w:p>
        </w:tc>
        <w:tc>
          <w:tcPr>
            <w:tcW w:w="279"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7</w:t>
            </w:r>
          </w:p>
        </w:tc>
        <w:tc>
          <w:tcPr>
            <w:tcW w:w="940" w:type="pct"/>
            <w:shd w:val="clear" w:color="auto" w:fill="auto"/>
            <w:vAlign w:val="center"/>
          </w:tcPr>
          <w:p>
            <w:pPr>
              <w:spacing w:line="420" w:lineRule="exact"/>
              <w:rPr>
                <w:rFonts w:hint="eastAsia" w:ascii="宋体" w:hAnsi="宋体" w:eastAsia="宋体" w:cs="宋体"/>
                <w:sz w:val="21"/>
                <w:szCs w:val="21"/>
              </w:rPr>
            </w:pPr>
            <w:r>
              <w:rPr>
                <w:rFonts w:hint="eastAsia" w:ascii="宋体" w:hAnsi="宋体" w:eastAsia="宋体" w:cs="宋体"/>
                <w:bCs/>
                <w:sz w:val="21"/>
                <w:szCs w:val="21"/>
              </w:rPr>
              <w:t>投标人在中国有常驻的专业技术力量的维保机构并具有实施本项目维保的专业技术人员：</w:t>
            </w:r>
          </w:p>
        </w:tc>
        <w:tc>
          <w:tcPr>
            <w:tcW w:w="253" w:type="pct"/>
            <w:shd w:val="clear" w:color="auto" w:fill="auto"/>
            <w:vAlign w:val="center"/>
          </w:tcPr>
          <w:p>
            <w:pPr>
              <w:spacing w:line="420" w:lineRule="exact"/>
              <w:jc w:val="center"/>
              <w:rPr>
                <w:rFonts w:hint="eastAsia" w:ascii="宋体" w:hAnsi="宋体" w:eastAsia="宋体" w:cs="宋体"/>
                <w:sz w:val="21"/>
                <w:szCs w:val="21"/>
              </w:rPr>
            </w:pPr>
            <w:r>
              <w:rPr>
                <w:rFonts w:hint="eastAsia" w:ascii="宋体" w:hAnsi="宋体" w:eastAsia="宋体" w:cs="宋体"/>
                <w:bCs/>
                <w:sz w:val="21"/>
                <w:szCs w:val="21"/>
              </w:rPr>
              <w:t>3</w:t>
            </w:r>
          </w:p>
        </w:tc>
        <w:tc>
          <w:tcPr>
            <w:tcW w:w="2936" w:type="pct"/>
            <w:shd w:val="clear" w:color="auto" w:fill="auto"/>
            <w:vAlign w:val="center"/>
          </w:tcPr>
          <w:p>
            <w:pPr>
              <w:spacing w:line="420" w:lineRule="exact"/>
              <w:rPr>
                <w:rFonts w:hint="eastAsia" w:ascii="宋体" w:hAnsi="宋体" w:eastAsia="宋体" w:cs="宋体"/>
                <w:bCs/>
                <w:sz w:val="21"/>
                <w:szCs w:val="21"/>
              </w:rPr>
            </w:pPr>
            <w:r>
              <w:rPr>
                <w:rFonts w:hint="eastAsia" w:ascii="宋体" w:hAnsi="宋体" w:eastAsia="宋体" w:cs="宋体"/>
                <w:bCs/>
                <w:sz w:val="21"/>
                <w:szCs w:val="21"/>
              </w:rPr>
              <w:t>由评标委员会成员独立进行客观、公正的评价，按照优、良、一般进行赋分，优得3分，良得2分，一般得1分。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74" w:type="pct"/>
            <w:vMerge w:val="continue"/>
            <w:vAlign w:val="center"/>
          </w:tcPr>
          <w:p>
            <w:pPr>
              <w:spacing w:line="360" w:lineRule="auto"/>
              <w:jc w:val="center"/>
              <w:rPr>
                <w:rFonts w:hint="eastAsia" w:ascii="宋体" w:hAnsi="宋体" w:eastAsia="宋体" w:cs="宋体"/>
                <w:sz w:val="21"/>
                <w:szCs w:val="21"/>
              </w:rPr>
            </w:pPr>
          </w:p>
        </w:tc>
        <w:tc>
          <w:tcPr>
            <w:tcW w:w="315" w:type="pct"/>
            <w:vMerge w:val="continue"/>
            <w:vAlign w:val="center"/>
          </w:tcPr>
          <w:p>
            <w:pPr>
              <w:spacing w:line="420" w:lineRule="exact"/>
              <w:jc w:val="center"/>
              <w:rPr>
                <w:rFonts w:hint="eastAsia" w:ascii="宋体" w:hAnsi="宋体" w:eastAsia="宋体" w:cs="宋体"/>
                <w:sz w:val="21"/>
                <w:szCs w:val="21"/>
              </w:rPr>
            </w:pPr>
          </w:p>
        </w:tc>
        <w:tc>
          <w:tcPr>
            <w:tcW w:w="279"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8</w:t>
            </w:r>
          </w:p>
        </w:tc>
        <w:tc>
          <w:tcPr>
            <w:tcW w:w="940" w:type="pct"/>
            <w:vAlign w:val="center"/>
          </w:tcPr>
          <w:p>
            <w:pPr>
              <w:spacing w:line="420" w:lineRule="exact"/>
              <w:rPr>
                <w:rFonts w:hint="eastAsia" w:ascii="宋体" w:hAnsi="宋体" w:eastAsia="宋体" w:cs="宋体"/>
                <w:sz w:val="21"/>
                <w:szCs w:val="21"/>
              </w:rPr>
            </w:pPr>
            <w:r>
              <w:rPr>
                <w:rFonts w:hint="eastAsia" w:ascii="宋体" w:hAnsi="宋体" w:eastAsia="宋体" w:cs="宋体"/>
                <w:sz w:val="21"/>
                <w:szCs w:val="21"/>
              </w:rPr>
              <w:t>售后服务及时周到，有相应的服务承诺和具体的保证措施</w:t>
            </w:r>
          </w:p>
        </w:tc>
        <w:tc>
          <w:tcPr>
            <w:tcW w:w="253" w:type="pct"/>
            <w:vAlign w:val="center"/>
          </w:tcPr>
          <w:p>
            <w:pPr>
              <w:spacing w:line="420" w:lineRule="exact"/>
              <w:jc w:val="center"/>
              <w:rPr>
                <w:rFonts w:hint="eastAsia" w:ascii="宋体" w:hAnsi="宋体" w:eastAsia="宋体" w:cs="宋体"/>
                <w:sz w:val="21"/>
                <w:szCs w:val="21"/>
              </w:rPr>
            </w:pPr>
            <w:r>
              <w:rPr>
                <w:rFonts w:hint="eastAsia" w:ascii="宋体" w:hAnsi="宋体" w:eastAsia="宋体" w:cs="宋体"/>
                <w:sz w:val="21"/>
                <w:szCs w:val="21"/>
              </w:rPr>
              <w:t>3</w:t>
            </w:r>
          </w:p>
        </w:tc>
        <w:tc>
          <w:tcPr>
            <w:tcW w:w="2936" w:type="pct"/>
            <w:vAlign w:val="center"/>
          </w:tcPr>
          <w:p>
            <w:pPr>
              <w:spacing w:line="420" w:lineRule="exact"/>
              <w:rPr>
                <w:rFonts w:hint="eastAsia" w:ascii="宋体" w:hAnsi="宋体" w:eastAsia="宋体" w:cs="宋体"/>
                <w:bCs/>
                <w:sz w:val="21"/>
                <w:szCs w:val="21"/>
              </w:rPr>
            </w:pPr>
            <w:r>
              <w:rPr>
                <w:rFonts w:hint="eastAsia" w:ascii="宋体" w:hAnsi="宋体" w:eastAsia="宋体" w:cs="宋体"/>
                <w:bCs/>
                <w:sz w:val="21"/>
                <w:szCs w:val="21"/>
              </w:rPr>
              <w:t>由评标委员会成员独立进行客观、公正的评价，按照优、良、一般进行赋分，优得3分，良得2分，一般得1分。</w:t>
            </w:r>
          </w:p>
        </w:tc>
      </w:tr>
    </w:tbl>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pStyle w:val="4"/>
        <w:ind w:firstLine="480" w:firstLineChars="200"/>
        <w:rPr>
          <w:rFonts w:hAnsi="宋体" w:eastAsia="宋体" w:cs="Times New Roman"/>
          <w:sz w:val="24"/>
          <w:szCs w:val="24"/>
        </w:rPr>
        <w:sectPr>
          <w:footerReference r:id="rId33" w:type="default"/>
          <w:pgSz w:w="16838" w:h="11906" w:orient="landscape"/>
          <w:pgMar w:top="1440" w:right="1800" w:bottom="1440" w:left="1800" w:header="851" w:footer="992" w:gutter="0"/>
          <w:cols w:space="720" w:num="1"/>
          <w:docGrid w:type="linesAndChar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p>
    <w:p>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2"/>
      </w:pPr>
      <w:r>
        <w:drawing>
          <wp:inline distT="0" distB="0" distL="114300" distR="114300">
            <wp:extent cx="5758180" cy="937895"/>
            <wp:effectExtent l="0" t="0" r="13970" b="1460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9"/>
                    <a:stretch>
                      <a:fillRect/>
                    </a:stretch>
                  </pic:blipFill>
                  <pic:spPr>
                    <a:xfrm>
                      <a:off x="0" y="0"/>
                      <a:ext cx="5758180" cy="937895"/>
                    </a:xfrm>
                    <a:prstGeom prst="rect">
                      <a:avLst/>
                    </a:prstGeom>
                    <a:noFill/>
                    <a:ln>
                      <a:noFill/>
                    </a:ln>
                  </pic:spPr>
                </pic:pic>
              </a:graphicData>
            </a:graphic>
          </wp:inline>
        </w:drawing>
      </w: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5.1.“项目名称”和“采购形式编号”见投标须知前附表1.1；</w:t>
      </w: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5.2.本项目业务主管部门选择“技术改造部”。</w:t>
      </w:r>
    </w:p>
    <w:p>
      <w:pPr>
        <w:pStyle w:val="2"/>
        <w:rPr>
          <w:rFonts w:hint="default"/>
          <w:lang w:val="en-US" w:eastAsia="zh-CN"/>
        </w:rPr>
      </w:pPr>
      <w:r>
        <w:rPr>
          <w:rFonts w:hint="eastAsia" w:hAnsi="宋体" w:eastAsia="宋体" w:cs="宋体"/>
          <w:b/>
          <w:bCs/>
          <w:i w:val="0"/>
          <w:strike w:val="0"/>
          <w:color w:val="000000"/>
          <w:sz w:val="24"/>
          <w:szCs w:val="28"/>
          <w:highlight w:val="yellow"/>
          <w:u w:val="none"/>
          <w:lang w:val="en-US" w:eastAsia="zh-CN"/>
        </w:rPr>
        <w:t>5.3.配套能力“供货类别”填“研发试验类设备”。</w:t>
      </w:r>
    </w:p>
    <w:p>
      <w:pPr>
        <w:rPr>
          <w:rFonts w:ascii="宋体" w:hAnsi="宋体" w:eastAsia="宋体" w:cs="宋体"/>
          <w:color w:val="000000"/>
        </w:rPr>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0"/>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1"/>
                    <a:stretch>
                      <a:fillRect/>
                    </a:stretch>
                  </pic:blipFill>
                  <pic:spPr>
                    <a:xfrm>
                      <a:off x="0" y="0"/>
                      <a:ext cx="5760085" cy="2820042"/>
                    </a:xfrm>
                    <a:prstGeom prst="rect">
                      <a:avLst/>
                    </a:prstGeom>
                  </pic:spPr>
                </pic:pic>
              </a:graphicData>
            </a:graphic>
          </wp:inline>
        </w:drawing>
      </w:r>
    </w:p>
    <w:p>
      <w:pPr>
        <w:pStyle w:val="2"/>
        <w:sectPr>
          <w:pgSz w:w="11906" w:h="16838"/>
          <w:pgMar w:top="1588" w:right="1418" w:bottom="1134" w:left="1418" w:header="851" w:footer="992" w:gutter="0"/>
          <w:cols w:space="720" w:num="1"/>
          <w:titlePg/>
          <w:docGrid w:type="lines" w:linePitch="312" w:charSpace="0"/>
        </w:sectPr>
      </w:pPr>
      <w:r>
        <w:rPr>
          <w:rFonts w:hAnsi="宋体" w:eastAsia="宋体" w:cs="宋体"/>
          <w:sz w:val="24"/>
          <w:szCs w:val="24"/>
        </w:rPr>
        <w:t>注意：</w:t>
      </w:r>
      <w:r>
        <w:rPr>
          <w:rFonts w:hAnsi="宋体" w:eastAsia="宋体" w:cs="宋体"/>
          <w:sz w:val="24"/>
          <w:szCs w:val="24"/>
        </w:rPr>
        <w:br w:type="textWrapping"/>
      </w:r>
      <w:r>
        <w:rPr>
          <w:rFonts w:hAnsi="宋体" w:eastAsia="宋体" w:cs="宋体"/>
          <w:sz w:val="24"/>
          <w:szCs w:val="24"/>
        </w:rPr>
        <w:t>1.注册成功后，请按照所收到短信内的账号密码重新登录。登录后请尽快绑定手机号（找回密码用），并修改默认密码。</w:t>
      </w:r>
      <w:r>
        <w:rPr>
          <w:rFonts w:hAnsi="宋体" w:eastAsia="宋体" w:cs="宋体"/>
          <w:sz w:val="24"/>
          <w:szCs w:val="24"/>
        </w:rPr>
        <w:br w:type="textWrapping"/>
      </w:r>
      <w:r>
        <w:rPr>
          <w:rFonts w:hAnsi="宋体" w:eastAsia="宋体" w:cs="宋体"/>
          <w:sz w:val="24"/>
          <w:szCs w:val="24"/>
        </w:rPr>
        <w:t>2.每个公司只需注册一次且只能注册一次。请妥善保管账号、密码、绑定手机号。非常重要。</w:t>
      </w:r>
    </w:p>
    <w:p>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shd w:val="clear" w:fill="FFFF00"/>
          <w:lang w:val="en-US" w:eastAsia="zh-CN"/>
        </w:rPr>
        <w:t>scm</w:t>
      </w:r>
      <w:r>
        <w:rPr>
          <w:rFonts w:hint="eastAsia" w:ascii="宋体" w:hAnsi="宋体" w:eastAsia="宋体" w:cs="宋体"/>
          <w:color w:val="000000"/>
          <w:sz w:val="24"/>
          <w:szCs w:val="24"/>
          <w:shd w:val="clear" w:fill="FFFF00"/>
        </w:rPr>
        <w:t>@202</w:t>
      </w:r>
      <w:r>
        <w:rPr>
          <w:rFonts w:hint="eastAsia" w:ascii="宋体" w:hAnsi="宋体" w:eastAsia="宋体" w:cs="宋体"/>
          <w:color w:val="000000"/>
          <w:sz w:val="24"/>
          <w:szCs w:val="24"/>
          <w:shd w:val="clear" w:fill="FFFF00"/>
          <w:lang w:val="en-US" w:eastAsia="zh-CN"/>
        </w:rPr>
        <w:t>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2"/>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3"/>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w:t>
      </w:r>
      <w:r>
        <w:rPr>
          <w:rFonts w:hint="eastAsia" w:ascii="宋体" w:hAnsi="宋体" w:eastAsia="宋体" w:cs="宋体"/>
          <w:b/>
          <w:bCs/>
          <w:color w:val="000000"/>
          <w:sz w:val="24"/>
          <w:szCs w:val="28"/>
        </w:rPr>
        <w:t>（</w:t>
      </w:r>
      <w:r>
        <w:rPr>
          <w:rFonts w:ascii="宋体" w:hAnsi="宋体" w:eastAsia="宋体" w:cs="宋体"/>
          <w:b/>
          <w:bCs/>
          <w:sz w:val="24"/>
          <w:szCs w:val="24"/>
          <w:highlight w:val="yellow"/>
        </w:rPr>
        <w:t>e采通的投标价格单位为万元</w:t>
      </w:r>
      <w:r>
        <w:rPr>
          <w:rFonts w:hint="eastAsia" w:ascii="宋体" w:hAnsi="宋体" w:eastAsia="宋体" w:cs="宋体"/>
          <w:b/>
          <w:bCs/>
          <w:color w:val="000000"/>
          <w:sz w:val="24"/>
          <w:szCs w:val="28"/>
        </w:rPr>
        <w:t>）</w:t>
      </w:r>
      <w:r>
        <w:rPr>
          <w:rFonts w:ascii="宋体" w:hAnsi="宋体" w:eastAsia="宋体" w:cs="宋体"/>
          <w:color w:val="000000"/>
          <w:sz w:val="24"/>
          <w:szCs w:val="28"/>
        </w:rPr>
        <w:t>并上传相应的附件。</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4"/>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hd w:val="clear" w:fill="FFFF00"/>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eastAsia="宋体" w:cs="宋体"/>
          <w:color w:val="000000"/>
          <w:sz w:val="24"/>
          <w:szCs w:val="24"/>
          <w:lang w:eastAsia="zh-CN"/>
        </w:rPr>
        <w:t>。</w:t>
      </w:r>
    </w:p>
    <w:p>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5"/>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6"/>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47"/>
                    <a:stretch>
                      <a:fillRect/>
                    </a:stretch>
                  </pic:blipFill>
                  <pic:spPr>
                    <a:xfrm>
                      <a:off x="0" y="0"/>
                      <a:ext cx="5760085" cy="1956600"/>
                    </a:xfrm>
                    <a:prstGeom prst="rect">
                      <a:avLst/>
                    </a:prstGeom>
                  </pic:spPr>
                </pic:pic>
              </a:graphicData>
            </a:graphic>
          </wp:inline>
        </w:drawing>
      </w:r>
    </w:p>
    <w:p>
      <w:pPr>
        <w:pStyle w:val="2"/>
        <w:rPr>
          <w:rFonts w:hAnsi="宋体" w:eastAsia="宋体" w:cs="Times New Roman"/>
          <w:b/>
          <w:color w:val="000000"/>
          <w:sz w:val="24"/>
          <w:szCs w:val="24"/>
        </w:rPr>
      </w:pPr>
    </w:p>
    <w:p>
      <w:pPr>
        <w:pStyle w:val="2"/>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altName w:val="方正舒体"/>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2505746"/>
    <w:multiLevelType w:val="multilevel"/>
    <w:tmpl w:val="6250574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num w:numId="1">
    <w:abstractNumId w:val="9"/>
  </w:num>
  <w:num w:numId="2">
    <w:abstractNumId w:val="0"/>
  </w:num>
  <w:num w:numId="3">
    <w:abstractNumId w:val="4"/>
  </w:num>
  <w:num w:numId="4">
    <w:abstractNumId w:val="2"/>
  </w:num>
  <w:num w:numId="5">
    <w:abstractNumId w:val="7"/>
  </w:num>
  <w:num w:numId="6">
    <w:abstractNumId w:val="1"/>
  </w:num>
  <w:num w:numId="7">
    <w:abstractNumId w:val="5"/>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kNGJhNzRkZmFmMzE4YTNlYTI2MjA1YmU1OGZmZTIifQ=="/>
  </w:docVars>
  <w:rsids>
    <w:rsidRoot w:val="0056018A"/>
    <w:rsid w:val="000129F7"/>
    <w:rsid w:val="000139F5"/>
    <w:rsid w:val="00022B06"/>
    <w:rsid w:val="00026EC2"/>
    <w:rsid w:val="00036836"/>
    <w:rsid w:val="00040B4B"/>
    <w:rsid w:val="0005777A"/>
    <w:rsid w:val="00065382"/>
    <w:rsid w:val="00080223"/>
    <w:rsid w:val="00086AFB"/>
    <w:rsid w:val="000A5309"/>
    <w:rsid w:val="000C1E37"/>
    <w:rsid w:val="000D6A51"/>
    <w:rsid w:val="000F35C5"/>
    <w:rsid w:val="000F45A3"/>
    <w:rsid w:val="00176DFC"/>
    <w:rsid w:val="001C1EE3"/>
    <w:rsid w:val="001C713C"/>
    <w:rsid w:val="001D5BD3"/>
    <w:rsid w:val="001D75B9"/>
    <w:rsid w:val="00200F05"/>
    <w:rsid w:val="00220056"/>
    <w:rsid w:val="00220453"/>
    <w:rsid w:val="00242E73"/>
    <w:rsid w:val="002432A0"/>
    <w:rsid w:val="002626ED"/>
    <w:rsid w:val="00265A40"/>
    <w:rsid w:val="00282FDE"/>
    <w:rsid w:val="0029130A"/>
    <w:rsid w:val="00294478"/>
    <w:rsid w:val="002A3677"/>
    <w:rsid w:val="002A5FAC"/>
    <w:rsid w:val="0030616F"/>
    <w:rsid w:val="003A4540"/>
    <w:rsid w:val="003B4D7D"/>
    <w:rsid w:val="003C3C98"/>
    <w:rsid w:val="003E0AB3"/>
    <w:rsid w:val="00401C42"/>
    <w:rsid w:val="004076DE"/>
    <w:rsid w:val="0041232D"/>
    <w:rsid w:val="00420C9F"/>
    <w:rsid w:val="00432CF7"/>
    <w:rsid w:val="004565CC"/>
    <w:rsid w:val="00460AFB"/>
    <w:rsid w:val="00470130"/>
    <w:rsid w:val="00483B0A"/>
    <w:rsid w:val="004B5126"/>
    <w:rsid w:val="004C419D"/>
    <w:rsid w:val="004D0F7F"/>
    <w:rsid w:val="004E0016"/>
    <w:rsid w:val="004F59D9"/>
    <w:rsid w:val="004F7838"/>
    <w:rsid w:val="00503391"/>
    <w:rsid w:val="00505670"/>
    <w:rsid w:val="005143DA"/>
    <w:rsid w:val="00552960"/>
    <w:rsid w:val="0056018A"/>
    <w:rsid w:val="00567344"/>
    <w:rsid w:val="005704B9"/>
    <w:rsid w:val="00576901"/>
    <w:rsid w:val="005829DC"/>
    <w:rsid w:val="005A6C87"/>
    <w:rsid w:val="005B02BA"/>
    <w:rsid w:val="005B7735"/>
    <w:rsid w:val="005C0B4E"/>
    <w:rsid w:val="005C421F"/>
    <w:rsid w:val="005D4DEA"/>
    <w:rsid w:val="005F16F0"/>
    <w:rsid w:val="005F63CD"/>
    <w:rsid w:val="0065185D"/>
    <w:rsid w:val="00680629"/>
    <w:rsid w:val="00684937"/>
    <w:rsid w:val="00686C52"/>
    <w:rsid w:val="006A65F6"/>
    <w:rsid w:val="006B12D0"/>
    <w:rsid w:val="006D0C18"/>
    <w:rsid w:val="006E396D"/>
    <w:rsid w:val="006F1414"/>
    <w:rsid w:val="00734F9B"/>
    <w:rsid w:val="007432BF"/>
    <w:rsid w:val="007525BF"/>
    <w:rsid w:val="007800DC"/>
    <w:rsid w:val="0078266F"/>
    <w:rsid w:val="007838AA"/>
    <w:rsid w:val="00783D5E"/>
    <w:rsid w:val="00785FD6"/>
    <w:rsid w:val="007B212D"/>
    <w:rsid w:val="007D632A"/>
    <w:rsid w:val="007E04A3"/>
    <w:rsid w:val="00806A61"/>
    <w:rsid w:val="008238B1"/>
    <w:rsid w:val="00824BFD"/>
    <w:rsid w:val="008453B3"/>
    <w:rsid w:val="008733E8"/>
    <w:rsid w:val="008909EA"/>
    <w:rsid w:val="008979AE"/>
    <w:rsid w:val="008A0CBA"/>
    <w:rsid w:val="008D3B56"/>
    <w:rsid w:val="008D5CEF"/>
    <w:rsid w:val="008E6D6D"/>
    <w:rsid w:val="009360F9"/>
    <w:rsid w:val="00964F00"/>
    <w:rsid w:val="009811AA"/>
    <w:rsid w:val="009A228F"/>
    <w:rsid w:val="009B511E"/>
    <w:rsid w:val="009E0F5E"/>
    <w:rsid w:val="00A21EB2"/>
    <w:rsid w:val="00A31561"/>
    <w:rsid w:val="00A35679"/>
    <w:rsid w:val="00A54E95"/>
    <w:rsid w:val="00A737A7"/>
    <w:rsid w:val="00A80564"/>
    <w:rsid w:val="00A960B2"/>
    <w:rsid w:val="00AA7492"/>
    <w:rsid w:val="00AC71B4"/>
    <w:rsid w:val="00AE6633"/>
    <w:rsid w:val="00B01FF1"/>
    <w:rsid w:val="00B12B44"/>
    <w:rsid w:val="00B23DB5"/>
    <w:rsid w:val="00B33204"/>
    <w:rsid w:val="00B45510"/>
    <w:rsid w:val="00B57050"/>
    <w:rsid w:val="00B72516"/>
    <w:rsid w:val="00B752F7"/>
    <w:rsid w:val="00B87622"/>
    <w:rsid w:val="00B92C97"/>
    <w:rsid w:val="00BA3C70"/>
    <w:rsid w:val="00BB1D6C"/>
    <w:rsid w:val="00BB4E42"/>
    <w:rsid w:val="00BF22BA"/>
    <w:rsid w:val="00C0028B"/>
    <w:rsid w:val="00C01073"/>
    <w:rsid w:val="00C16843"/>
    <w:rsid w:val="00C66A6A"/>
    <w:rsid w:val="00C855F6"/>
    <w:rsid w:val="00C92F53"/>
    <w:rsid w:val="00CD5223"/>
    <w:rsid w:val="00CE5010"/>
    <w:rsid w:val="00CE6E17"/>
    <w:rsid w:val="00D048C5"/>
    <w:rsid w:val="00D0528A"/>
    <w:rsid w:val="00D11B37"/>
    <w:rsid w:val="00D25F17"/>
    <w:rsid w:val="00D408EF"/>
    <w:rsid w:val="00D5145C"/>
    <w:rsid w:val="00D62CF3"/>
    <w:rsid w:val="00D63086"/>
    <w:rsid w:val="00D64DAE"/>
    <w:rsid w:val="00D729A1"/>
    <w:rsid w:val="00DB5225"/>
    <w:rsid w:val="00DC173C"/>
    <w:rsid w:val="00DC5AF4"/>
    <w:rsid w:val="00DD0F8A"/>
    <w:rsid w:val="00DD1E5E"/>
    <w:rsid w:val="00DE6417"/>
    <w:rsid w:val="00DF47E6"/>
    <w:rsid w:val="00E1627A"/>
    <w:rsid w:val="00E230DC"/>
    <w:rsid w:val="00E34C35"/>
    <w:rsid w:val="00E463FA"/>
    <w:rsid w:val="00E650A8"/>
    <w:rsid w:val="00E66B8A"/>
    <w:rsid w:val="00E7307E"/>
    <w:rsid w:val="00E80617"/>
    <w:rsid w:val="00E85246"/>
    <w:rsid w:val="00E878B4"/>
    <w:rsid w:val="00EB1B35"/>
    <w:rsid w:val="00EB3D00"/>
    <w:rsid w:val="00ED5985"/>
    <w:rsid w:val="00F71720"/>
    <w:rsid w:val="00F73A6B"/>
    <w:rsid w:val="00F759C8"/>
    <w:rsid w:val="00F76169"/>
    <w:rsid w:val="00FC5FA0"/>
    <w:rsid w:val="00FD1592"/>
    <w:rsid w:val="00FD72CC"/>
    <w:rsid w:val="00FE040F"/>
    <w:rsid w:val="00FE42B3"/>
    <w:rsid w:val="00FE6A58"/>
    <w:rsid w:val="00FF651D"/>
    <w:rsid w:val="014832F2"/>
    <w:rsid w:val="014D51C1"/>
    <w:rsid w:val="01C52478"/>
    <w:rsid w:val="027408EE"/>
    <w:rsid w:val="02963F39"/>
    <w:rsid w:val="02BA7274"/>
    <w:rsid w:val="03251978"/>
    <w:rsid w:val="0325718A"/>
    <w:rsid w:val="042921B6"/>
    <w:rsid w:val="04AD02B8"/>
    <w:rsid w:val="04DF17D4"/>
    <w:rsid w:val="05412745"/>
    <w:rsid w:val="05491761"/>
    <w:rsid w:val="05A351AD"/>
    <w:rsid w:val="05F9748A"/>
    <w:rsid w:val="06266F78"/>
    <w:rsid w:val="063E7B7A"/>
    <w:rsid w:val="06582413"/>
    <w:rsid w:val="067E33B8"/>
    <w:rsid w:val="06E82FCB"/>
    <w:rsid w:val="06F34B95"/>
    <w:rsid w:val="07571DAC"/>
    <w:rsid w:val="086C5273"/>
    <w:rsid w:val="08E64121"/>
    <w:rsid w:val="0942017F"/>
    <w:rsid w:val="09BA1FBB"/>
    <w:rsid w:val="09CB139F"/>
    <w:rsid w:val="0A0106F5"/>
    <w:rsid w:val="0A112AB7"/>
    <w:rsid w:val="0AD71BC7"/>
    <w:rsid w:val="0AF420EB"/>
    <w:rsid w:val="0B2B2BF5"/>
    <w:rsid w:val="0B2F3908"/>
    <w:rsid w:val="0B3F6206"/>
    <w:rsid w:val="0BD22349"/>
    <w:rsid w:val="0BE12DB6"/>
    <w:rsid w:val="0C626CE4"/>
    <w:rsid w:val="0D0C2B7B"/>
    <w:rsid w:val="0D9308F8"/>
    <w:rsid w:val="0D996C42"/>
    <w:rsid w:val="0E1A1D85"/>
    <w:rsid w:val="0E750568"/>
    <w:rsid w:val="0F2D7A80"/>
    <w:rsid w:val="0F4277E5"/>
    <w:rsid w:val="0FA75561"/>
    <w:rsid w:val="0FB83603"/>
    <w:rsid w:val="0FCA77F1"/>
    <w:rsid w:val="10270545"/>
    <w:rsid w:val="108A1D4B"/>
    <w:rsid w:val="10A10111"/>
    <w:rsid w:val="10BE093E"/>
    <w:rsid w:val="111B0FE9"/>
    <w:rsid w:val="115F67A8"/>
    <w:rsid w:val="119A7465"/>
    <w:rsid w:val="11C07DA5"/>
    <w:rsid w:val="12491386"/>
    <w:rsid w:val="12E60579"/>
    <w:rsid w:val="13695B36"/>
    <w:rsid w:val="1372609F"/>
    <w:rsid w:val="145A6A37"/>
    <w:rsid w:val="1467440F"/>
    <w:rsid w:val="15433A9B"/>
    <w:rsid w:val="15FC2F04"/>
    <w:rsid w:val="16181FAC"/>
    <w:rsid w:val="168756A0"/>
    <w:rsid w:val="16F94849"/>
    <w:rsid w:val="17045E51"/>
    <w:rsid w:val="172011D4"/>
    <w:rsid w:val="17252C3B"/>
    <w:rsid w:val="173F0A2E"/>
    <w:rsid w:val="17770BC2"/>
    <w:rsid w:val="17A119AA"/>
    <w:rsid w:val="18586F2B"/>
    <w:rsid w:val="19A766B9"/>
    <w:rsid w:val="19CE76BA"/>
    <w:rsid w:val="19F26070"/>
    <w:rsid w:val="1A1523CE"/>
    <w:rsid w:val="1AA730BD"/>
    <w:rsid w:val="1B055612"/>
    <w:rsid w:val="1B333D5D"/>
    <w:rsid w:val="1B587618"/>
    <w:rsid w:val="1B5F19C7"/>
    <w:rsid w:val="1C1C709B"/>
    <w:rsid w:val="1D5C514E"/>
    <w:rsid w:val="1D865D14"/>
    <w:rsid w:val="1D8705EC"/>
    <w:rsid w:val="1DD957B9"/>
    <w:rsid w:val="1E43150B"/>
    <w:rsid w:val="1EA93E80"/>
    <w:rsid w:val="1ED33FB6"/>
    <w:rsid w:val="1EE81332"/>
    <w:rsid w:val="1F32415A"/>
    <w:rsid w:val="20107567"/>
    <w:rsid w:val="20AB56C6"/>
    <w:rsid w:val="2176507C"/>
    <w:rsid w:val="21BE35AF"/>
    <w:rsid w:val="21C11174"/>
    <w:rsid w:val="22244B28"/>
    <w:rsid w:val="22467FD4"/>
    <w:rsid w:val="229451FD"/>
    <w:rsid w:val="22A12DB6"/>
    <w:rsid w:val="23C962E8"/>
    <w:rsid w:val="247E4FED"/>
    <w:rsid w:val="24B30BE8"/>
    <w:rsid w:val="24E34060"/>
    <w:rsid w:val="253A0491"/>
    <w:rsid w:val="25B96D13"/>
    <w:rsid w:val="25E036B2"/>
    <w:rsid w:val="25E9082A"/>
    <w:rsid w:val="25F42473"/>
    <w:rsid w:val="26252925"/>
    <w:rsid w:val="26AF2D79"/>
    <w:rsid w:val="26B34B91"/>
    <w:rsid w:val="26FA17F3"/>
    <w:rsid w:val="270D66E8"/>
    <w:rsid w:val="271B62DA"/>
    <w:rsid w:val="278B0DAB"/>
    <w:rsid w:val="27A64735"/>
    <w:rsid w:val="27CC4DF2"/>
    <w:rsid w:val="281864F2"/>
    <w:rsid w:val="286903EF"/>
    <w:rsid w:val="287F5DD3"/>
    <w:rsid w:val="288047CB"/>
    <w:rsid w:val="289E62FA"/>
    <w:rsid w:val="291E2CA6"/>
    <w:rsid w:val="29331862"/>
    <w:rsid w:val="299E147F"/>
    <w:rsid w:val="29CF26DC"/>
    <w:rsid w:val="2A1C5DA0"/>
    <w:rsid w:val="2A200D39"/>
    <w:rsid w:val="2A507EFF"/>
    <w:rsid w:val="2ADC05A4"/>
    <w:rsid w:val="2B6F0D7F"/>
    <w:rsid w:val="2B8716BD"/>
    <w:rsid w:val="2CCC5FEE"/>
    <w:rsid w:val="2D025012"/>
    <w:rsid w:val="2D4178F0"/>
    <w:rsid w:val="2DAE631A"/>
    <w:rsid w:val="2DD877E0"/>
    <w:rsid w:val="2DE616C9"/>
    <w:rsid w:val="2DFC2451"/>
    <w:rsid w:val="2E6E566D"/>
    <w:rsid w:val="2E7F188E"/>
    <w:rsid w:val="2EBC0905"/>
    <w:rsid w:val="2EC73739"/>
    <w:rsid w:val="2F5C684F"/>
    <w:rsid w:val="307776D1"/>
    <w:rsid w:val="30862574"/>
    <w:rsid w:val="308A5484"/>
    <w:rsid w:val="30B631E1"/>
    <w:rsid w:val="310C1665"/>
    <w:rsid w:val="311933AA"/>
    <w:rsid w:val="317D15BB"/>
    <w:rsid w:val="31D07E6C"/>
    <w:rsid w:val="323F65DA"/>
    <w:rsid w:val="32412074"/>
    <w:rsid w:val="32DE0199"/>
    <w:rsid w:val="335B2774"/>
    <w:rsid w:val="33A4642E"/>
    <w:rsid w:val="33D4039C"/>
    <w:rsid w:val="33D47E05"/>
    <w:rsid w:val="3413677D"/>
    <w:rsid w:val="342B544B"/>
    <w:rsid w:val="34DE1E4F"/>
    <w:rsid w:val="34F07DB1"/>
    <w:rsid w:val="35D354B8"/>
    <w:rsid w:val="35D4025C"/>
    <w:rsid w:val="362666BC"/>
    <w:rsid w:val="368A6B11"/>
    <w:rsid w:val="37085B1F"/>
    <w:rsid w:val="372E04CB"/>
    <w:rsid w:val="390D33AB"/>
    <w:rsid w:val="390E79B4"/>
    <w:rsid w:val="391E6D06"/>
    <w:rsid w:val="3A074847"/>
    <w:rsid w:val="3AA90FE6"/>
    <w:rsid w:val="3AA9318F"/>
    <w:rsid w:val="3AB62DA0"/>
    <w:rsid w:val="3B7D3FD5"/>
    <w:rsid w:val="3B823DDF"/>
    <w:rsid w:val="3C237ED3"/>
    <w:rsid w:val="3CAA596A"/>
    <w:rsid w:val="3CB1587B"/>
    <w:rsid w:val="3CB735F2"/>
    <w:rsid w:val="3D186684"/>
    <w:rsid w:val="3D8B2178"/>
    <w:rsid w:val="3DD115F5"/>
    <w:rsid w:val="3DE435F0"/>
    <w:rsid w:val="3DE5122C"/>
    <w:rsid w:val="3DF37E53"/>
    <w:rsid w:val="3ED26DE9"/>
    <w:rsid w:val="3EED17D0"/>
    <w:rsid w:val="3F0C0304"/>
    <w:rsid w:val="3F6246E2"/>
    <w:rsid w:val="3FEC147E"/>
    <w:rsid w:val="40376375"/>
    <w:rsid w:val="412732B7"/>
    <w:rsid w:val="4127791F"/>
    <w:rsid w:val="41281794"/>
    <w:rsid w:val="413C1FDF"/>
    <w:rsid w:val="41B0259C"/>
    <w:rsid w:val="41BC6F1C"/>
    <w:rsid w:val="41EF2363"/>
    <w:rsid w:val="41F77860"/>
    <w:rsid w:val="424A4B98"/>
    <w:rsid w:val="42581D3A"/>
    <w:rsid w:val="42FE0080"/>
    <w:rsid w:val="43315D2E"/>
    <w:rsid w:val="43824A1C"/>
    <w:rsid w:val="43D110E1"/>
    <w:rsid w:val="43E873C9"/>
    <w:rsid w:val="44905B1F"/>
    <w:rsid w:val="45316885"/>
    <w:rsid w:val="45A95EE9"/>
    <w:rsid w:val="45FB0F21"/>
    <w:rsid w:val="47200EE3"/>
    <w:rsid w:val="47435AC2"/>
    <w:rsid w:val="47544B78"/>
    <w:rsid w:val="47587AF7"/>
    <w:rsid w:val="47745A86"/>
    <w:rsid w:val="47E239AC"/>
    <w:rsid w:val="480F4B73"/>
    <w:rsid w:val="48DB38E3"/>
    <w:rsid w:val="49001B5E"/>
    <w:rsid w:val="49376DB0"/>
    <w:rsid w:val="49804BB7"/>
    <w:rsid w:val="49826DCB"/>
    <w:rsid w:val="499013E7"/>
    <w:rsid w:val="49C8088A"/>
    <w:rsid w:val="4A301C93"/>
    <w:rsid w:val="4A3302AB"/>
    <w:rsid w:val="4AC85D49"/>
    <w:rsid w:val="4AE308A9"/>
    <w:rsid w:val="4B9A1456"/>
    <w:rsid w:val="4BA32C82"/>
    <w:rsid w:val="4BE70627"/>
    <w:rsid w:val="4C0A5AE1"/>
    <w:rsid w:val="4C130AB8"/>
    <w:rsid w:val="4C5A284D"/>
    <w:rsid w:val="4CB96B43"/>
    <w:rsid w:val="4CD63947"/>
    <w:rsid w:val="4CFC49F4"/>
    <w:rsid w:val="4D073D73"/>
    <w:rsid w:val="4D1E27BA"/>
    <w:rsid w:val="4D23574A"/>
    <w:rsid w:val="4D4C4DB0"/>
    <w:rsid w:val="4D7322D5"/>
    <w:rsid w:val="4DD7034C"/>
    <w:rsid w:val="4DE312CB"/>
    <w:rsid w:val="4E1F4862"/>
    <w:rsid w:val="4E2E4393"/>
    <w:rsid w:val="4E535EF2"/>
    <w:rsid w:val="4F08773C"/>
    <w:rsid w:val="4F31409F"/>
    <w:rsid w:val="4F846A83"/>
    <w:rsid w:val="4F960564"/>
    <w:rsid w:val="50070E2C"/>
    <w:rsid w:val="504B57F2"/>
    <w:rsid w:val="50C62BC7"/>
    <w:rsid w:val="50F72A66"/>
    <w:rsid w:val="5123368C"/>
    <w:rsid w:val="5130747C"/>
    <w:rsid w:val="515C765A"/>
    <w:rsid w:val="51905BB3"/>
    <w:rsid w:val="51946FCB"/>
    <w:rsid w:val="51DD796B"/>
    <w:rsid w:val="51DF373B"/>
    <w:rsid w:val="52EF4CB5"/>
    <w:rsid w:val="52F959F0"/>
    <w:rsid w:val="5302488E"/>
    <w:rsid w:val="539A4AC7"/>
    <w:rsid w:val="54A04054"/>
    <w:rsid w:val="54A61722"/>
    <w:rsid w:val="54B31FAF"/>
    <w:rsid w:val="55326D63"/>
    <w:rsid w:val="55381E35"/>
    <w:rsid w:val="555D1A10"/>
    <w:rsid w:val="56AC4A78"/>
    <w:rsid w:val="56DB16B9"/>
    <w:rsid w:val="577A3463"/>
    <w:rsid w:val="57F967AD"/>
    <w:rsid w:val="58052975"/>
    <w:rsid w:val="58BF534D"/>
    <w:rsid w:val="58E525CA"/>
    <w:rsid w:val="593D045A"/>
    <w:rsid w:val="5960739E"/>
    <w:rsid w:val="59896D0A"/>
    <w:rsid w:val="59B72684"/>
    <w:rsid w:val="5A8A36F8"/>
    <w:rsid w:val="5A9579AE"/>
    <w:rsid w:val="5AC468CD"/>
    <w:rsid w:val="5B342B9A"/>
    <w:rsid w:val="5B630802"/>
    <w:rsid w:val="5B807F68"/>
    <w:rsid w:val="5BAA6241"/>
    <w:rsid w:val="5C034D53"/>
    <w:rsid w:val="5C2D3983"/>
    <w:rsid w:val="5D510D5C"/>
    <w:rsid w:val="5E1D6F56"/>
    <w:rsid w:val="5E52187F"/>
    <w:rsid w:val="5E6A13CD"/>
    <w:rsid w:val="5E705D15"/>
    <w:rsid w:val="5E93326C"/>
    <w:rsid w:val="5EFB4BA4"/>
    <w:rsid w:val="5F5F46B5"/>
    <w:rsid w:val="5FBA3CC0"/>
    <w:rsid w:val="5FD90D61"/>
    <w:rsid w:val="60177697"/>
    <w:rsid w:val="602329DB"/>
    <w:rsid w:val="607777D6"/>
    <w:rsid w:val="60BC76A1"/>
    <w:rsid w:val="610B7637"/>
    <w:rsid w:val="615F5624"/>
    <w:rsid w:val="61D215CF"/>
    <w:rsid w:val="625C563D"/>
    <w:rsid w:val="626A1704"/>
    <w:rsid w:val="62B362C8"/>
    <w:rsid w:val="62C1330E"/>
    <w:rsid w:val="633D32E3"/>
    <w:rsid w:val="6342085E"/>
    <w:rsid w:val="636F415C"/>
    <w:rsid w:val="64917820"/>
    <w:rsid w:val="64AA1CC5"/>
    <w:rsid w:val="64EB6B5C"/>
    <w:rsid w:val="656B2909"/>
    <w:rsid w:val="65A3045D"/>
    <w:rsid w:val="65D97752"/>
    <w:rsid w:val="65E25E59"/>
    <w:rsid w:val="66307F76"/>
    <w:rsid w:val="66580EAF"/>
    <w:rsid w:val="66694D0D"/>
    <w:rsid w:val="66F041A8"/>
    <w:rsid w:val="6721178A"/>
    <w:rsid w:val="6739399A"/>
    <w:rsid w:val="673F39DE"/>
    <w:rsid w:val="674C5D22"/>
    <w:rsid w:val="67663AF8"/>
    <w:rsid w:val="67762CFD"/>
    <w:rsid w:val="677A678D"/>
    <w:rsid w:val="68011379"/>
    <w:rsid w:val="68252C37"/>
    <w:rsid w:val="68817BAC"/>
    <w:rsid w:val="689A5E59"/>
    <w:rsid w:val="68EE72DF"/>
    <w:rsid w:val="69485FEA"/>
    <w:rsid w:val="69677DC0"/>
    <w:rsid w:val="69937EC7"/>
    <w:rsid w:val="69D64558"/>
    <w:rsid w:val="6A042548"/>
    <w:rsid w:val="6A471EFD"/>
    <w:rsid w:val="6AB57116"/>
    <w:rsid w:val="6B17424A"/>
    <w:rsid w:val="6B2218FA"/>
    <w:rsid w:val="6B691672"/>
    <w:rsid w:val="6C5E6A51"/>
    <w:rsid w:val="6C6513C3"/>
    <w:rsid w:val="6C744268"/>
    <w:rsid w:val="6CD62D03"/>
    <w:rsid w:val="6CD97FB6"/>
    <w:rsid w:val="6D930013"/>
    <w:rsid w:val="6E1A1656"/>
    <w:rsid w:val="6E5A5288"/>
    <w:rsid w:val="6E9251C1"/>
    <w:rsid w:val="6EE013EE"/>
    <w:rsid w:val="6EE079F1"/>
    <w:rsid w:val="6EE42C42"/>
    <w:rsid w:val="6F7F7CB0"/>
    <w:rsid w:val="6FE0165C"/>
    <w:rsid w:val="70222744"/>
    <w:rsid w:val="705D3D9F"/>
    <w:rsid w:val="706D2B21"/>
    <w:rsid w:val="707B1384"/>
    <w:rsid w:val="70857A34"/>
    <w:rsid w:val="70985D3C"/>
    <w:rsid w:val="71047C73"/>
    <w:rsid w:val="7109004F"/>
    <w:rsid w:val="71103167"/>
    <w:rsid w:val="712E56F7"/>
    <w:rsid w:val="71691ABB"/>
    <w:rsid w:val="71AE1AEA"/>
    <w:rsid w:val="71CF3B6C"/>
    <w:rsid w:val="71D42710"/>
    <w:rsid w:val="722922C6"/>
    <w:rsid w:val="732D4B5D"/>
    <w:rsid w:val="73393C88"/>
    <w:rsid w:val="7362513F"/>
    <w:rsid w:val="73771D49"/>
    <w:rsid w:val="73A1354E"/>
    <w:rsid w:val="74A11E7D"/>
    <w:rsid w:val="75590B0A"/>
    <w:rsid w:val="7582279F"/>
    <w:rsid w:val="75BB71AF"/>
    <w:rsid w:val="75F01962"/>
    <w:rsid w:val="760E19DF"/>
    <w:rsid w:val="76676A53"/>
    <w:rsid w:val="76B620A1"/>
    <w:rsid w:val="77462524"/>
    <w:rsid w:val="77A21064"/>
    <w:rsid w:val="77E34EB2"/>
    <w:rsid w:val="781564B8"/>
    <w:rsid w:val="78224ACF"/>
    <w:rsid w:val="78CD6DCC"/>
    <w:rsid w:val="78D07CAF"/>
    <w:rsid w:val="78DE12D7"/>
    <w:rsid w:val="79210683"/>
    <w:rsid w:val="79264BBA"/>
    <w:rsid w:val="799C3465"/>
    <w:rsid w:val="79B14EC4"/>
    <w:rsid w:val="7A282B95"/>
    <w:rsid w:val="7A2A6B4A"/>
    <w:rsid w:val="7A681070"/>
    <w:rsid w:val="7A860C7C"/>
    <w:rsid w:val="7AB879FE"/>
    <w:rsid w:val="7B3264DD"/>
    <w:rsid w:val="7B81188A"/>
    <w:rsid w:val="7B9E2902"/>
    <w:rsid w:val="7BC854E2"/>
    <w:rsid w:val="7C0562EC"/>
    <w:rsid w:val="7C27683F"/>
    <w:rsid w:val="7CB14B4D"/>
    <w:rsid w:val="7CF26969"/>
    <w:rsid w:val="7DB23041"/>
    <w:rsid w:val="7E5F7809"/>
    <w:rsid w:val="7ED56C53"/>
    <w:rsid w:val="7EEA1BAF"/>
    <w:rsid w:val="7F7107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0"/>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32">
    <w:name w:val="K2-A4"/>
    <w:basedOn w:val="6"/>
    <w:qFormat/>
    <w:uiPriority w:val="0"/>
    <w:pPr>
      <w:spacing w:before="0" w:after="0" w:line="360" w:lineRule="auto"/>
    </w:pPr>
    <w:rPr>
      <w:rFonts w:ascii="Times New Roman" w:hAnsi="Times New Roman" w:eastAsia="宋体" w:cs="Times New Roman"/>
      <w:bCs/>
      <w:sz w:val="21"/>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header" Target="header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8A09D6-5C2C-4D6D-BD52-79C0A8A87445}">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80</Pages>
  <Words>35817</Words>
  <Characters>37890</Characters>
  <Lines>327</Lines>
  <Paragraphs>92</Paragraphs>
  <TotalTime>4</TotalTime>
  <ScaleCrop>false</ScaleCrop>
  <LinksUpToDate>false</LinksUpToDate>
  <CharactersWithSpaces>44064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sinotruk</cp:lastModifiedBy>
  <cp:lastPrinted>2022-07-01T03:19:00Z</cp:lastPrinted>
  <dcterms:modified xsi:type="dcterms:W3CDTF">2023-05-29T07:04:18Z</dcterms:modified>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74AB2BB3E20B40B6BC4BA56D2B9F79A6</vt:lpwstr>
  </property>
</Properties>
</file>