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4"/>
          <w:szCs w:val="48"/>
        </w:rPr>
      </w:pPr>
      <w:r>
        <w:rPr>
          <w:rFonts w:hint="eastAsia" w:ascii="宋体" w:hAnsi="宋体"/>
          <w:sz w:val="44"/>
          <w:szCs w:val="48"/>
        </w:rPr>
        <w:t>中国重汽集团</w:t>
      </w:r>
      <w:r>
        <w:rPr>
          <w:rFonts w:ascii="宋体" w:hAnsi="宋体"/>
          <w:sz w:val="44"/>
          <w:szCs w:val="48"/>
        </w:rPr>
        <w:t>济南</w:t>
      </w:r>
      <w:r>
        <w:rPr>
          <w:rFonts w:hint="eastAsia" w:ascii="宋体" w:hAnsi="宋体"/>
          <w:sz w:val="44"/>
          <w:szCs w:val="48"/>
        </w:rPr>
        <w:t>特种车</w:t>
      </w:r>
      <w:r>
        <w:rPr>
          <w:rFonts w:ascii="宋体" w:hAnsi="宋体"/>
          <w:sz w:val="44"/>
          <w:szCs w:val="48"/>
        </w:rPr>
        <w:t>有限公司</w:t>
      </w:r>
    </w:p>
    <w:p>
      <w:pPr>
        <w:pStyle w:val="55"/>
        <w:ind w:firstLine="2200" w:firstLineChars="500"/>
        <w:rPr>
          <w:rFonts w:ascii="宋体" w:hAnsi="宋体" w:eastAsia="宋体" w:cs="Times New Roman"/>
          <w:color w:val="auto"/>
          <w:kern w:val="2"/>
          <w:sz w:val="44"/>
          <w:szCs w:val="48"/>
        </w:rPr>
      </w:pPr>
      <w:r>
        <w:rPr>
          <w:rFonts w:hint="eastAsia" w:ascii="宋体" w:hAnsi="宋体" w:eastAsia="宋体" w:cs="Times New Roman"/>
          <w:color w:val="auto"/>
          <w:kern w:val="2"/>
          <w:sz w:val="44"/>
          <w:szCs w:val="48"/>
        </w:rPr>
        <w:t>物流仓储配送服务项目</w:t>
      </w:r>
    </w:p>
    <w:p>
      <w:pPr>
        <w:ind w:right="280"/>
        <w:jc w:val="right"/>
        <w:rPr>
          <w:sz w:val="28"/>
          <w:szCs w:val="28"/>
        </w:rPr>
      </w:pPr>
    </w:p>
    <w:p>
      <w:pPr>
        <w:jc w:val="right"/>
        <w:rPr>
          <w:sz w:val="28"/>
          <w:szCs w:val="28"/>
        </w:rPr>
      </w:pPr>
    </w:p>
    <w:p>
      <w:pPr>
        <w:jc w:val="center"/>
        <w:rPr>
          <w:rFonts w:ascii="黑体" w:hAnsi="宋体" w:eastAsia="黑体"/>
          <w:sz w:val="56"/>
          <w:szCs w:val="84"/>
        </w:rPr>
      </w:pPr>
      <w:r>
        <w:rPr>
          <w:rFonts w:hint="eastAsia" w:ascii="黑体" w:hAnsi="宋体" w:eastAsia="黑体"/>
          <w:sz w:val="56"/>
          <w:szCs w:val="84"/>
        </w:rPr>
        <w:t>招</w:t>
      </w:r>
    </w:p>
    <w:p>
      <w:pPr>
        <w:jc w:val="center"/>
        <w:rPr>
          <w:rFonts w:ascii="黑体" w:hAnsi="宋体" w:eastAsia="黑体"/>
          <w:sz w:val="56"/>
          <w:szCs w:val="84"/>
        </w:rPr>
      </w:pPr>
    </w:p>
    <w:p>
      <w:pPr>
        <w:jc w:val="center"/>
        <w:rPr>
          <w:rFonts w:ascii="黑体" w:hAnsi="宋体" w:eastAsia="黑体"/>
          <w:sz w:val="56"/>
          <w:szCs w:val="84"/>
        </w:rPr>
      </w:pPr>
      <w:r>
        <w:rPr>
          <w:rFonts w:hint="eastAsia" w:ascii="黑体" w:hAnsi="宋体" w:eastAsia="黑体"/>
          <w:sz w:val="56"/>
          <w:szCs w:val="84"/>
        </w:rPr>
        <w:t>标</w:t>
      </w:r>
    </w:p>
    <w:p>
      <w:pPr>
        <w:jc w:val="center"/>
        <w:rPr>
          <w:rFonts w:ascii="黑体" w:hAnsi="宋体" w:eastAsia="黑体"/>
          <w:sz w:val="56"/>
          <w:szCs w:val="84"/>
        </w:rPr>
      </w:pPr>
    </w:p>
    <w:p>
      <w:pPr>
        <w:jc w:val="center"/>
        <w:rPr>
          <w:rFonts w:ascii="宋体" w:hAnsi="宋体"/>
          <w:sz w:val="52"/>
          <w:szCs w:val="72"/>
        </w:rPr>
      </w:pPr>
      <w:r>
        <w:rPr>
          <w:rFonts w:hint="eastAsia" w:ascii="黑体" w:hAnsi="宋体" w:eastAsia="黑体"/>
          <w:sz w:val="56"/>
          <w:szCs w:val="84"/>
        </w:rPr>
        <w:t>书</w:t>
      </w: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招 标 人：中国重汽集团济南特种车有限公司</w:t>
      </w:r>
    </w:p>
    <w:p>
      <w:pPr>
        <w:spacing w:line="480" w:lineRule="auto"/>
        <w:jc w:val="center"/>
        <w:rPr>
          <w:rFonts w:ascii="宋体" w:hAnsi="宋体"/>
          <w:b/>
          <w:bCs/>
          <w:sz w:val="48"/>
          <w:szCs w:val="48"/>
        </w:rPr>
      </w:pPr>
      <w:r>
        <w:rPr>
          <w:rFonts w:ascii="宋体" w:hAnsi="宋体"/>
          <w:sz w:val="28"/>
          <w:szCs w:val="28"/>
        </w:rPr>
        <w:t>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ascii="黑体" w:eastAsia="黑体"/>
          <w:b/>
          <w:bCs/>
          <w:sz w:val="36"/>
          <w:szCs w:val="36"/>
        </w:rPr>
        <w:br w:type="page"/>
      </w:r>
      <w:r>
        <w:rPr>
          <w:rFonts w:ascii="宋体" w:hAnsi="宋体"/>
          <w:b/>
          <w:bCs/>
          <w:sz w:val="48"/>
          <w:szCs w:val="48"/>
        </w:rPr>
        <w:t>目   录</w:t>
      </w:r>
    </w:p>
    <w:p>
      <w:pPr>
        <w:tabs>
          <w:tab w:val="left" w:pos="3240"/>
        </w:tabs>
        <w:spacing w:line="480" w:lineRule="auto"/>
        <w:rPr>
          <w:rFonts w:ascii="宋体" w:hAnsi="宋体"/>
          <w:b/>
          <w:bCs/>
          <w:sz w:val="24"/>
        </w:rPr>
      </w:pPr>
      <w:r>
        <w:rPr>
          <w:rFonts w:ascii="宋体" w:hAnsi="宋体"/>
          <w:b/>
          <w:bCs/>
          <w:sz w:val="24"/>
        </w:rPr>
        <w:tab/>
      </w:r>
    </w:p>
    <w:p>
      <w:pPr>
        <w:tabs>
          <w:tab w:val="left" w:pos="3240"/>
        </w:tabs>
        <w:spacing w:line="480" w:lineRule="auto"/>
        <w:rPr>
          <w:rFonts w:ascii="宋体" w:hAnsi="宋体"/>
          <w:b/>
          <w:bCs/>
          <w:sz w:val="24"/>
        </w:rPr>
      </w:pPr>
    </w:p>
    <w:p>
      <w:pPr>
        <w:tabs>
          <w:tab w:val="left" w:pos="3240"/>
        </w:tabs>
        <w:spacing w:line="480" w:lineRule="auto"/>
        <w:rPr>
          <w:rFonts w:ascii="宋体" w:hAnsi="宋体"/>
          <w:b/>
          <w:bCs/>
          <w:sz w:val="24"/>
        </w:rPr>
      </w:pPr>
    </w:p>
    <w:p>
      <w:pPr>
        <w:pStyle w:val="13"/>
        <w:spacing w:before="312" w:beforeLines="100" w:after="312" w:afterLines="100"/>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25"/>
          <w:rFonts w:hint="eastAsia"/>
        </w:rPr>
        <w:t>第一章</w:t>
      </w:r>
      <w:r>
        <w:rPr>
          <w:rStyle w:val="25"/>
        </w:rPr>
        <w:t xml:space="preserve">  </w:t>
      </w:r>
      <w:r>
        <w:rPr>
          <w:rStyle w:val="25"/>
          <w:rFonts w:hint="eastAsia"/>
        </w:rPr>
        <w:t>招标公告</w:t>
      </w:r>
      <w:r>
        <w:tab/>
      </w:r>
      <w:r>
        <w:fldChar w:fldCharType="end"/>
      </w:r>
      <w:r>
        <w:rPr>
          <w:rFonts w:hint="eastAsia"/>
        </w:rPr>
        <w:t>2（页码）</w:t>
      </w:r>
    </w:p>
    <w:p>
      <w:pPr>
        <w:pStyle w:val="13"/>
        <w:spacing w:before="312" w:beforeLines="100" w:after="312" w:afterLines="100"/>
      </w:pPr>
    </w:p>
    <w:p>
      <w:pPr>
        <w:pStyle w:val="13"/>
        <w:spacing w:before="312" w:beforeLines="100" w:after="312" w:afterLines="100"/>
      </w:pPr>
      <w:r>
        <w:fldChar w:fldCharType="begin"/>
      </w:r>
      <w:r>
        <w:instrText xml:space="preserve"> HYPERLINK \l "_Toc357155295" </w:instrText>
      </w:r>
      <w:r>
        <w:fldChar w:fldCharType="separate"/>
      </w:r>
      <w:r>
        <w:rPr>
          <w:rStyle w:val="25"/>
          <w:rFonts w:hint="eastAsia"/>
        </w:rPr>
        <w:t>第二章</w:t>
      </w:r>
      <w:r>
        <w:rPr>
          <w:rStyle w:val="25"/>
        </w:rPr>
        <w:t xml:space="preserve">  </w:t>
      </w:r>
      <w:r>
        <w:rPr>
          <w:rStyle w:val="25"/>
          <w:rFonts w:hint="eastAsia"/>
        </w:rPr>
        <w:t>投标文件编制</w:t>
      </w:r>
      <w:r>
        <w:tab/>
      </w:r>
      <w:r>
        <w:fldChar w:fldCharType="end"/>
      </w:r>
      <w:r>
        <w:rPr>
          <w:rFonts w:hint="eastAsia"/>
        </w:rPr>
        <w:t>8（页码）</w:t>
      </w:r>
    </w:p>
    <w:p>
      <w:pPr>
        <w:pStyle w:val="13"/>
        <w:spacing w:before="312" w:beforeLines="100" w:after="312" w:afterLines="100"/>
      </w:pPr>
    </w:p>
    <w:p>
      <w:pPr>
        <w:pStyle w:val="13"/>
        <w:spacing w:before="312" w:beforeLines="100" w:after="312" w:afterLines="100"/>
      </w:pPr>
      <w:r>
        <w:fldChar w:fldCharType="begin"/>
      </w:r>
      <w:r>
        <w:instrText xml:space="preserve"> HYPERLINK \l "_Toc357155295" </w:instrText>
      </w:r>
      <w:r>
        <w:fldChar w:fldCharType="separate"/>
      </w:r>
      <w:r>
        <w:rPr>
          <w:rStyle w:val="25"/>
          <w:rFonts w:hint="eastAsia"/>
        </w:rPr>
        <w:t>第三章</w:t>
      </w:r>
      <w:r>
        <w:rPr>
          <w:rStyle w:val="25"/>
        </w:rPr>
        <w:t xml:space="preserve">  技术</w:t>
      </w:r>
      <w:r>
        <w:rPr>
          <w:rStyle w:val="25"/>
          <w:rFonts w:hint="eastAsia"/>
        </w:rPr>
        <w:t>要求</w:t>
      </w:r>
      <w:r>
        <w:tab/>
      </w:r>
      <w:r>
        <w:fldChar w:fldCharType="end"/>
      </w:r>
      <w:r>
        <w:rPr>
          <w:rFonts w:hint="eastAsia"/>
        </w:rPr>
        <w:t>....21（页码）</w:t>
      </w:r>
    </w:p>
    <w:p>
      <w:pPr>
        <w:spacing w:before="312" w:beforeLines="100" w:after="312" w:afterLines="100"/>
      </w:pPr>
    </w:p>
    <w:p>
      <w:pPr>
        <w:pStyle w:val="13"/>
        <w:spacing w:before="312" w:beforeLines="100" w:after="312" w:afterLines="100"/>
      </w:pPr>
      <w:r>
        <w:fldChar w:fldCharType="begin"/>
      </w:r>
      <w:r>
        <w:instrText xml:space="preserve"> HYPERLINK \l "_Toc357155296" </w:instrText>
      </w:r>
      <w:r>
        <w:fldChar w:fldCharType="separate"/>
      </w:r>
      <w:r>
        <w:rPr>
          <w:rFonts w:hint="eastAsia"/>
        </w:rPr>
        <w:t>第四章</w:t>
      </w:r>
      <w:r>
        <w:t xml:space="preserve">  </w:t>
      </w:r>
      <w:r>
        <w:rPr>
          <w:rFonts w:hint="eastAsia"/>
        </w:rPr>
        <w:t>合同文本</w:t>
      </w:r>
      <w:r>
        <w:tab/>
      </w:r>
      <w:r>
        <w:fldChar w:fldCharType="end"/>
      </w:r>
      <w:r>
        <w:rPr>
          <w:rFonts w:hint="eastAsia"/>
        </w:rPr>
        <w:t>29（页码）</w:t>
      </w:r>
    </w:p>
    <w:p>
      <w:pPr>
        <w:spacing w:before="312" w:beforeLines="100" w:after="312" w:afterLines="100"/>
      </w:pPr>
    </w:p>
    <w:p>
      <w:pPr>
        <w:pStyle w:val="9"/>
        <w:spacing w:before="312" w:beforeLines="100" w:after="312" w:afterLines="100" w:line="360" w:lineRule="auto"/>
        <w:rPr>
          <w:rFonts w:hAnsi="宋体"/>
          <w:b/>
          <w:caps/>
          <w:sz w:val="28"/>
          <w:szCs w:val="28"/>
        </w:rPr>
      </w:pPr>
      <w:r>
        <w:rPr>
          <w:rFonts w:hint="eastAsia" w:hAnsi="宋体"/>
          <w:b/>
          <w:caps/>
          <w:sz w:val="28"/>
          <w:szCs w:val="28"/>
        </w:rPr>
        <w:t>第五章  第三方物流服务商管理规定....................31（页码）</w:t>
      </w:r>
      <w:r>
        <w:rPr>
          <w:rFonts w:hAnsi="宋体"/>
          <w:b/>
          <w:caps/>
          <w:sz w:val="28"/>
          <w:szCs w:val="28"/>
        </w:rPr>
        <w:tab/>
      </w:r>
    </w:p>
    <w:p>
      <w:pPr>
        <w:spacing w:before="312" w:beforeLines="100" w:after="312" w:afterLines="100"/>
      </w:pPr>
    </w:p>
    <w:p>
      <w:pPr>
        <w:pStyle w:val="9"/>
        <w:spacing w:before="312" w:beforeLines="100" w:after="312" w:afterLines="100" w:line="360" w:lineRule="auto"/>
        <w:jc w:val="center"/>
        <w:rPr>
          <w:rFonts w:ascii="黑体" w:eastAsia="黑体"/>
          <w:b/>
          <w:bCs/>
          <w:sz w:val="36"/>
          <w:szCs w:val="36"/>
        </w:rPr>
      </w:pPr>
      <w:r>
        <w:fldChar w:fldCharType="end"/>
      </w:r>
      <w:r>
        <w:rPr>
          <w:rFonts w:ascii="黑体" w:eastAsia="黑体"/>
          <w:b/>
          <w:bCs/>
          <w:sz w:val="36"/>
          <w:szCs w:val="36"/>
        </w:rPr>
        <w:br w:type="page"/>
      </w:r>
      <w:r>
        <w:rPr>
          <w:rFonts w:hint="eastAsia" w:ascii="黑体" w:eastAsia="黑体"/>
          <w:b/>
          <w:bCs/>
          <w:sz w:val="36"/>
          <w:szCs w:val="36"/>
        </w:rPr>
        <w:t>第一章  招标公告</w:t>
      </w:r>
    </w:p>
    <w:p>
      <w:pPr>
        <w:pStyle w:val="9"/>
        <w:spacing w:line="360" w:lineRule="auto"/>
        <w:rPr>
          <w:rFonts w:ascii="黑体" w:eastAsia="黑体"/>
          <w:b/>
          <w:bCs/>
          <w:sz w:val="28"/>
        </w:rPr>
      </w:pPr>
      <w:r>
        <w:rPr>
          <w:rFonts w:hint="eastAsia" w:ascii="黑体" w:eastAsia="黑体"/>
          <w:b/>
          <w:bCs/>
          <w:sz w:val="28"/>
        </w:rPr>
        <w:t>一、项目名称</w:t>
      </w:r>
    </w:p>
    <w:p>
      <w:pPr>
        <w:pStyle w:val="55"/>
        <w:ind w:firstLine="840" w:firstLineChars="350"/>
        <w:rPr>
          <w:rFonts w:hint="eastAsia" w:ascii="宋体" w:hAnsi="宋体" w:eastAsia="宋体"/>
          <w:color w:val="auto"/>
        </w:rPr>
      </w:pPr>
      <w:r>
        <w:rPr>
          <w:rFonts w:hint="eastAsia" w:ascii="宋体" w:hAnsi="宋体" w:eastAsia="宋体"/>
          <w:color w:val="auto"/>
          <w:lang w:val="en-US" w:eastAsia="zh-CN"/>
        </w:rPr>
        <w:t>1、</w:t>
      </w:r>
      <w:r>
        <w:rPr>
          <w:rFonts w:hint="eastAsia" w:ascii="宋体" w:hAnsi="宋体" w:eastAsia="宋体"/>
          <w:color w:val="auto"/>
        </w:rPr>
        <w:t>项目名称：中国重汽集团济南特种车有限公司物流仓储配送服务项目</w:t>
      </w:r>
    </w:p>
    <w:p>
      <w:pPr>
        <w:pStyle w:val="55"/>
        <w:ind w:firstLine="840" w:firstLineChars="350"/>
        <w:rPr>
          <w:rFonts w:hint="eastAsia" w:ascii="宋体" w:hAnsi="宋体" w:eastAsia="宋体"/>
          <w:color w:val="auto"/>
          <w:lang w:val="en-US" w:eastAsia="zh-CN"/>
        </w:rPr>
      </w:pPr>
      <w:r>
        <w:rPr>
          <w:rFonts w:hint="eastAsia" w:ascii="宋体" w:hAnsi="宋体" w:eastAsia="宋体"/>
          <w:color w:val="auto"/>
          <w:lang w:val="en-US" w:eastAsia="zh-CN"/>
        </w:rPr>
        <w:t>2、</w:t>
      </w:r>
      <w:r>
        <w:rPr>
          <w:rFonts w:hint="eastAsia" w:ascii="宋体" w:hAnsi="宋体" w:eastAsia="宋体"/>
          <w:color w:val="auto"/>
        </w:rPr>
        <w:t>项目编号：CGZX</w:t>
      </w:r>
      <w:r>
        <w:rPr>
          <w:rFonts w:ascii="微软雅黑" w:hAnsi="微软雅黑" w:eastAsia="微软雅黑" w:cs="微软雅黑"/>
          <w:i w:val="0"/>
          <w:iCs w:val="0"/>
          <w:caps w:val="0"/>
          <w:color w:val="000000"/>
          <w:spacing w:val="0"/>
          <w:sz w:val="22"/>
          <w:szCs w:val="22"/>
          <w:shd w:val="clear" w:fill="FCFCFC"/>
        </w:rPr>
        <w:t>CX-202305-0680</w:t>
      </w:r>
    </w:p>
    <w:p>
      <w:pPr>
        <w:pStyle w:val="9"/>
        <w:spacing w:line="360" w:lineRule="auto"/>
        <w:rPr>
          <w:rFonts w:ascii="宋体" w:hAnsi="宋体"/>
        </w:rPr>
      </w:pPr>
      <w:r>
        <w:rPr>
          <w:rFonts w:hint="eastAsia" w:ascii="黑体" w:eastAsia="黑体"/>
          <w:b/>
          <w:bCs/>
          <w:sz w:val="28"/>
        </w:rPr>
        <w:t>二、招标内容</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559"/>
        <w:gridCol w:w="241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50" w:type="dxa"/>
            <w:vAlign w:val="center"/>
          </w:tcPr>
          <w:p>
            <w:pPr>
              <w:spacing w:line="360" w:lineRule="exact"/>
              <w:jc w:val="center"/>
              <w:rPr>
                <w:rFonts w:ascii="宋体" w:hAnsi="宋体"/>
              </w:rPr>
            </w:pPr>
            <w:r>
              <w:rPr>
                <w:rFonts w:hint="eastAsia" w:ascii="宋体" w:hAnsi="宋体"/>
              </w:rPr>
              <w:t>序号</w:t>
            </w:r>
          </w:p>
        </w:tc>
        <w:tc>
          <w:tcPr>
            <w:tcW w:w="2559" w:type="dxa"/>
            <w:vAlign w:val="center"/>
          </w:tcPr>
          <w:p>
            <w:pPr>
              <w:spacing w:line="360" w:lineRule="exact"/>
              <w:jc w:val="center"/>
              <w:rPr>
                <w:rFonts w:ascii="宋体" w:hAnsi="宋体"/>
              </w:rPr>
            </w:pPr>
            <w:r>
              <w:rPr>
                <w:rFonts w:hint="eastAsia" w:ascii="宋体" w:hAnsi="宋体"/>
              </w:rPr>
              <w:t>名称</w:t>
            </w:r>
          </w:p>
        </w:tc>
        <w:tc>
          <w:tcPr>
            <w:tcW w:w="2410" w:type="dxa"/>
            <w:vAlign w:val="center"/>
          </w:tcPr>
          <w:p>
            <w:pPr>
              <w:spacing w:line="360" w:lineRule="exact"/>
              <w:jc w:val="center"/>
              <w:rPr>
                <w:rFonts w:ascii="宋体" w:hAnsi="宋体"/>
              </w:rPr>
            </w:pPr>
            <w:r>
              <w:rPr>
                <w:rFonts w:hint="eastAsia" w:ascii="宋体" w:hAnsi="宋体"/>
              </w:rPr>
              <w:t>服务对象</w:t>
            </w:r>
          </w:p>
        </w:tc>
        <w:tc>
          <w:tcPr>
            <w:tcW w:w="1842" w:type="dxa"/>
            <w:vAlign w:val="center"/>
          </w:tcPr>
          <w:p>
            <w:pPr>
              <w:spacing w:line="36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spacing w:line="360" w:lineRule="exact"/>
              <w:jc w:val="center"/>
              <w:rPr>
                <w:rFonts w:ascii="宋体" w:hAnsi="宋体"/>
              </w:rPr>
            </w:pPr>
            <w:r>
              <w:rPr>
                <w:rFonts w:hint="eastAsia" w:ascii="宋体" w:hAnsi="宋体"/>
              </w:rPr>
              <w:t>1</w:t>
            </w:r>
          </w:p>
        </w:tc>
        <w:tc>
          <w:tcPr>
            <w:tcW w:w="2559" w:type="dxa"/>
            <w:vAlign w:val="center"/>
          </w:tcPr>
          <w:p>
            <w:pPr>
              <w:spacing w:line="360" w:lineRule="exact"/>
              <w:jc w:val="center"/>
              <w:rPr>
                <w:rFonts w:ascii="宋体" w:hAnsi="宋体"/>
              </w:rPr>
            </w:pPr>
            <w:r>
              <w:rPr>
                <w:rFonts w:hint="eastAsia" w:ascii="宋体" w:hAnsi="宋体"/>
              </w:rPr>
              <w:t>物流仓储配送服务项目</w:t>
            </w:r>
          </w:p>
        </w:tc>
        <w:tc>
          <w:tcPr>
            <w:tcW w:w="2410" w:type="dxa"/>
            <w:vAlign w:val="center"/>
          </w:tcPr>
          <w:p>
            <w:pPr>
              <w:spacing w:line="360" w:lineRule="exact"/>
              <w:jc w:val="center"/>
              <w:rPr>
                <w:rFonts w:ascii="宋体" w:hAnsi="宋体"/>
              </w:rPr>
            </w:pPr>
            <w:r>
              <w:rPr>
                <w:rFonts w:hint="eastAsia" w:ascii="宋体" w:hAnsi="宋体"/>
              </w:rPr>
              <w:t>济南特种车有限公司</w:t>
            </w:r>
          </w:p>
        </w:tc>
        <w:tc>
          <w:tcPr>
            <w:tcW w:w="1842" w:type="dxa"/>
            <w:vAlign w:val="center"/>
          </w:tcPr>
          <w:p>
            <w:pPr>
              <w:spacing w:line="360" w:lineRule="exact"/>
              <w:jc w:val="center"/>
              <w:rPr>
                <w:rFonts w:ascii="宋体" w:hAnsi="宋体"/>
              </w:rPr>
            </w:pPr>
          </w:p>
        </w:tc>
      </w:tr>
    </w:tbl>
    <w:p>
      <w:pPr>
        <w:spacing w:line="360" w:lineRule="exact"/>
        <w:jc w:val="center"/>
        <w:rPr>
          <w:rFonts w:ascii="宋体" w:hAnsi="宋体"/>
        </w:rPr>
      </w:pPr>
    </w:p>
    <w:p>
      <w:pPr>
        <w:pStyle w:val="9"/>
        <w:spacing w:line="360" w:lineRule="auto"/>
        <w:rPr>
          <w:rFonts w:ascii="黑体" w:eastAsia="黑体"/>
          <w:b/>
          <w:bCs/>
          <w:sz w:val="28"/>
        </w:rPr>
      </w:pPr>
      <w:r>
        <w:rPr>
          <w:rFonts w:hint="eastAsia" w:ascii="黑体" w:eastAsia="黑体"/>
          <w:b/>
          <w:bCs/>
          <w:sz w:val="28"/>
        </w:rPr>
        <w:t>三、招标形式</w:t>
      </w:r>
    </w:p>
    <w:p>
      <w:pPr>
        <w:pStyle w:val="9"/>
        <w:spacing w:line="360" w:lineRule="auto"/>
        <w:ind w:firstLine="420" w:firstLineChars="200"/>
      </w:pPr>
      <w:r>
        <w:rPr>
          <w:rFonts w:hint="eastAsia"/>
        </w:rPr>
        <w:t>招标形式：</w:t>
      </w:r>
      <w:r>
        <w:rPr>
          <w:rFonts w:hint="eastAsia"/>
          <w:b/>
          <w:bCs/>
          <w:lang w:eastAsia="zh-CN"/>
        </w:rPr>
        <w:t>公开</w:t>
      </w:r>
      <w:r>
        <w:rPr>
          <w:rFonts w:hint="eastAsia"/>
          <w:b/>
          <w:bCs/>
        </w:rPr>
        <w:t>招标。</w:t>
      </w:r>
    </w:p>
    <w:p>
      <w:pPr>
        <w:pStyle w:val="9"/>
        <w:spacing w:line="360" w:lineRule="auto"/>
        <w:rPr>
          <w:rFonts w:ascii="黑体" w:eastAsia="黑体"/>
          <w:b/>
          <w:bCs/>
          <w:sz w:val="28"/>
        </w:rPr>
      </w:pPr>
      <w:r>
        <w:rPr>
          <w:rFonts w:hint="eastAsia" w:ascii="黑体" w:eastAsia="黑体"/>
          <w:b/>
          <w:bCs/>
          <w:sz w:val="28"/>
        </w:rPr>
        <w:t>四、议程安排</w:t>
      </w:r>
    </w:p>
    <w:p>
      <w:pPr>
        <w:numPr>
          <w:ilvl w:val="0"/>
          <w:numId w:val="0"/>
        </w:numPr>
        <w:spacing w:line="360" w:lineRule="auto"/>
        <w:ind w:firstLine="630" w:firstLineChars="30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1. 公告时间：2023年6月</w:t>
      </w:r>
      <w:r>
        <w:rPr>
          <w:rFonts w:hint="eastAsia" w:ascii="宋体" w:hAnsi="Courier New" w:cstheme="minorBidi"/>
          <w:kern w:val="2"/>
          <w:sz w:val="21"/>
          <w:szCs w:val="22"/>
          <w:lang w:val="en-US" w:eastAsia="zh-CN" w:bidi="ar-SA"/>
        </w:rPr>
        <w:t>9</w:t>
      </w:r>
      <w:r>
        <w:rPr>
          <w:rFonts w:hint="eastAsia" w:ascii="宋体" w:hAnsi="Courier New" w:eastAsia="宋体" w:cstheme="minorBidi"/>
          <w:kern w:val="2"/>
          <w:sz w:val="21"/>
          <w:szCs w:val="22"/>
          <w:lang w:val="en-US" w:eastAsia="zh-CN" w:bidi="ar-SA"/>
        </w:rPr>
        <w:t xml:space="preserve"> 日</w:t>
      </w:r>
    </w:p>
    <w:p>
      <w:pPr>
        <w:numPr>
          <w:ilvl w:val="0"/>
          <w:numId w:val="0"/>
        </w:numPr>
        <w:spacing w:line="360" w:lineRule="auto"/>
        <w:ind w:left="630" w:leftChars="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2. 报名截止时间：2023年6月20日下午17点前（以通知为准）</w:t>
      </w:r>
    </w:p>
    <w:p>
      <w:pPr>
        <w:numPr>
          <w:ilvl w:val="0"/>
          <w:numId w:val="0"/>
        </w:numPr>
        <w:spacing w:line="360" w:lineRule="auto"/>
        <w:ind w:left="630" w:leftChars="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3. 开标时间：2023年6月21日上午9点00分（若有变动另行通知）</w:t>
      </w:r>
    </w:p>
    <w:p>
      <w:pPr>
        <w:numPr>
          <w:ilvl w:val="0"/>
          <w:numId w:val="0"/>
        </w:numPr>
        <w:spacing w:line="360" w:lineRule="auto"/>
        <w:ind w:left="630" w:leftChars="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4. 项目地点：济南市槐荫区经十西路3100号</w:t>
      </w:r>
    </w:p>
    <w:p>
      <w:pPr>
        <w:numPr>
          <w:ilvl w:val="0"/>
          <w:numId w:val="0"/>
        </w:numPr>
        <w:spacing w:line="360" w:lineRule="auto"/>
        <w:ind w:left="630" w:leftChars="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5. 报名方式：</w:t>
      </w:r>
    </w:p>
    <w:p>
      <w:pPr>
        <w:numPr>
          <w:ilvl w:val="0"/>
          <w:numId w:val="0"/>
        </w:numPr>
        <w:spacing w:line="360" w:lineRule="auto"/>
        <w:ind w:left="630" w:leftChars="0" w:firstLine="420" w:firstLineChars="20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携带以下资料加盖公章的复印件一套（复印件需简易装订），与项目联系人进行现场报名，也可以将报名资料扫描件发送至项目联系人邮箱报名。同时提供联系人、联系方式。资料不齐全的投标报名将不予接受。</w:t>
      </w:r>
    </w:p>
    <w:p>
      <w:pPr>
        <w:numPr>
          <w:ilvl w:val="2"/>
          <w:numId w:val="1"/>
        </w:numPr>
        <w:spacing w:line="360" w:lineRule="auto"/>
        <w:ind w:left="1050" w:leftChars="0" w:firstLineChars="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营业执照；</w:t>
      </w:r>
    </w:p>
    <w:p>
      <w:pPr>
        <w:numPr>
          <w:ilvl w:val="2"/>
          <w:numId w:val="1"/>
        </w:numPr>
        <w:spacing w:line="360" w:lineRule="auto"/>
        <w:ind w:left="1050" w:leftChars="0" w:firstLineChars="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投标人信誉良好，无招标违法违规、谎报年度报告信息、提供虚假资质资料等行为或其他行政处罚；</w:t>
      </w:r>
    </w:p>
    <w:p>
      <w:pPr>
        <w:numPr>
          <w:ilvl w:val="2"/>
          <w:numId w:val="1"/>
        </w:numPr>
        <w:spacing w:line="360" w:lineRule="auto"/>
        <w:ind w:left="1050" w:leftChars="0" w:firstLineChars="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在“国家企业信用信息公示系统”、“中国执行信息公开网”、“信用中国”、“天眼查”、“判决文书网”等信息平台中，无行政处罚及失信记录等信息；</w:t>
      </w:r>
    </w:p>
    <w:p>
      <w:pPr>
        <w:numPr>
          <w:ilvl w:val="2"/>
          <w:numId w:val="1"/>
        </w:numPr>
        <w:spacing w:line="360" w:lineRule="auto"/>
        <w:ind w:left="1050" w:leftChars="0" w:firstLineChars="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相关信用等级和完税证明；</w:t>
      </w:r>
    </w:p>
    <w:p>
      <w:pPr>
        <w:numPr>
          <w:ilvl w:val="2"/>
          <w:numId w:val="1"/>
        </w:numPr>
        <w:spacing w:line="360" w:lineRule="auto"/>
        <w:ind w:left="1050" w:leftChars="0" w:firstLineChars="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投标人的直接或间接股东、法定代表人、董事、监事、高管非重汽员工及亲属。投标人未被列入重汽集团列入黑名单；</w:t>
      </w:r>
    </w:p>
    <w:p>
      <w:pPr>
        <w:numPr>
          <w:ilvl w:val="2"/>
          <w:numId w:val="1"/>
        </w:numPr>
        <w:spacing w:line="360" w:lineRule="auto"/>
        <w:ind w:left="1050" w:leftChars="0" w:firstLineChars="0"/>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法律法规对合格投标人的其他要求、规定。</w:t>
      </w:r>
    </w:p>
    <w:p>
      <w:pPr>
        <w:spacing w:line="360" w:lineRule="auto"/>
        <w:ind w:firstLine="420" w:firstLineChars="200"/>
        <w:rPr>
          <w:rFonts w:hint="default"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6.投标及商务事宜联系人：徐凯</w:t>
      </w:r>
    </w:p>
    <w:p>
      <w:pPr>
        <w:spacing w:line="360" w:lineRule="auto"/>
        <w:ind w:firstLine="420" w:firstLineChars="200"/>
        <w:rPr>
          <w:rFonts w:hint="eastAsia" w:ascii="宋体" w:hAnsi="Courier New"/>
        </w:rPr>
      </w:pPr>
      <w:r>
        <w:rPr>
          <w:rFonts w:hint="eastAsia" w:ascii="宋体" w:hAnsi="Courier New" w:eastAsia="宋体" w:cstheme="minorBidi"/>
          <w:kern w:val="2"/>
          <w:sz w:val="21"/>
          <w:szCs w:val="22"/>
          <w:lang w:val="en-US" w:eastAsia="zh-CN" w:bidi="ar-SA"/>
        </w:rPr>
        <w:t xml:space="preserve">  联系电话：15063332928  报名电子邮箱：1921242550@qq.com</w:t>
      </w:r>
    </w:p>
    <w:p>
      <w:pPr>
        <w:pStyle w:val="9"/>
        <w:spacing w:line="360" w:lineRule="auto"/>
        <w:rPr>
          <w:rFonts w:ascii="黑体" w:eastAsia="黑体"/>
          <w:b/>
          <w:bCs/>
          <w:sz w:val="28"/>
        </w:rPr>
      </w:pPr>
      <w:r>
        <w:rPr>
          <w:rFonts w:hint="eastAsia" w:ascii="黑体" w:eastAsia="黑体"/>
          <w:b/>
          <w:bCs/>
          <w:sz w:val="28"/>
        </w:rPr>
        <w:t>五、获取招标文件</w:t>
      </w:r>
    </w:p>
    <w:p>
      <w:pPr>
        <w:pStyle w:val="9"/>
        <w:spacing w:line="360" w:lineRule="auto"/>
        <w:ind w:firstLine="405"/>
      </w:pPr>
      <w:r>
        <w:rPr>
          <w:rFonts w:hint="eastAsia"/>
        </w:rPr>
        <w:t>获取方式：报名参与投标的投标人，招标人将本项目招标书电子版，以电子邮件的形式发送至投标人所提供的邮箱，招标人不对投标人能否通过电子邮箱正确或及时接收相关邮件负责，招标人邮件发出即视为送达。</w:t>
      </w:r>
    </w:p>
    <w:p>
      <w:pPr>
        <w:pStyle w:val="9"/>
        <w:spacing w:line="360" w:lineRule="auto"/>
        <w:rPr>
          <w:rFonts w:ascii="黑体" w:eastAsia="黑体"/>
          <w:b/>
          <w:bCs/>
          <w:sz w:val="28"/>
        </w:rPr>
      </w:pPr>
      <w:r>
        <w:rPr>
          <w:rFonts w:hint="eastAsia" w:ascii="黑体" w:eastAsia="黑体"/>
          <w:b/>
          <w:bCs/>
          <w:sz w:val="28"/>
        </w:rPr>
        <w:t>六、投标须知</w:t>
      </w:r>
    </w:p>
    <w:p>
      <w:pPr>
        <w:pStyle w:val="9"/>
        <w:spacing w:line="360" w:lineRule="auto"/>
        <w:ind w:firstLine="422" w:firstLineChars="200"/>
        <w:rPr>
          <w:b/>
        </w:rPr>
      </w:pPr>
      <w:r>
        <w:rPr>
          <w:rFonts w:hint="eastAsia"/>
          <w:b/>
        </w:rPr>
        <w:t>1.合格投标人：</w:t>
      </w:r>
    </w:p>
    <w:p>
      <w:pPr>
        <w:pStyle w:val="9"/>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pPr>
        <w:pStyle w:val="9"/>
        <w:spacing w:line="360" w:lineRule="auto"/>
        <w:ind w:firstLine="420" w:firstLineChars="200"/>
      </w:pPr>
      <w:r>
        <w:rPr>
          <w:rFonts w:hint="eastAsia" w:hAnsi="宋体"/>
        </w:rPr>
        <w:t>*⑵</w:t>
      </w:r>
      <w:r>
        <w:rPr>
          <w:rFonts w:hint="eastAsia"/>
        </w:rPr>
        <w:t>公司成立三年以上（以营业执照成立日期到开标当日满三年为准）注册资金不能少于500万（目前为中国重汽提供物流服务的物流商不受该条件限制）</w:t>
      </w:r>
      <w:r>
        <w:rPr>
          <w:rFonts w:hint="eastAsia" w:hAnsi="宋体"/>
          <w:sz w:val="24"/>
        </w:rPr>
        <w:t>；</w:t>
      </w:r>
      <w:r>
        <w:rPr>
          <w:rFonts w:hint="eastAsia"/>
        </w:rPr>
        <w:t>经营范围满足招标项目需求；</w:t>
      </w:r>
    </w:p>
    <w:p>
      <w:pPr>
        <w:pStyle w:val="9"/>
        <w:spacing w:line="360" w:lineRule="auto"/>
        <w:ind w:firstLine="420" w:firstLineChars="200"/>
      </w:pPr>
      <w:r>
        <w:rPr>
          <w:rFonts w:hint="eastAsia" w:hAnsi="宋体"/>
        </w:rPr>
        <w:t>*</w:t>
      </w:r>
      <w:r>
        <w:rPr>
          <w:rFonts w:hint="eastAsia"/>
        </w:rPr>
        <w:t>⑶投标人须提供具有统一社会信用代码的新版营业执照副本</w:t>
      </w:r>
      <w:r>
        <w:rPr>
          <w:rFonts w:hint="eastAsia"/>
          <w:b/>
        </w:rPr>
        <w:t>原件</w:t>
      </w:r>
      <w:r>
        <w:rPr>
          <w:rFonts w:hint="eastAsia"/>
          <w:b/>
          <w:bCs/>
        </w:rPr>
        <w:t>及复印件（加盖公章）</w:t>
      </w:r>
      <w:r>
        <w:rPr>
          <w:rFonts w:hint="eastAsia"/>
        </w:rPr>
        <w:t>；</w:t>
      </w:r>
    </w:p>
    <w:p>
      <w:pPr>
        <w:spacing w:line="360" w:lineRule="auto"/>
        <w:ind w:firstLine="420" w:firstLineChars="200"/>
        <w:rPr>
          <w:rFonts w:ascii="宋体" w:hAnsi="Courier New"/>
        </w:rPr>
      </w:pPr>
      <w:r>
        <w:rPr>
          <w:rFonts w:hint="eastAsia" w:hAnsi="宋体"/>
        </w:rPr>
        <w:t>⑷</w:t>
      </w:r>
      <w:r>
        <w:rPr>
          <w:rFonts w:ascii="宋体" w:hAnsi="Courier New"/>
        </w:rPr>
        <w:t>投标人具备道路运输主管部门批准的道路运输资质，拥有道路运输主管部门颁发的“道路运输经营许可证”；</w:t>
      </w:r>
      <w:r>
        <w:rPr>
          <w:rFonts w:ascii="宋体" w:hAnsi="Courier New"/>
        </w:rPr>
        <w:tab/>
      </w:r>
    </w:p>
    <w:p>
      <w:pPr>
        <w:pStyle w:val="9"/>
        <w:spacing w:line="360" w:lineRule="auto"/>
        <w:ind w:firstLine="420" w:firstLineChars="200"/>
        <w:rPr>
          <w:b/>
        </w:rPr>
      </w:pPr>
      <w:r>
        <w:rPr>
          <w:rFonts w:hint="eastAsia" w:hAnsi="宋体"/>
        </w:rPr>
        <w:t>⑸</w:t>
      </w:r>
      <w:r>
        <w:rPr>
          <w:rFonts w:hint="eastAsia"/>
        </w:rPr>
        <w:t>投标人须无条件接受招标人关于物流商的所有管理规定。</w:t>
      </w:r>
    </w:p>
    <w:p>
      <w:pPr>
        <w:pStyle w:val="9"/>
        <w:spacing w:line="360" w:lineRule="auto"/>
        <w:ind w:firstLine="420" w:firstLineChars="200"/>
      </w:pPr>
      <w:r>
        <w:rPr>
          <w:rFonts w:hint="eastAsia" w:hAnsi="宋体"/>
        </w:rPr>
        <w:t>⑹</w:t>
      </w:r>
      <w:r>
        <w:rPr>
          <w:rFonts w:hint="eastAsia"/>
        </w:rPr>
        <w:t>投标人在近三年内在经营活动中无违法记录。</w:t>
      </w:r>
    </w:p>
    <w:p>
      <w:pPr>
        <w:pStyle w:val="9"/>
        <w:spacing w:line="360" w:lineRule="auto"/>
        <w:ind w:firstLine="420" w:firstLineChars="200"/>
      </w:pPr>
      <w:r>
        <w:rPr>
          <w:rFonts w:hint="eastAsia" w:hAnsi="宋体"/>
        </w:rPr>
        <w:t>⑺</w:t>
      </w:r>
      <w:r>
        <w:rPr>
          <w:rFonts w:hint="eastAsia"/>
        </w:rPr>
        <w:t>具有健全的财务会计制度，财务状况和市场行为良好。没有处于被有权机关吊销营业执照、吊销资质、停业整顿、取消投标资格以及财产被接管、冻结或进入破产程序等。</w:t>
      </w:r>
    </w:p>
    <w:p>
      <w:pPr>
        <w:pStyle w:val="9"/>
        <w:spacing w:line="360" w:lineRule="auto"/>
        <w:ind w:firstLine="420" w:firstLineChars="200"/>
      </w:pPr>
      <w:r>
        <w:rPr>
          <w:rFonts w:hint="eastAsia" w:hAnsi="宋体"/>
        </w:rPr>
        <w:t>⑻</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pPr>
        <w:pStyle w:val="9"/>
        <w:spacing w:line="360" w:lineRule="auto"/>
        <w:ind w:firstLine="420" w:firstLineChars="200"/>
      </w:pPr>
      <w:r>
        <w:rPr>
          <w:rFonts w:hint="eastAsia" w:hAnsi="宋体"/>
        </w:rPr>
        <w:t>⑼</w:t>
      </w:r>
      <w:r>
        <w:rPr>
          <w:rFonts w:hint="eastAsia"/>
        </w:rPr>
        <w:t>投标人须提供近三年的公司财务报表（资产负债表、损益表、现金流量表）。</w:t>
      </w:r>
    </w:p>
    <w:p>
      <w:pPr>
        <w:pStyle w:val="9"/>
        <w:spacing w:line="360" w:lineRule="auto"/>
        <w:ind w:firstLine="420" w:firstLineChars="200"/>
      </w:pPr>
      <w:r>
        <w:rPr>
          <w:rFonts w:hint="eastAsia" w:hAnsi="宋体"/>
        </w:rPr>
        <w:t>*⑽</w:t>
      </w:r>
      <w:r>
        <w:rPr>
          <w:rFonts w:hint="eastAsia"/>
        </w:rPr>
        <w:t>投标人须提供法人授权委托书</w:t>
      </w:r>
      <w:r>
        <w:rPr>
          <w:rFonts w:hint="eastAsia"/>
          <w:b/>
        </w:rPr>
        <w:t>原件</w:t>
      </w:r>
      <w:r>
        <w:rPr>
          <w:rFonts w:hint="eastAsia"/>
        </w:rPr>
        <w:t>（在投标文件副本中可用复印件）及投标单位的法定代表人或授权代表的身份证</w:t>
      </w:r>
      <w:r>
        <w:rPr>
          <w:rFonts w:hint="eastAsia"/>
          <w:b/>
        </w:rPr>
        <w:t>原件</w:t>
      </w:r>
      <w:r>
        <w:rPr>
          <w:rFonts w:hint="eastAsia"/>
        </w:rPr>
        <w:t>及复印件（加盖公章）；</w:t>
      </w:r>
    </w:p>
    <w:p>
      <w:pPr>
        <w:pStyle w:val="9"/>
        <w:spacing w:line="360" w:lineRule="auto"/>
        <w:ind w:firstLine="420" w:firstLineChars="200"/>
      </w:pPr>
      <w:r>
        <w:rPr>
          <w:rFonts w:hint="eastAsia" w:hAnsi="宋体"/>
        </w:rPr>
        <w:t>⑾</w:t>
      </w:r>
      <w:r>
        <w:rPr>
          <w:rFonts w:hint="eastAsia"/>
        </w:rPr>
        <w:t>投标人须具有履行合同所必须的设备、财务、技术、服务等方面的资质和能力；</w:t>
      </w:r>
    </w:p>
    <w:p>
      <w:pPr>
        <w:pStyle w:val="9"/>
        <w:spacing w:line="360" w:lineRule="auto"/>
        <w:ind w:firstLine="420" w:firstLineChars="200"/>
      </w:pPr>
      <w:r>
        <w:rPr>
          <w:rFonts w:hint="eastAsia" w:hAnsi="宋体"/>
        </w:rPr>
        <w:t>⑿</w:t>
      </w:r>
      <w:r>
        <w:rPr>
          <w:rFonts w:hint="eastAsia"/>
        </w:rPr>
        <w:t>投标人须具有完全履行招标文件的所有要求的能力；</w:t>
      </w:r>
    </w:p>
    <w:p>
      <w:pPr>
        <w:pStyle w:val="9"/>
        <w:spacing w:line="360" w:lineRule="auto"/>
        <w:ind w:firstLine="420" w:firstLineChars="200"/>
      </w:pPr>
      <w:r>
        <w:rPr>
          <w:rFonts w:hint="eastAsia" w:hAnsi="宋体"/>
        </w:rPr>
        <w:t>⒀</w:t>
      </w:r>
      <w:r>
        <w:rPr>
          <w:rFonts w:hint="eastAsia"/>
        </w:rPr>
        <w:t>投标人须认可招标人的工作指令，包括节、假日能正常开展工作的要求；</w:t>
      </w:r>
    </w:p>
    <w:p>
      <w:pPr>
        <w:pStyle w:val="9"/>
        <w:spacing w:line="360" w:lineRule="auto"/>
        <w:ind w:firstLine="420" w:firstLineChars="200"/>
      </w:pPr>
      <w:r>
        <w:rPr>
          <w:rFonts w:hint="eastAsia" w:hAnsi="宋体"/>
        </w:rPr>
        <w:t>⒁</w:t>
      </w:r>
      <w:r>
        <w:rPr>
          <w:rFonts w:hint="eastAsia"/>
        </w:rPr>
        <w:t>投标人必须是最终投标、签订合同的单位，不得以任何理由将已中标项目以任何形式转包给其他单位；</w:t>
      </w:r>
    </w:p>
    <w:p>
      <w:pPr>
        <w:pStyle w:val="9"/>
        <w:spacing w:line="360" w:lineRule="auto"/>
        <w:ind w:firstLine="420" w:firstLineChars="200"/>
      </w:pPr>
      <w:r>
        <w:rPr>
          <w:rFonts w:hint="eastAsia" w:hAnsi="宋体"/>
        </w:rPr>
        <w:t>⒂</w:t>
      </w:r>
      <w:r>
        <w:rPr>
          <w:rFonts w:hint="eastAsia"/>
        </w:rPr>
        <w:t>本次招标项目不接受联合体投标；</w:t>
      </w:r>
    </w:p>
    <w:p>
      <w:pPr>
        <w:pStyle w:val="9"/>
        <w:spacing w:line="360" w:lineRule="auto"/>
        <w:ind w:firstLine="420" w:firstLineChars="200"/>
      </w:pPr>
      <w:r>
        <w:rPr>
          <w:rFonts w:hint="eastAsia" w:hAnsi="宋体"/>
        </w:rPr>
        <w:t>*⒃</w:t>
      </w:r>
      <w:r>
        <w:rPr>
          <w:rFonts w:hint="eastAsia"/>
        </w:rPr>
        <w:t>投标人在向招标人出示《投标保证金缴纳凭证》后方可进行投标；</w:t>
      </w:r>
    </w:p>
    <w:p>
      <w:pPr>
        <w:pStyle w:val="9"/>
        <w:spacing w:line="360" w:lineRule="auto"/>
        <w:ind w:firstLine="420" w:firstLineChars="200"/>
      </w:pPr>
      <w:r>
        <w:rPr>
          <w:rFonts w:hint="eastAsia" w:hAnsi="宋体"/>
        </w:rPr>
        <w:t>⒄</w:t>
      </w:r>
      <w:r>
        <w:rPr>
          <w:rFonts w:hint="eastAsia"/>
        </w:rPr>
        <w:t>投标文件1正4副共计5份并附U盘电子版（详见本招标文件“第二章 投标文件编制”）。</w:t>
      </w:r>
    </w:p>
    <w:p>
      <w:pPr>
        <w:pStyle w:val="9"/>
        <w:spacing w:line="360" w:lineRule="auto"/>
        <w:ind w:firstLine="422" w:firstLineChars="200"/>
      </w:pPr>
      <w:r>
        <w:rPr>
          <w:rFonts w:hint="eastAsia"/>
          <w:b/>
          <w:bCs/>
        </w:rPr>
        <w:t>注：上述带“</w:t>
      </w:r>
      <w:r>
        <w:rPr>
          <w:rFonts w:hint="eastAsia" w:hAnsi="宋体"/>
          <w:b/>
          <w:bCs/>
        </w:rPr>
        <w:t>*</w:t>
      </w:r>
      <w:r>
        <w:rPr>
          <w:rFonts w:hint="eastAsia"/>
          <w:b/>
          <w:bCs/>
        </w:rPr>
        <w:t>”项为必备的资格文件，缺项会按不响应招标文件或无效投标处理，由专家组评定扣分或废标处理；第2、3、10、16项在开标前核验（由投标人单独提供），其余文件开标后核验。</w:t>
      </w:r>
    </w:p>
    <w:p>
      <w:pPr>
        <w:pStyle w:val="9"/>
        <w:spacing w:line="360" w:lineRule="auto"/>
        <w:ind w:firstLine="420" w:firstLineChars="200"/>
      </w:pPr>
      <w:r>
        <w:rPr>
          <w:rFonts w:hint="eastAsia"/>
        </w:rPr>
        <w:t>逾期的投标文件招标人不予受理。</w:t>
      </w:r>
    </w:p>
    <w:p>
      <w:pPr>
        <w:pStyle w:val="9"/>
        <w:spacing w:line="360" w:lineRule="auto"/>
        <w:ind w:firstLine="422" w:firstLineChars="200"/>
        <w:rPr>
          <w:b/>
        </w:rPr>
      </w:pPr>
      <w:r>
        <w:rPr>
          <w:rFonts w:hint="eastAsia"/>
          <w:b/>
        </w:rPr>
        <w:t>2.投标文件格式</w:t>
      </w:r>
    </w:p>
    <w:p>
      <w:pPr>
        <w:pStyle w:val="9"/>
        <w:spacing w:line="360" w:lineRule="auto"/>
        <w:ind w:firstLine="420" w:firstLineChars="200"/>
      </w:pPr>
      <w:r>
        <w:rPr>
          <w:rFonts w:hint="eastAsia"/>
        </w:rPr>
        <w:t>详见本招标文件“第二章 投标文件编制”，请投标人按格式要求进行填写。</w:t>
      </w:r>
    </w:p>
    <w:p>
      <w:pPr>
        <w:pStyle w:val="9"/>
        <w:spacing w:line="360" w:lineRule="auto"/>
        <w:ind w:firstLine="422" w:firstLineChars="200"/>
        <w:rPr>
          <w:b/>
        </w:rPr>
      </w:pPr>
      <w:r>
        <w:rPr>
          <w:rFonts w:hint="eastAsia"/>
          <w:b/>
        </w:rPr>
        <w:t>3.报价：</w:t>
      </w:r>
    </w:p>
    <w:p>
      <w:pPr>
        <w:pStyle w:val="9"/>
        <w:spacing w:line="360" w:lineRule="auto"/>
        <w:ind w:left="630" w:leftChars="200" w:hanging="210" w:hangingChars="100"/>
      </w:pPr>
      <w:r>
        <w:rPr>
          <w:rFonts w:hint="eastAsia" w:hAnsi="宋体"/>
        </w:rPr>
        <w:t>⑴</w:t>
      </w:r>
      <w:r>
        <w:rPr>
          <w:rFonts w:hint="eastAsia"/>
        </w:rPr>
        <w:t>本次招标为</w:t>
      </w:r>
      <w:r>
        <w:rPr>
          <w:rFonts w:hint="eastAsia"/>
          <w:b/>
          <w:bCs/>
        </w:rPr>
        <w:t>公开招标</w:t>
      </w:r>
      <w:r>
        <w:rPr>
          <w:rFonts w:hint="eastAsia"/>
        </w:rPr>
        <w:t>，报价应为：</w:t>
      </w:r>
    </w:p>
    <w:p>
      <w:pPr>
        <w:pStyle w:val="9"/>
        <w:spacing w:line="360" w:lineRule="auto"/>
        <w:ind w:firstLine="420" w:firstLineChars="200"/>
      </w:pPr>
      <w:r>
        <w:rPr>
          <w:rFonts w:hint="eastAsia"/>
        </w:rPr>
        <w:t>经与招标人或其指派的答疑人员充分沟通确认基础上，由投标人在满足招标人所提出的、与本项目所有相关环节有关的所有费用；</w:t>
      </w:r>
    </w:p>
    <w:p>
      <w:pPr>
        <w:pStyle w:val="9"/>
        <w:spacing w:line="360" w:lineRule="auto"/>
        <w:ind w:firstLine="420" w:firstLineChars="200"/>
      </w:pPr>
      <w:r>
        <w:rPr>
          <w:rFonts w:hint="eastAsia"/>
        </w:rPr>
        <w:t>详见本招标书之“第二章 投标文件编制”之“三、投标文件格式要求”之“格式3”。</w:t>
      </w:r>
    </w:p>
    <w:p>
      <w:pPr>
        <w:pStyle w:val="9"/>
        <w:spacing w:line="360" w:lineRule="auto"/>
        <w:ind w:firstLine="420" w:firstLineChars="200"/>
      </w:pPr>
      <w:r>
        <w:rPr>
          <w:rFonts w:hint="eastAsia" w:hAnsi="宋体"/>
        </w:rPr>
        <w:t>⑵按包分类，所投标包的标的物必须全部报价，否则投标视为无效；</w:t>
      </w:r>
      <w:r>
        <w:rPr>
          <w:rFonts w:hint="eastAsia"/>
        </w:rPr>
        <w:t>所有报价货币单位为：</w:t>
      </w:r>
      <w:r>
        <w:rPr>
          <w:rFonts w:hint="eastAsia"/>
          <w:u w:val="single"/>
        </w:rPr>
        <w:t xml:space="preserve">    </w:t>
      </w:r>
      <w:r>
        <w:rPr>
          <w:rFonts w:hint="eastAsia"/>
        </w:rPr>
        <w:t xml:space="preserve"> 元（人民币），</w:t>
      </w:r>
      <w:r>
        <w:rPr>
          <w:rFonts w:hint="eastAsia"/>
          <w:b/>
          <w:bCs/>
        </w:rPr>
        <w:t>不含税，报价明确税率</w:t>
      </w:r>
      <w:r>
        <w:rPr>
          <w:rFonts w:hint="eastAsia"/>
        </w:rPr>
        <w:t>；</w:t>
      </w:r>
    </w:p>
    <w:p>
      <w:pPr>
        <w:pStyle w:val="9"/>
        <w:spacing w:line="360" w:lineRule="auto"/>
        <w:ind w:firstLine="420" w:firstLineChars="200"/>
      </w:pPr>
      <w:r>
        <w:rPr>
          <w:rFonts w:hint="eastAsia" w:hAnsi="宋体"/>
        </w:rPr>
        <w:t>⑶付款</w:t>
      </w:r>
      <w:r>
        <w:rPr>
          <w:rFonts w:hint="eastAsia"/>
        </w:rPr>
        <w:t>结算方式：</w:t>
      </w:r>
      <w:r>
        <w:rPr>
          <w:rFonts w:hint="eastAsia"/>
          <w:b/>
          <w:bCs/>
          <w:lang w:eastAsia="zh-CN"/>
        </w:rPr>
        <w:t>半年期商业汇票</w:t>
      </w:r>
      <w:r>
        <w:rPr>
          <w:rFonts w:hint="eastAsia"/>
          <w:lang w:eastAsia="zh-CN"/>
        </w:rPr>
        <w:t>（商业汇票包括银承和商承）</w:t>
      </w:r>
      <w:r>
        <w:rPr>
          <w:rFonts w:hint="eastAsia"/>
        </w:rPr>
        <w:t>。</w:t>
      </w:r>
    </w:p>
    <w:p>
      <w:pPr>
        <w:pStyle w:val="9"/>
        <w:spacing w:line="360" w:lineRule="auto"/>
        <w:ind w:firstLine="420"/>
      </w:pPr>
      <w:r>
        <w:rPr>
          <w:rFonts w:hint="eastAsia" w:hAnsi="宋体"/>
        </w:rPr>
        <w:t>⑷</w:t>
      </w:r>
      <w:r>
        <w:rPr>
          <w:rFonts w:hint="eastAsia"/>
          <w:b/>
          <w:bCs/>
        </w:rPr>
        <w:t>高于项目预算</w:t>
      </w:r>
      <w:r>
        <w:rPr>
          <w:rFonts w:hint="eastAsia"/>
        </w:rPr>
        <w:t>的</w:t>
      </w:r>
      <w:r>
        <w:rPr>
          <w:rFonts w:hint="eastAsia"/>
          <w:b/>
          <w:bCs/>
        </w:rPr>
        <w:t>报价无效</w:t>
      </w:r>
      <w:r>
        <w:rPr>
          <w:rFonts w:hint="eastAsia"/>
        </w:rPr>
        <w:t>，</w:t>
      </w:r>
      <w:r>
        <w:rPr>
          <w:rFonts w:hint="eastAsia"/>
          <w:lang w:eastAsia="zh-CN"/>
        </w:rPr>
        <w:t>投标人</w:t>
      </w:r>
      <w:r>
        <w:rPr>
          <w:rFonts w:hint="eastAsia"/>
          <w:b/>
          <w:bCs/>
          <w:lang w:eastAsia="zh-CN"/>
        </w:rPr>
        <w:t>分项报价高于目标价报价无效</w:t>
      </w:r>
      <w:r>
        <w:rPr>
          <w:rFonts w:hint="eastAsia"/>
          <w:lang w:eastAsia="zh-CN"/>
        </w:rPr>
        <w:t>，</w:t>
      </w:r>
      <w:r>
        <w:rPr>
          <w:rFonts w:hint="eastAsia"/>
        </w:rPr>
        <w:t>按投标人主动弃标处理。</w:t>
      </w:r>
    </w:p>
    <w:p>
      <w:pPr>
        <w:pStyle w:val="9"/>
        <w:spacing w:line="360" w:lineRule="auto"/>
        <w:ind w:firstLine="422" w:firstLineChars="200"/>
        <w:rPr>
          <w:b/>
        </w:rPr>
      </w:pPr>
      <w:r>
        <w:rPr>
          <w:rFonts w:hint="eastAsia"/>
          <w:b/>
        </w:rPr>
        <w:t>4.技术规范及服务</w:t>
      </w:r>
    </w:p>
    <w:p>
      <w:pPr>
        <w:pStyle w:val="9"/>
        <w:spacing w:line="360" w:lineRule="auto"/>
        <w:ind w:firstLine="420" w:firstLineChars="200"/>
      </w:pPr>
      <w:r>
        <w:rPr>
          <w:rFonts w:hint="eastAsia"/>
        </w:rPr>
        <w:t>⑴投标人应与招标人指派的答疑人员充分沟通，理解认可并接受相关技术规范及服务要求。</w:t>
      </w:r>
    </w:p>
    <w:p>
      <w:pPr>
        <w:pStyle w:val="9"/>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pPr>
        <w:pStyle w:val="9"/>
        <w:spacing w:line="360" w:lineRule="auto"/>
        <w:ind w:firstLine="422" w:firstLineChars="200"/>
        <w:rPr>
          <w:b/>
        </w:rPr>
      </w:pPr>
      <w:r>
        <w:rPr>
          <w:rFonts w:hint="eastAsia"/>
          <w:b/>
        </w:rPr>
        <w:t>5.其他</w:t>
      </w:r>
    </w:p>
    <w:p>
      <w:pPr>
        <w:pStyle w:val="9"/>
        <w:spacing w:line="360" w:lineRule="auto"/>
        <w:ind w:firstLine="420" w:firstLineChars="200"/>
      </w:pPr>
      <w:r>
        <w:rPr>
          <w:rFonts w:hint="eastAsia"/>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投标文件编制”之“相关条款偏离表（含商务偏离及技术偏离）”中注明“不接受”字，招标人将视之为主动弃标。</w:t>
      </w:r>
    </w:p>
    <w:p>
      <w:pPr>
        <w:pStyle w:val="9"/>
        <w:spacing w:line="360" w:lineRule="auto"/>
        <w:ind w:firstLine="420" w:firstLineChars="200"/>
      </w:pPr>
      <w:r>
        <w:rPr>
          <w:rFonts w:hint="eastAsia"/>
        </w:rPr>
        <w:t>其余未尽事宜，均按合同约定。</w:t>
      </w:r>
    </w:p>
    <w:p>
      <w:pPr>
        <w:pStyle w:val="9"/>
        <w:spacing w:line="360" w:lineRule="auto"/>
        <w:ind w:firstLine="422" w:firstLineChars="200"/>
        <w:rPr>
          <w:b/>
        </w:rPr>
      </w:pPr>
      <w:r>
        <w:rPr>
          <w:rFonts w:hint="eastAsia"/>
          <w:b/>
        </w:rPr>
        <w:t>6.要求招标人或相关合同签订单位提供的配合，在标书文件中说明。</w:t>
      </w:r>
    </w:p>
    <w:p>
      <w:pPr>
        <w:pStyle w:val="9"/>
        <w:spacing w:line="360" w:lineRule="auto"/>
        <w:rPr>
          <w:rFonts w:ascii="黑体" w:eastAsia="黑体"/>
          <w:b/>
          <w:bCs/>
          <w:sz w:val="28"/>
        </w:rPr>
      </w:pPr>
      <w:r>
        <w:rPr>
          <w:rFonts w:hint="eastAsia" w:ascii="黑体" w:eastAsia="黑体"/>
          <w:b/>
          <w:bCs/>
          <w:sz w:val="28"/>
        </w:rPr>
        <w:t>七、投标、开标、评标</w:t>
      </w:r>
    </w:p>
    <w:p>
      <w:pPr>
        <w:pStyle w:val="9"/>
        <w:spacing w:line="360" w:lineRule="auto"/>
        <w:ind w:firstLine="420" w:firstLineChars="200"/>
      </w:pPr>
      <w:r>
        <w:rPr>
          <w:rFonts w:hint="eastAsia"/>
        </w:rPr>
        <w:t>1.投标保证金：</w:t>
      </w:r>
    </w:p>
    <w:p>
      <w:pPr>
        <w:pStyle w:val="9"/>
        <w:spacing w:line="360" w:lineRule="auto"/>
        <w:ind w:firstLine="420" w:firstLineChars="200"/>
      </w:pPr>
      <w:r>
        <w:rPr>
          <w:rFonts w:hint="eastAsia" w:hAnsi="宋体"/>
        </w:rPr>
        <w:t>⑴</w:t>
      </w:r>
      <w:r>
        <w:rPr>
          <w:rFonts w:hint="eastAsia"/>
        </w:rPr>
        <w:t>投标人向招标人财务部门缴纳</w:t>
      </w:r>
      <w:r>
        <w:rPr>
          <w:rFonts w:hint="eastAsia"/>
          <w:u w:val="single"/>
        </w:rPr>
        <w:t>20000元</w:t>
      </w:r>
      <w:r>
        <w:rPr>
          <w:rFonts w:hint="eastAsia"/>
        </w:rPr>
        <w:t>（人民币），作为投标人本次投标的保证金。</w:t>
      </w:r>
    </w:p>
    <w:p>
      <w:pPr>
        <w:pStyle w:val="9"/>
        <w:spacing w:line="360" w:lineRule="auto"/>
        <w:ind w:firstLine="420" w:firstLineChars="200"/>
      </w:pPr>
      <w:r>
        <w:rPr>
          <w:rFonts w:hint="eastAsia" w:hAnsi="宋体"/>
        </w:rPr>
        <w:t>⑵</w:t>
      </w:r>
      <w:r>
        <w:rPr>
          <w:rFonts w:hint="eastAsia"/>
        </w:rPr>
        <w:t>缴纳方式：基本账户转账；</w:t>
      </w:r>
    </w:p>
    <w:p>
      <w:pPr>
        <w:pStyle w:val="9"/>
        <w:spacing w:line="360" w:lineRule="auto"/>
        <w:ind w:firstLine="420" w:firstLineChars="200"/>
      </w:pPr>
      <w:r>
        <w:rPr>
          <w:rFonts w:hint="eastAsia" w:hAnsi="宋体"/>
        </w:rPr>
        <w:t>⑶</w:t>
      </w:r>
      <w:r>
        <w:rPr>
          <w:rFonts w:hint="eastAsia"/>
        </w:rPr>
        <w:t>接收单位：中国重汽集团</w:t>
      </w:r>
      <w:r>
        <w:rPr>
          <w:rFonts w:hint="eastAsia" w:hAnsi="宋体"/>
        </w:rPr>
        <w:t>济南特种车有限公司</w:t>
      </w:r>
      <w:r>
        <w:rPr>
          <w:rFonts w:hint="eastAsia"/>
        </w:rPr>
        <w:t>；</w:t>
      </w:r>
    </w:p>
    <w:p>
      <w:pPr>
        <w:pStyle w:val="9"/>
        <w:spacing w:line="360" w:lineRule="auto"/>
        <w:ind w:firstLine="420" w:firstLineChars="200"/>
      </w:pPr>
      <w:r>
        <w:rPr>
          <w:rFonts w:hint="eastAsia" w:hAnsi="宋体"/>
        </w:rPr>
        <w:t>⑷</w:t>
      </w:r>
      <w:r>
        <w:rPr>
          <w:rFonts w:hint="eastAsia"/>
        </w:rPr>
        <w:t>转账信息：</w:t>
      </w:r>
    </w:p>
    <w:tbl>
      <w:tblPr>
        <w:tblStyle w:val="1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pPr>
              <w:pStyle w:val="9"/>
              <w:spacing w:line="360" w:lineRule="auto"/>
              <w:ind w:firstLine="420" w:firstLineChars="200"/>
              <w:rPr>
                <w:rFonts w:ascii="Times New Roman" w:hAnsi="宋体"/>
                <w:bCs/>
                <w:sz w:val="24"/>
                <w:szCs w:val="24"/>
              </w:rPr>
            </w:pPr>
            <w:r>
              <w:rPr>
                <w:rFonts w:hint="eastAsia"/>
              </w:rPr>
              <w:t>开户银行：中信银行济南舜耕支行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pPr>
              <w:pStyle w:val="9"/>
              <w:spacing w:line="360" w:lineRule="auto"/>
              <w:ind w:firstLine="420" w:firstLineChars="200"/>
            </w:pPr>
            <w:r>
              <w:rPr>
                <w:rFonts w:hint="eastAsia"/>
              </w:rPr>
              <w:t>户名：中国重汽集团济南特种车有限公司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pPr>
              <w:pStyle w:val="9"/>
              <w:spacing w:line="360" w:lineRule="auto"/>
              <w:ind w:firstLine="420" w:firstLineChars="200"/>
            </w:pPr>
            <w:r>
              <w:rPr>
                <w:rFonts w:hint="eastAsia"/>
              </w:rPr>
              <w:t>账号：7372 6101 8260 0060 547</w:t>
            </w:r>
          </w:p>
        </w:tc>
      </w:tr>
    </w:tbl>
    <w:p>
      <w:pPr>
        <w:pStyle w:val="9"/>
        <w:spacing w:line="360" w:lineRule="auto"/>
        <w:ind w:firstLine="420" w:firstLineChars="200"/>
      </w:pPr>
      <w:r>
        <w:rPr>
          <w:rFonts w:hint="eastAsia"/>
        </w:rPr>
        <w:t>⑸说明：</w:t>
      </w:r>
    </w:p>
    <w:p>
      <w:pPr>
        <w:pStyle w:val="9"/>
        <w:spacing w:line="360" w:lineRule="auto"/>
        <w:ind w:firstLine="420" w:firstLineChars="200"/>
      </w:pPr>
      <w:r>
        <w:rPr>
          <w:rFonts w:hint="eastAsia"/>
        </w:rPr>
        <w:t xml:space="preserve">(a) </w:t>
      </w:r>
      <w:r>
        <w:rPr>
          <w:rFonts w:hint="eastAsia"/>
          <w:b/>
        </w:rPr>
        <w:t>中国重汽集团</w:t>
      </w:r>
      <w:r>
        <w:rPr>
          <w:rFonts w:hint="eastAsia" w:hAnsi="宋体"/>
          <w:b/>
        </w:rPr>
        <w:t>济南特种车有限公司</w:t>
      </w:r>
      <w:r>
        <w:rPr>
          <w:rFonts w:hint="eastAsia"/>
          <w:b/>
        </w:rPr>
        <w:t>的账户为招标人明确收取或按照本文件要求扣除投标人保证金的账户。</w:t>
      </w:r>
      <w:r>
        <w:rPr>
          <w:rFonts w:hint="eastAsia"/>
        </w:rPr>
        <w:t>投标人无正当理由随意放弃投标、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w:t>
      </w:r>
      <w:r>
        <w:t>在</w:t>
      </w:r>
      <w:r>
        <w:rPr>
          <w:rFonts w:hint="eastAsia"/>
        </w:rPr>
        <w:t>确定中标人</w:t>
      </w:r>
      <w:r>
        <w:t>后</w:t>
      </w:r>
      <w:r>
        <w:rPr>
          <w:rFonts w:hint="eastAsia"/>
          <w:u w:val="single"/>
        </w:rPr>
        <w:t>1个付款周期</w:t>
      </w:r>
      <w:r>
        <w:rPr>
          <w:rFonts w:hint="eastAsia"/>
          <w:u w:val="single"/>
          <w:lang w:eastAsia="zh-CN"/>
        </w:rPr>
        <w:t>后</w:t>
      </w:r>
      <w:r>
        <w:rPr>
          <w:rFonts w:hint="eastAsia"/>
        </w:rPr>
        <w:t>按投标人（除中标人外）所提供的</w:t>
      </w:r>
      <w:r>
        <w:rPr>
          <w:rFonts w:hint="eastAsia" w:hAnsi="宋体"/>
        </w:rPr>
        <w:t>投标保证金退付表（详见本招标书“第二章 投标文件编制”之“三、 投标文件格式要求”之格式10相关要求）</w:t>
      </w:r>
      <w:r>
        <w:rPr>
          <w:rFonts w:hint="eastAsia"/>
        </w:rPr>
        <w:t>退还</w:t>
      </w:r>
      <w:r>
        <w:t>投标保证金</w:t>
      </w:r>
      <w:r>
        <w:rPr>
          <w:rFonts w:hint="eastAsia"/>
        </w:rPr>
        <w:t>（本金，不计息）。</w:t>
      </w:r>
    </w:p>
    <w:p>
      <w:pPr>
        <w:pStyle w:val="9"/>
        <w:spacing w:line="360" w:lineRule="auto"/>
        <w:ind w:firstLine="420" w:firstLineChars="200"/>
      </w:pPr>
      <w:r>
        <w:rPr>
          <w:rFonts w:hint="eastAsia"/>
        </w:rPr>
        <w:t>(b)投标人在向招标人出示《投标保证金缴纳凭证》后方可进行投标。</w:t>
      </w:r>
    </w:p>
    <w:p>
      <w:pPr>
        <w:pStyle w:val="9"/>
        <w:spacing w:line="360" w:lineRule="auto"/>
        <w:ind w:firstLine="420" w:firstLineChars="200"/>
      </w:pPr>
      <w:r>
        <w:rPr>
          <w:rFonts w:hint="eastAsia"/>
        </w:rPr>
        <w:t>(c)发生以下情况时，招标人有权没收保证金：</w:t>
      </w:r>
    </w:p>
    <w:p>
      <w:pPr>
        <w:pStyle w:val="9"/>
        <w:spacing w:line="360" w:lineRule="auto"/>
        <w:ind w:firstLine="420" w:firstLineChars="200"/>
      </w:pPr>
      <w:r>
        <w:rPr>
          <w:rFonts w:hint="eastAsia"/>
        </w:rPr>
        <w:t>a）截至开标前3天，投标人无正当理由、未以书面形式递交说明而在投标截止日不来的；</w:t>
      </w:r>
    </w:p>
    <w:p>
      <w:pPr>
        <w:pStyle w:val="9"/>
        <w:spacing w:line="360" w:lineRule="auto"/>
        <w:ind w:firstLine="420" w:firstLineChars="200"/>
      </w:pPr>
      <w:r>
        <w:rPr>
          <w:rFonts w:hint="eastAsia"/>
        </w:rPr>
        <w:t>b）投标人递送投标文件后，无正当理由放弃投标的；</w:t>
      </w:r>
    </w:p>
    <w:p>
      <w:pPr>
        <w:pStyle w:val="9"/>
        <w:spacing w:line="360" w:lineRule="auto"/>
        <w:ind w:firstLine="420" w:firstLineChars="200"/>
      </w:pPr>
      <w:r>
        <w:rPr>
          <w:rFonts w:hint="eastAsia"/>
        </w:rPr>
        <w:t>c）自中标通知书发出之日起30日内，中标人无正当理由不签订合同的；</w:t>
      </w:r>
    </w:p>
    <w:p>
      <w:pPr>
        <w:pStyle w:val="9"/>
        <w:spacing w:line="360" w:lineRule="auto"/>
        <w:ind w:firstLine="420" w:firstLineChars="200"/>
      </w:pPr>
      <w:r>
        <w:rPr>
          <w:rFonts w:hint="eastAsia"/>
        </w:rPr>
        <w:t>d）投标人在投标过程中被查实有串标、围标、陪标等违规违纪行为的；</w:t>
      </w:r>
    </w:p>
    <w:p>
      <w:pPr>
        <w:pStyle w:val="9"/>
        <w:spacing w:line="360" w:lineRule="auto"/>
        <w:ind w:firstLine="420" w:firstLineChars="200"/>
      </w:pPr>
      <w:r>
        <w:rPr>
          <w:rFonts w:hint="eastAsia"/>
        </w:rPr>
        <w:t>e）投标人有违约违规行为或被投诉、举报的，在调查处理期间，保证金暂不退还，待调查处理结束后按有关规定处理。</w:t>
      </w:r>
    </w:p>
    <w:p>
      <w:pPr>
        <w:pStyle w:val="9"/>
        <w:spacing w:line="360" w:lineRule="auto"/>
        <w:ind w:firstLine="420" w:firstLineChars="200"/>
        <w:rPr>
          <w:rFonts w:hint="eastAsia"/>
        </w:rPr>
      </w:pPr>
      <w:r>
        <w:rPr>
          <w:rFonts w:hint="eastAsia"/>
        </w:rPr>
        <w:t>2.开标</w:t>
      </w:r>
    </w:p>
    <w:p>
      <w:pPr>
        <w:pStyle w:val="9"/>
        <w:spacing w:line="360" w:lineRule="auto"/>
        <w:ind w:firstLine="420" w:firstLineChars="200"/>
        <w:rPr>
          <w:b/>
          <w:bCs/>
        </w:rPr>
      </w:pPr>
      <w:r>
        <w:rPr>
          <w:rFonts w:hint="eastAsia"/>
        </w:rPr>
        <w:t>所有报价货币单位均为：</w:t>
      </w:r>
      <w:r>
        <w:rPr>
          <w:rFonts w:hint="eastAsia"/>
          <w:b/>
          <w:bCs/>
        </w:rPr>
        <w:t>元（人民币，不含税）。</w:t>
      </w:r>
    </w:p>
    <w:p>
      <w:r>
        <w:rPr>
          <w:rFonts w:hint="eastAsia"/>
        </w:rPr>
        <w:t xml:space="preserve">    投标文件的澄清</w:t>
      </w:r>
    </w:p>
    <w:p>
      <w:r>
        <w:rPr>
          <w:rFonts w:hint="eastAsia"/>
        </w:rPr>
        <w:t xml:space="preserve">    </w:t>
      </w:r>
      <w:r>
        <w:t>1</w:t>
      </w:r>
      <w:r>
        <w:rPr>
          <w:rFonts w:hint="eastAsia"/>
        </w:rPr>
        <w:t>)为有助于对投标文件的审查、评价和比较，招标人可分别要求投标人对其投标文件进行澄清。投标人应按照招标人通知的时间、地点派技术和商务人员进行答疑和澄清。</w:t>
      </w:r>
    </w:p>
    <w:p>
      <w:r>
        <w:rPr>
          <w:rFonts w:hint="eastAsia"/>
        </w:rPr>
        <w:t xml:space="preserve">    </w:t>
      </w:r>
      <w:r>
        <w:t>2</w:t>
      </w:r>
      <w:r>
        <w:rPr>
          <w:rFonts w:hint="eastAsia"/>
        </w:rPr>
        <w:t>)必要时招标人可要求投标人就澄清的问题作书面回答，该书面回答应有投标授权代表的签章，并将作为投标内容的一部分。</w:t>
      </w:r>
    </w:p>
    <w:p>
      <w:pPr>
        <w:pStyle w:val="9"/>
        <w:spacing w:line="360" w:lineRule="auto"/>
        <w:ind w:firstLine="420" w:firstLineChars="200"/>
      </w:pPr>
      <w:r>
        <w:rPr>
          <w:rFonts w:hint="eastAsia"/>
        </w:rPr>
        <w:t>3.评标</w:t>
      </w:r>
    </w:p>
    <w:p>
      <w:pPr>
        <w:pStyle w:val="9"/>
        <w:spacing w:line="360" w:lineRule="auto"/>
        <w:ind w:firstLine="420" w:firstLineChars="200"/>
      </w:pPr>
      <w:r>
        <w:rPr>
          <w:rFonts w:hint="eastAsia"/>
        </w:rPr>
        <w:t>招标人将根据本项目的特点组建评标委员会，评标委员会负责对投标文件进行审查、质疑、评标，提出书面评标报告，并向招标人推荐中标候选人排序名单。评标委员会本着公平、公正、公开、有序的原则，在最大限度地满足招标文件实质性要求的前提下，按照招标文件中规定的各项因素进行综合评审。</w:t>
      </w:r>
    </w:p>
    <w:p>
      <w:pPr>
        <w:pStyle w:val="9"/>
        <w:spacing w:line="360" w:lineRule="auto"/>
        <w:ind w:firstLine="422" w:firstLineChars="200"/>
      </w:pPr>
      <w:r>
        <w:rPr>
          <w:rFonts w:hint="eastAsia"/>
          <w:b/>
        </w:rPr>
        <w:t>投标前请各投标方按照标书技术要求对项目方案进行充分准备，有意投标的单位应默认认同上述开标、评标过程，无异议。</w:t>
      </w:r>
      <w:r>
        <w:rPr>
          <w:rFonts w:hint="eastAsia" w:hAnsi="宋体"/>
          <w:b/>
          <w:szCs w:val="21"/>
        </w:rPr>
        <w:t>对未入围投标方及未中标人不做任何解释</w:t>
      </w:r>
      <w:r>
        <w:rPr>
          <w:rFonts w:hint="eastAsia"/>
        </w:rPr>
        <w:t>。</w:t>
      </w:r>
    </w:p>
    <w:p>
      <w:pPr>
        <w:pStyle w:val="9"/>
        <w:numPr>
          <w:ilvl w:val="0"/>
          <w:numId w:val="2"/>
        </w:numPr>
        <w:spacing w:line="360" w:lineRule="auto"/>
        <w:ind w:firstLine="420" w:firstLineChars="200"/>
        <w:rPr>
          <w:rFonts w:hint="eastAsia" w:hAnsi="宋体"/>
          <w:szCs w:val="21"/>
        </w:rPr>
      </w:pPr>
      <w:r>
        <w:rPr>
          <w:rFonts w:hint="eastAsia" w:hAnsi="宋体"/>
          <w:szCs w:val="21"/>
        </w:rPr>
        <w:t>评分标准</w:t>
      </w:r>
    </w:p>
    <w:p>
      <w:pPr>
        <w:spacing w:line="360" w:lineRule="auto"/>
        <w:ind w:firstLine="472" w:firstLineChars="225"/>
        <w:rPr>
          <w:rFonts w:hint="eastAsia" w:ascii="宋体" w:hAnsi="Courier New" w:eastAsia="宋体" w:cstheme="minorBidi"/>
          <w:kern w:val="2"/>
          <w:sz w:val="21"/>
          <w:szCs w:val="22"/>
          <w:lang w:val="en-US" w:eastAsia="zh-CN" w:bidi="ar-SA"/>
        </w:rPr>
      </w:pPr>
      <w:r>
        <w:rPr>
          <w:rFonts w:hint="eastAsia" w:ascii="宋体" w:hAnsi="Courier New" w:eastAsia="宋体" w:cstheme="minorBidi"/>
          <w:kern w:val="2"/>
          <w:sz w:val="21"/>
          <w:szCs w:val="22"/>
          <w:lang w:val="en-US" w:eastAsia="zh-CN" w:bidi="ar-SA"/>
        </w:rPr>
        <w:t>评标委员评审小组专家成员先进行技术标、后进行商务标。评审小组成员根据要求分别按照技术评分标准进行技术评议，技术讲解以介绍样品为主，根据技术评议结果择优进入商务评标，技术评分低于80分以下者淘汰，技术标得分不带入商务标评议，商务标不再进行打分。</w:t>
      </w:r>
      <w:r>
        <w:rPr>
          <w:rFonts w:hint="eastAsia" w:ascii="宋体" w:hAnsi="Courier New" w:cstheme="minorBidi"/>
          <w:kern w:val="2"/>
          <w:sz w:val="21"/>
          <w:szCs w:val="22"/>
          <w:lang w:val="en-US" w:eastAsia="zh-CN" w:bidi="ar-SA"/>
        </w:rPr>
        <w:t>商务标</w:t>
      </w:r>
      <w:r>
        <w:rPr>
          <w:rFonts w:hint="eastAsia" w:ascii="宋体" w:hAnsi="Courier New" w:eastAsia="宋体" w:cstheme="minorBidi"/>
          <w:kern w:val="2"/>
          <w:sz w:val="21"/>
          <w:szCs w:val="22"/>
          <w:lang w:val="en-US" w:eastAsia="zh-CN" w:bidi="ar-SA"/>
        </w:rPr>
        <w:t>投标方报价为各分项单价，中标结</w:t>
      </w:r>
      <w:r>
        <w:rPr>
          <w:rFonts w:hint="eastAsia" w:ascii="宋体" w:hAnsi="Courier New" w:eastAsia="宋体" w:cstheme="minorBidi"/>
          <w:b w:val="0"/>
          <w:bCs w:val="0"/>
          <w:kern w:val="2"/>
          <w:sz w:val="21"/>
          <w:szCs w:val="22"/>
          <w:lang w:val="en-US" w:eastAsia="zh-CN" w:bidi="ar-SA"/>
        </w:rPr>
        <w:t>果</w:t>
      </w:r>
      <w:r>
        <w:rPr>
          <w:rFonts w:hint="eastAsia" w:ascii="宋体" w:hAnsi="Courier New" w:eastAsia="宋体" w:cstheme="minorBidi"/>
          <w:b w:val="0"/>
          <w:bCs w:val="0"/>
          <w:kern w:val="2"/>
          <w:sz w:val="21"/>
          <w:szCs w:val="22"/>
          <w:highlight w:val="none"/>
          <w:lang w:val="en-US" w:eastAsia="zh-CN" w:bidi="ar-SA"/>
        </w:rPr>
        <w:t>以</w:t>
      </w:r>
      <w:r>
        <w:rPr>
          <w:rFonts w:hint="eastAsia" w:ascii="宋体" w:hAnsi="Courier New" w:eastAsia="宋体" w:cstheme="minorBidi"/>
          <w:b/>
          <w:bCs/>
          <w:kern w:val="2"/>
          <w:sz w:val="21"/>
          <w:szCs w:val="22"/>
          <w:highlight w:val="none"/>
          <w:lang w:val="en-US" w:eastAsia="zh-CN" w:bidi="ar-SA"/>
        </w:rPr>
        <w:t>分项报价汇总价最低</w:t>
      </w:r>
      <w:r>
        <w:rPr>
          <w:rFonts w:hint="eastAsia" w:ascii="宋体" w:hAnsi="Courier New" w:eastAsia="宋体" w:cstheme="minorBidi"/>
          <w:kern w:val="2"/>
          <w:sz w:val="21"/>
          <w:szCs w:val="22"/>
          <w:lang w:val="en-US" w:eastAsia="zh-CN" w:bidi="ar-SA"/>
        </w:rPr>
        <w:t>执行，本次招标只产生</w:t>
      </w:r>
      <w:r>
        <w:rPr>
          <w:rFonts w:hint="eastAsia" w:ascii="宋体" w:hAnsi="Courier New" w:eastAsia="宋体" w:cstheme="minorBidi"/>
          <w:b/>
          <w:bCs/>
          <w:kern w:val="2"/>
          <w:sz w:val="21"/>
          <w:szCs w:val="22"/>
          <w:lang w:val="en-US" w:eastAsia="zh-CN" w:bidi="ar-SA"/>
        </w:rPr>
        <w:t>一个中标单位。</w:t>
      </w:r>
    </w:p>
    <w:tbl>
      <w:tblPr>
        <w:tblStyle w:val="18"/>
        <w:tblpPr w:leftFromText="180" w:rightFromText="180" w:vertAnchor="text" w:horzAnchor="page" w:tblpXSpec="center" w:tblpY="414"/>
        <w:tblOverlap w:val="never"/>
        <w:tblW w:w="109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228"/>
        <w:gridCol w:w="1409"/>
        <w:gridCol w:w="6776"/>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both"/>
              <w:textAlignment w:val="center"/>
              <w:rPr>
                <w:rFonts w:ascii="Microsoft YaHei Light" w:hAnsi="Microsoft YaHei Light" w:eastAsia="Microsoft YaHei Light" w:cs="Microsoft YaHei Light"/>
                <w:b/>
                <w:bCs/>
                <w:i w:val="0"/>
                <w:iCs w:val="0"/>
                <w:color w:val="000000"/>
                <w:sz w:val="22"/>
                <w:szCs w:val="22"/>
                <w:u w:val="none"/>
              </w:rPr>
            </w:pPr>
            <w:bookmarkStart w:id="0" w:name="OLE_LINK4"/>
            <w:r>
              <w:rPr>
                <w:rFonts w:hint="default" w:ascii="Microsoft YaHei Light" w:hAnsi="Microsoft YaHei Light" w:eastAsia="Microsoft YaHei Light" w:cs="Microsoft YaHei Light"/>
                <w:b/>
                <w:bCs/>
                <w:i w:val="0"/>
                <w:iCs w:val="0"/>
                <w:color w:val="000000"/>
                <w:kern w:val="0"/>
                <w:sz w:val="22"/>
                <w:szCs w:val="22"/>
                <w:u w:val="none"/>
                <w:lang w:val="en-US" w:eastAsia="zh-CN" w:bidi="ar"/>
              </w:rPr>
              <w:t>序号</w:t>
            </w:r>
          </w:p>
        </w:tc>
        <w:tc>
          <w:tcPr>
            <w:tcW w:w="1228"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default" w:ascii="Microsoft YaHei Light" w:hAnsi="Microsoft YaHei Light" w:eastAsia="Microsoft YaHei Light" w:cs="Microsoft YaHei Light"/>
                <w:b/>
                <w:bCs/>
                <w:i w:val="0"/>
                <w:iCs w:val="0"/>
                <w:color w:val="000000"/>
                <w:sz w:val="22"/>
                <w:szCs w:val="22"/>
                <w:u w:val="none"/>
              </w:rPr>
            </w:pPr>
            <w:r>
              <w:rPr>
                <w:rFonts w:hint="default" w:ascii="Microsoft YaHei Light" w:hAnsi="Microsoft YaHei Light" w:eastAsia="Microsoft YaHei Light" w:cs="Microsoft YaHei Light"/>
                <w:b/>
                <w:bCs/>
                <w:i w:val="0"/>
                <w:iCs w:val="0"/>
                <w:color w:val="000000"/>
                <w:kern w:val="0"/>
                <w:sz w:val="22"/>
                <w:szCs w:val="22"/>
                <w:u w:val="none"/>
                <w:lang w:val="en-US" w:eastAsia="zh-CN" w:bidi="ar"/>
              </w:rPr>
              <w:t>评审类别</w:t>
            </w:r>
          </w:p>
        </w:tc>
        <w:tc>
          <w:tcPr>
            <w:tcW w:w="1409"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default" w:ascii="Microsoft YaHei Light" w:hAnsi="Microsoft YaHei Light" w:eastAsia="Microsoft YaHei Light" w:cs="Microsoft YaHei Light"/>
                <w:b/>
                <w:bCs/>
                <w:i w:val="0"/>
                <w:iCs w:val="0"/>
                <w:color w:val="000000"/>
                <w:sz w:val="22"/>
                <w:szCs w:val="22"/>
                <w:u w:val="none"/>
              </w:rPr>
            </w:pPr>
            <w:r>
              <w:rPr>
                <w:rFonts w:hint="default" w:ascii="Microsoft YaHei Light" w:hAnsi="Microsoft YaHei Light" w:eastAsia="Microsoft YaHei Light" w:cs="Microsoft YaHei Light"/>
                <w:b/>
                <w:bCs/>
                <w:i w:val="0"/>
                <w:iCs w:val="0"/>
                <w:color w:val="000000"/>
                <w:kern w:val="0"/>
                <w:sz w:val="22"/>
                <w:szCs w:val="22"/>
                <w:u w:val="none"/>
                <w:lang w:val="en-US" w:eastAsia="zh-CN" w:bidi="ar"/>
              </w:rPr>
              <w:t>评审内容</w:t>
            </w:r>
          </w:p>
        </w:tc>
        <w:tc>
          <w:tcPr>
            <w:tcW w:w="6776"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default" w:ascii="Microsoft YaHei Light" w:hAnsi="Microsoft YaHei Light" w:eastAsia="Microsoft YaHei Light" w:cs="Microsoft YaHei Light"/>
                <w:b/>
                <w:bCs/>
                <w:i w:val="0"/>
                <w:iCs w:val="0"/>
                <w:color w:val="000000"/>
                <w:sz w:val="22"/>
                <w:szCs w:val="22"/>
                <w:u w:val="none"/>
              </w:rPr>
            </w:pPr>
            <w:r>
              <w:rPr>
                <w:rFonts w:hint="default" w:ascii="Microsoft YaHei Light" w:hAnsi="Microsoft YaHei Light" w:eastAsia="Microsoft YaHei Light" w:cs="Microsoft YaHei Light"/>
                <w:b/>
                <w:bCs/>
                <w:i w:val="0"/>
                <w:iCs w:val="0"/>
                <w:color w:val="000000"/>
                <w:kern w:val="0"/>
                <w:sz w:val="22"/>
                <w:szCs w:val="22"/>
                <w:u w:val="none"/>
                <w:lang w:val="en-US" w:eastAsia="zh-CN" w:bidi="ar"/>
              </w:rPr>
              <w:t>评分标准</w:t>
            </w:r>
          </w:p>
        </w:tc>
        <w:tc>
          <w:tcPr>
            <w:tcW w:w="742"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default" w:ascii="Microsoft YaHei Light" w:hAnsi="Microsoft YaHei Light" w:eastAsia="Microsoft YaHei Light" w:cs="Microsoft YaHei Light"/>
                <w:b/>
                <w:bCs/>
                <w:i w:val="0"/>
                <w:iCs w:val="0"/>
                <w:color w:val="000000"/>
                <w:sz w:val="22"/>
                <w:szCs w:val="22"/>
                <w:u w:val="none"/>
              </w:rPr>
            </w:pPr>
            <w:r>
              <w:rPr>
                <w:rFonts w:hint="default" w:ascii="Microsoft YaHei Light" w:hAnsi="Microsoft YaHei Light" w:eastAsia="Microsoft YaHei Light" w:cs="Microsoft YaHei Light"/>
                <w:b/>
                <w:bCs/>
                <w:i w:val="0"/>
                <w:iCs w:val="0"/>
                <w:color w:val="000000"/>
                <w:kern w:val="0"/>
                <w:sz w:val="22"/>
                <w:szCs w:val="22"/>
                <w:u w:val="none"/>
                <w:lang w:val="en-US" w:eastAsia="zh-CN" w:bidi="ar"/>
              </w:rPr>
              <w:t>最高得分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4"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1</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center"/>
              <w:rPr>
                <w:rFonts w:hint="default" w:hAnsi="Courier New"/>
              </w:rPr>
            </w:pPr>
            <w:r>
              <w:rPr>
                <w:rFonts w:hint="default" w:hAnsi="Courier New"/>
                <w:lang w:val="en-US" w:eastAsia="zh-CN"/>
              </w:rPr>
              <w:t>项目经验</w:t>
            </w: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1、有重汽服务经验的得2分，有重卡物流行业项目的每个案例加1分（需提供相关合同等证明材料），最高7分；</w:t>
            </w:r>
            <w:r>
              <w:rPr>
                <w:rFonts w:hint="default" w:hAnsi="Courier New"/>
                <w:lang w:val="en-US" w:eastAsia="zh-CN"/>
              </w:rPr>
              <w:br w:type="textWrapping"/>
            </w:r>
            <w:r>
              <w:rPr>
                <w:rFonts w:hint="default" w:hAnsi="Courier New"/>
                <w:lang w:val="en-US" w:eastAsia="zh-CN"/>
              </w:rPr>
              <w:t>2、投标人提供自2019年1月1日至2022年12月31日项目案例中，已实施最大的制造业物流服务项目规模，依次赋分1-3分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2</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center"/>
              <w:rPr>
                <w:rFonts w:hint="default" w:hAnsi="Courier New"/>
              </w:rPr>
            </w:pPr>
            <w:r>
              <w:rPr>
                <w:rFonts w:hint="default" w:hAnsi="Courier New"/>
                <w:lang w:val="en-US" w:eastAsia="zh-CN"/>
              </w:rPr>
              <w:t>企业规模</w:t>
            </w: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eastAsia" w:hAnsi="Courier New"/>
              </w:rPr>
            </w:pPr>
            <w:r>
              <w:rPr>
                <w:rFonts w:hint="eastAsia" w:hAnsi="Courier New"/>
                <w:lang w:val="en-US" w:eastAsia="zh-CN"/>
              </w:rPr>
              <w:t>财务报表中的现金流量表为准：</w:t>
            </w:r>
            <w:r>
              <w:rPr>
                <w:rFonts w:hint="eastAsia" w:hAnsi="Courier New"/>
                <w:lang w:val="en-US" w:eastAsia="zh-CN"/>
              </w:rPr>
              <w:br w:type="textWrapping"/>
            </w:r>
            <w:r>
              <w:rPr>
                <w:rFonts w:hint="eastAsia" w:hAnsi="Courier New"/>
                <w:lang w:val="en-US" w:eastAsia="zh-CN"/>
              </w:rPr>
              <w:t>年度现金流入流出金额小于100万得1分，100万-300万得2分，300万-1000万得3分，1000万-2000万得4分，大于2000万得5分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4</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项目资源配置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人员</w:t>
            </w: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管理架构及项目人员配置合理，满足基本运营要求得1分；有人员规划及测算依据的加2分；有物流规划专业人才队伍的，自主加分1-2分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5</w:t>
            </w: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jc w:val="left"/>
              <w:rPr>
                <w:rFonts w:hint="default" w:hAnsi="Courier New"/>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设备</w:t>
            </w: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满足基本运营要求的设备得2分；有自动化物流设备投入的，评标专家可自主加分1-3分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6</w:t>
            </w: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jc w:val="left"/>
              <w:rPr>
                <w:rFonts w:hint="default" w:hAnsi="Courier New"/>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场地</w:t>
            </w: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能提供的场地满足招标范围业务需求的得1-2分；可在中标通知发布之日15天内确定满足条件的场地位置的加3分（需进行技术澄清）</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3</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项目管理</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现场管理</w:t>
            </w: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保证现场按5S管理，有管理流程或文件要求，根据流程或文件覆盖度、详细度，自主赋分1-5分；现场目视化定制、区域标识牌等，自主赋分1-5分；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7</w:t>
            </w: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jc w:val="left"/>
              <w:rPr>
                <w:rFonts w:hint="default" w:hAnsi="Courier New"/>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作业流程设计</w:t>
            </w: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有运营范围内的作业流程文件、指导书或管理制度，如基本的仓储流程、配送流程、人员管理流程等，得5分，根据流程制度的先进性、完善性、柔性、自动化程度等综合评审、排序，自主加分1-5分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8</w:t>
            </w: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jc w:val="left"/>
              <w:rPr>
                <w:rFonts w:hint="default" w:hAnsi="Courier New"/>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紧急响应机制</w:t>
            </w: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有应急管理措施及方案的，自主赋分1-5分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9</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项目方案</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jc w:val="left"/>
              <w:rPr>
                <w:rFonts w:hint="default" w:hAnsi="Courier New"/>
              </w:rPr>
            </w:pPr>
            <w:r>
              <w:rPr>
                <w:rFonts w:hint="default" w:hAnsi="Courier New"/>
                <w:lang w:val="en-US" w:eastAsia="zh-CN"/>
              </w:rPr>
              <w:t>方案设计</w:t>
            </w:r>
            <w:r>
              <w:rPr>
                <w:rFonts w:hint="default" w:hAnsi="Courier New"/>
                <w:lang w:val="en-US" w:eastAsia="zh-CN"/>
              </w:rPr>
              <w:br w:type="textWrapping"/>
            </w:r>
            <w:r>
              <w:rPr>
                <w:rFonts w:hint="default" w:hAnsi="Courier New"/>
                <w:lang w:val="en-US" w:eastAsia="zh-CN"/>
              </w:rPr>
              <w:t>（自主赋分）</w:t>
            </w: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当前业务调研分析</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业务改善点分析及措施</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总体规划方案</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目标及预计取得效果</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p>
        </w:tc>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ind w:firstLine="420" w:firstLineChars="200"/>
              <w:rPr>
                <w:rFonts w:hint="default" w:hAnsi="Courier New"/>
              </w:rPr>
            </w:pPr>
            <w:r>
              <w:rPr>
                <w:rFonts w:hint="default" w:hAnsi="Courier New"/>
                <w:lang w:val="en-US" w:eastAsia="zh-CN"/>
              </w:rPr>
              <w:t>深度合作方案、持续降本措施</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default" w:hAnsi="Courier New"/>
              </w:rPr>
            </w:pPr>
            <w:r>
              <w:rPr>
                <w:rFonts w:hint="default" w:hAnsi="Courier New"/>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1091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360" w:lineRule="auto"/>
              <w:rPr>
                <w:rFonts w:hint="eastAsia" w:hAnsi="Courier New"/>
                <w:lang w:val="en-US" w:eastAsia="zh-CN"/>
              </w:rPr>
            </w:pPr>
            <w:r>
              <w:rPr>
                <w:rFonts w:hint="eastAsia" w:hAnsi="Courier New"/>
                <w:lang w:val="en-US" w:eastAsia="zh-CN"/>
              </w:rPr>
              <w:t>备注：</w:t>
            </w:r>
            <w:r>
              <w:rPr>
                <w:rFonts w:hint="default" w:hAnsi="Courier New"/>
                <w:lang w:val="en-US" w:eastAsia="zh-CN"/>
              </w:rPr>
              <w:t>1</w:t>
            </w:r>
            <w:r>
              <w:rPr>
                <w:rFonts w:hint="eastAsia" w:hAnsi="Courier New"/>
                <w:lang w:val="en-US" w:eastAsia="zh-CN"/>
              </w:rPr>
              <w:t>、技术标根据分项评价值总得分进行排名。</w:t>
            </w:r>
          </w:p>
          <w:p>
            <w:pPr>
              <w:pStyle w:val="9"/>
              <w:numPr>
                <w:ilvl w:val="0"/>
                <w:numId w:val="3"/>
              </w:numPr>
              <w:spacing w:line="360" w:lineRule="auto"/>
              <w:rPr>
                <w:rFonts w:hint="eastAsia" w:hAnsi="Courier New"/>
              </w:rPr>
            </w:pPr>
            <w:r>
              <w:rPr>
                <w:rFonts w:hint="eastAsia" w:hAnsi="Courier New"/>
                <w:lang w:val="en-US" w:eastAsia="zh-CN"/>
              </w:rPr>
              <w:t>投标人提交的投标文件和资料必须真实有效。合同签订前，招标人有权组织联合小组到中标候选人实地审核，如发现投标文件和资料有弄虚作假，招标人有权取消其中标候选人资格。</w:t>
            </w:r>
          </w:p>
          <w:p>
            <w:pPr>
              <w:pStyle w:val="9"/>
              <w:numPr>
                <w:ilvl w:val="0"/>
                <w:numId w:val="3"/>
              </w:numPr>
              <w:spacing w:line="360" w:lineRule="auto"/>
              <w:rPr>
                <w:rFonts w:hint="eastAsia" w:hAnsi="Courier New"/>
              </w:rPr>
            </w:pPr>
            <w:r>
              <w:rPr>
                <w:rFonts w:hint="eastAsia" w:hAnsi="Courier New"/>
                <w:lang w:val="en-US" w:eastAsia="zh-CN"/>
              </w:rPr>
              <w:t>技术标入围后，以商务标合理最低价确定中标方。</w:t>
            </w:r>
          </w:p>
          <w:p>
            <w:pPr>
              <w:pStyle w:val="9"/>
              <w:numPr>
                <w:ilvl w:val="0"/>
                <w:numId w:val="3"/>
              </w:numPr>
              <w:spacing w:line="360" w:lineRule="auto"/>
              <w:rPr>
                <w:rFonts w:hint="eastAsia" w:hAnsi="Courier New"/>
              </w:rPr>
            </w:pPr>
            <w:r>
              <w:rPr>
                <w:rFonts w:hint="eastAsia" w:hAnsi="Courier New"/>
                <w:lang w:val="en-US" w:eastAsia="zh-CN"/>
              </w:rPr>
              <w:t>投标价格计算公式为：∑（标包中每个项目内容的年度业务量*该项报价），此次招标业务期限为2023年7月1日——2024年6月30日。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1091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bookmarkEnd w:id="0"/>
    </w:tbl>
    <w:p>
      <w:pPr>
        <w:pStyle w:val="9"/>
        <w:spacing w:line="360" w:lineRule="auto"/>
        <w:rPr>
          <w:rFonts w:ascii="黑体" w:eastAsia="黑体"/>
          <w:b/>
          <w:bCs/>
          <w:sz w:val="28"/>
        </w:rPr>
      </w:pPr>
      <w:r>
        <w:rPr>
          <w:rFonts w:hint="eastAsia" w:ascii="黑体" w:eastAsia="黑体"/>
          <w:b/>
          <w:bCs/>
          <w:sz w:val="28"/>
        </w:rPr>
        <w:t>八、合同签订</w:t>
      </w:r>
    </w:p>
    <w:p>
      <w:pPr>
        <w:pStyle w:val="9"/>
        <w:spacing w:line="360" w:lineRule="auto"/>
        <w:ind w:firstLine="420" w:firstLineChars="200"/>
      </w:pPr>
      <w:r>
        <w:rPr>
          <w:rFonts w:hint="eastAsia"/>
        </w:rPr>
        <w:t>1.</w:t>
      </w:r>
      <w:r>
        <w:rPr>
          <w:rFonts w:hint="eastAsia" w:hAnsi="宋体"/>
          <w:szCs w:val="21"/>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9"/>
        <w:spacing w:line="360" w:lineRule="auto"/>
        <w:ind w:firstLine="420" w:firstLineChars="200"/>
        <w:rPr>
          <w:rFonts w:hAnsi="宋体"/>
          <w:szCs w:val="21"/>
        </w:rPr>
      </w:pPr>
      <w:r>
        <w:rPr>
          <w:rFonts w:hint="eastAsia" w:hAnsi="宋体"/>
          <w:szCs w:val="21"/>
        </w:rPr>
        <w:t>2.招标人发送《中标通知书》给中标人，中标人应及时与招标人联系，在招标人要求的时间内完成合同签订，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pPr>
        <w:pStyle w:val="9"/>
        <w:spacing w:line="360" w:lineRule="auto"/>
        <w:ind w:firstLine="420" w:firstLineChars="200"/>
        <w:rPr>
          <w:rFonts w:hAnsi="宋体"/>
          <w:szCs w:val="21"/>
        </w:rPr>
      </w:pPr>
      <w:r>
        <w:rPr>
          <w:rFonts w:hint="eastAsia" w:hAnsi="宋体"/>
          <w:szCs w:val="21"/>
        </w:rPr>
        <w:t>3.中标人应当按照合同约定的履约责任，</w:t>
      </w:r>
      <w:r>
        <w:rPr>
          <w:rFonts w:hint="eastAsia" w:hAnsi="宋体"/>
        </w:rPr>
        <w:t>向招标人指定的合同签订单位缴纳履约保证金</w:t>
      </w:r>
      <w:r>
        <w:rPr>
          <w:rFonts w:hint="eastAsia" w:hAnsi="宋体"/>
          <w:u w:val="single"/>
        </w:rPr>
        <w:t>/</w:t>
      </w:r>
      <w:r>
        <w:rPr>
          <w:rFonts w:hint="eastAsia" w:hAnsi="宋体"/>
        </w:rPr>
        <w:t>万元（具体数额以合同约定为准），如中标人未按合同及其附件约定履行应承担的责任，招标人或招标人指定的合同签订单位有权扣除其履约保证金。</w:t>
      </w:r>
    </w:p>
    <w:p>
      <w:pPr>
        <w:pStyle w:val="9"/>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pPr>
        <w:pStyle w:val="9"/>
        <w:spacing w:line="360" w:lineRule="auto"/>
        <w:ind w:firstLine="420" w:firstLineChars="200"/>
        <w:rPr>
          <w:rFonts w:hAnsi="宋体"/>
          <w:szCs w:val="21"/>
        </w:rPr>
      </w:pPr>
      <w:r>
        <w:rPr>
          <w:rFonts w:hint="eastAsia" w:hAnsi="宋体"/>
          <w:szCs w:val="21"/>
        </w:rPr>
        <w:t>5.中标人</w:t>
      </w:r>
      <w:r>
        <w:rPr>
          <w:rFonts w:hint="eastAsia"/>
          <w:szCs w:val="21"/>
        </w:rPr>
        <w:t>由于履行义务的能力或信用有严重缺陷，</w:t>
      </w:r>
      <w:r>
        <w:rPr>
          <w:rFonts w:hint="eastAsia" w:hAnsi="宋体"/>
          <w:szCs w:val="21"/>
        </w:rPr>
        <w:t>招标人有权取消其中标资格，招标人将从剩余投标人中依序重新确定中标人，或重新组织招标。</w:t>
      </w:r>
    </w:p>
    <w:p>
      <w:pPr>
        <w:pStyle w:val="9"/>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pPr>
        <w:pStyle w:val="9"/>
        <w:spacing w:line="360" w:lineRule="auto"/>
        <w:ind w:firstLine="420" w:firstLineChars="200"/>
      </w:pPr>
      <w:r>
        <w:rPr>
          <w:rFonts w:hint="eastAsia"/>
        </w:rPr>
        <w:t>7.中标人须认可由于招标人上级集团公司政策变化引起的合同签订前终止项目的要求。</w:t>
      </w:r>
    </w:p>
    <w:p>
      <w:pPr>
        <w:pStyle w:val="9"/>
        <w:spacing w:line="360" w:lineRule="auto"/>
        <w:rPr>
          <w:rFonts w:ascii="黑体" w:eastAsia="黑体"/>
          <w:b/>
          <w:bCs/>
          <w:sz w:val="28"/>
        </w:rPr>
      </w:pPr>
      <w:r>
        <w:rPr>
          <w:rFonts w:hint="eastAsia" w:ascii="黑体" w:eastAsia="黑体"/>
          <w:b/>
          <w:bCs/>
          <w:sz w:val="28"/>
        </w:rPr>
        <w:t>九、废标及终止招标</w:t>
      </w:r>
    </w:p>
    <w:p>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pPr>
        <w:spacing w:line="520" w:lineRule="exact"/>
        <w:ind w:right="2" w:firstLine="420" w:firstLineChars="200"/>
        <w:rPr>
          <w:rFonts w:ascii="宋体" w:hAnsi="Courier New"/>
        </w:rPr>
      </w:pPr>
      <w:r>
        <w:rPr>
          <w:rFonts w:hint="eastAsia" w:ascii="宋体" w:hAnsi="宋体"/>
        </w:rPr>
        <w:t>⑹</w:t>
      </w:r>
      <w:r>
        <w:rPr>
          <w:rFonts w:hint="eastAsia" w:ascii="宋体" w:hAnsi="Courier New"/>
        </w:rPr>
        <w:t>以他人名义投标或者以其他方式弄虚作假，骗取中标的；</w:t>
      </w:r>
    </w:p>
    <w:p>
      <w:pPr>
        <w:spacing w:line="520" w:lineRule="exact"/>
        <w:ind w:right="2" w:firstLine="420" w:firstLineChars="200"/>
        <w:rPr>
          <w:rFonts w:ascii="宋体" w:hAnsi="Courier New"/>
        </w:rPr>
      </w:pPr>
      <w:r>
        <w:rPr>
          <w:rFonts w:hint="eastAsia" w:ascii="宋体" w:hAnsi="宋体"/>
        </w:rPr>
        <w:t>⑺</w:t>
      </w:r>
      <w:r>
        <w:rPr>
          <w:rFonts w:ascii="Arial" w:hAnsi="Arial" w:cs="Arial"/>
          <w:color w:val="333333"/>
          <w:szCs w:val="21"/>
          <w:shd w:val="clear" w:color="auto" w:fill="FFFFFF"/>
        </w:rPr>
        <w:t>投标人负责人为同一人或者存在控股、管理关系的不同单位</w:t>
      </w:r>
    </w:p>
    <w:p>
      <w:pPr>
        <w:spacing w:line="520" w:lineRule="exact"/>
        <w:ind w:right="2" w:firstLine="420" w:firstLineChars="200"/>
        <w:rPr>
          <w:rFonts w:ascii="宋体" w:hAnsi="Courier New"/>
        </w:rPr>
      </w:pPr>
      <w:r>
        <w:rPr>
          <w:rFonts w:hint="eastAsia" w:ascii="宋体" w:hAnsi="宋体"/>
        </w:rPr>
        <w:t>⑻</w:t>
      </w:r>
      <w:r>
        <w:rPr>
          <w:rFonts w:hint="eastAsia" w:ascii="宋体" w:hAnsi="Courier New"/>
        </w:rPr>
        <w:t>中标人不按规定签订合同；</w:t>
      </w:r>
    </w:p>
    <w:p>
      <w:pPr>
        <w:spacing w:line="520" w:lineRule="exact"/>
        <w:ind w:right="2" w:firstLine="420" w:firstLineChars="200"/>
        <w:rPr>
          <w:rFonts w:ascii="宋体" w:hAnsi="Courier New"/>
        </w:rPr>
      </w:pPr>
      <w:r>
        <w:rPr>
          <w:rFonts w:hint="eastAsia" w:ascii="宋体" w:hAnsi="宋体"/>
        </w:rPr>
        <w:t>（9）</w:t>
      </w:r>
      <w:r>
        <w:rPr>
          <w:rFonts w:hint="eastAsia" w:ascii="宋体" w:hAnsi="Courier New"/>
        </w:rPr>
        <w:t>法律、法规规定的其他情况。</w:t>
      </w:r>
    </w:p>
    <w:p>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pPr>
        <w:spacing w:line="520" w:lineRule="exact"/>
        <w:ind w:right="2" w:firstLine="420" w:firstLineChars="200"/>
        <w:rPr>
          <w:rFonts w:ascii="宋体" w:hAnsi="Courier New"/>
        </w:rPr>
      </w:pPr>
      <w:r>
        <w:rPr>
          <w:rFonts w:hint="eastAsia" w:ascii="宋体" w:hAnsi="Courier New"/>
        </w:rPr>
        <w:t>⑴出现影响采购公正的违法、违规行为的。</w:t>
      </w:r>
    </w:p>
    <w:p>
      <w:pPr>
        <w:spacing w:line="520" w:lineRule="exact"/>
        <w:ind w:right="2" w:firstLine="420" w:firstLineChars="200"/>
        <w:rPr>
          <w:rFonts w:ascii="宋体" w:hAnsi="Courier New"/>
        </w:rPr>
      </w:pPr>
      <w:r>
        <w:rPr>
          <w:rFonts w:hint="eastAsia" w:ascii="宋体" w:hAnsi="Courier New"/>
        </w:rPr>
        <w:t>⑵评标委员会经评审，认为所有投标都不符合招标文件要求的</w:t>
      </w:r>
    </w:p>
    <w:p>
      <w:pPr>
        <w:spacing w:line="520" w:lineRule="exact"/>
        <w:ind w:right="2"/>
        <w:rPr>
          <w:rFonts w:ascii="宋体" w:hAnsi="Courier New"/>
        </w:rPr>
      </w:pPr>
      <w:r>
        <w:rPr>
          <w:rFonts w:hint="eastAsia" w:ascii="宋体" w:hAnsi="Courier New"/>
        </w:rPr>
        <w:t xml:space="preserve">    </w:t>
      </w:r>
      <w:r>
        <w:rPr>
          <w:rFonts w:hint="eastAsia" w:ascii="宋体" w:hAnsi="宋体"/>
        </w:rPr>
        <w:t>⑶</w:t>
      </w:r>
      <w:r>
        <w:rPr>
          <w:rFonts w:hint="eastAsia" w:ascii="宋体" w:hAnsi="Courier New"/>
        </w:rPr>
        <w:t>因重大变故，采购任务取消的。</w:t>
      </w:r>
    </w:p>
    <w:p>
      <w:pPr>
        <w:spacing w:line="520" w:lineRule="exact"/>
        <w:ind w:right="2" w:firstLine="420" w:firstLineChars="200"/>
        <w:rPr>
          <w:rFonts w:ascii="宋体" w:hAnsi="宋体"/>
        </w:rPr>
      </w:pPr>
      <w:r>
        <w:rPr>
          <w:rFonts w:hint="eastAsia" w:ascii="宋体" w:hAnsi="宋体"/>
        </w:rPr>
        <w:t>⑷有效参与投标的单位不足三家以上的。</w:t>
      </w:r>
    </w:p>
    <w:p>
      <w:pPr>
        <w:spacing w:line="520" w:lineRule="exact"/>
        <w:ind w:right="2" w:firstLine="420" w:firstLineChars="200"/>
        <w:rPr>
          <w:rFonts w:ascii="宋体" w:hAnsi="宋体"/>
        </w:rPr>
      </w:pPr>
      <w:r>
        <w:rPr>
          <w:rFonts w:hint="eastAsia" w:ascii="宋体" w:hAnsi="宋体"/>
        </w:rPr>
        <w:t>⑸招标人认为其他应终止招标的情形。</w:t>
      </w:r>
    </w:p>
    <w:p>
      <w:pPr>
        <w:pStyle w:val="9"/>
        <w:spacing w:line="360" w:lineRule="auto"/>
        <w:rPr>
          <w:rFonts w:ascii="黑体" w:eastAsia="黑体"/>
          <w:b/>
          <w:bCs/>
          <w:sz w:val="28"/>
        </w:rPr>
      </w:pPr>
      <w:r>
        <w:rPr>
          <w:rFonts w:hint="eastAsia" w:ascii="黑体" w:eastAsia="黑体"/>
          <w:b/>
          <w:bCs/>
          <w:sz w:val="28"/>
        </w:rPr>
        <w:t>十、中标人瑕疵滞后发现的处理原则</w:t>
      </w:r>
    </w:p>
    <w:p>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9"/>
        <w:spacing w:line="360" w:lineRule="auto"/>
        <w:rPr>
          <w:rFonts w:ascii="黑体" w:eastAsia="黑体"/>
          <w:b/>
          <w:bCs/>
          <w:sz w:val="28"/>
        </w:rPr>
      </w:pPr>
      <w:r>
        <w:rPr>
          <w:rFonts w:hint="eastAsia" w:ascii="黑体" w:eastAsia="黑体"/>
          <w:b/>
          <w:bCs/>
          <w:sz w:val="28"/>
        </w:rPr>
        <w:t>十一、技术要求</w:t>
      </w:r>
    </w:p>
    <w:p>
      <w:pPr>
        <w:pStyle w:val="9"/>
        <w:spacing w:line="360" w:lineRule="auto"/>
        <w:ind w:left="420" w:hanging="420" w:hangingChars="200"/>
      </w:pPr>
      <w:r>
        <w:rPr>
          <w:rFonts w:hint="eastAsia"/>
        </w:rPr>
        <w:t xml:space="preserve">    见本招标文件“第三章 技术要求”，附后。</w:t>
      </w:r>
    </w:p>
    <w:p>
      <w:pPr>
        <w:jc w:val="center"/>
        <w:rPr>
          <w:rFonts w:eastAsia="黑体"/>
          <w:b/>
          <w:bCs/>
          <w:sz w:val="36"/>
          <w:szCs w:val="36"/>
        </w:rPr>
      </w:pPr>
    </w:p>
    <w:p>
      <w:pPr>
        <w:jc w:val="center"/>
        <w:rPr>
          <w:rFonts w:eastAsia="黑体"/>
          <w:b/>
          <w:bCs/>
          <w:sz w:val="36"/>
          <w:szCs w:val="36"/>
        </w:rPr>
      </w:pPr>
    </w:p>
    <w:p>
      <w:pPr>
        <w:jc w:val="center"/>
        <w:rPr>
          <w:rFonts w:eastAsia="黑体"/>
          <w:b/>
          <w:bCs/>
          <w:sz w:val="36"/>
          <w:szCs w:val="36"/>
        </w:rPr>
      </w:pPr>
    </w:p>
    <w:p>
      <w:pPr>
        <w:jc w:val="center"/>
        <w:rPr>
          <w:rFonts w:eastAsia="黑体"/>
          <w:b/>
          <w:bCs/>
          <w:sz w:val="36"/>
          <w:szCs w:val="36"/>
        </w:rPr>
      </w:pPr>
    </w:p>
    <w:p>
      <w:pPr>
        <w:jc w:val="center"/>
        <w:rPr>
          <w:rFonts w:eastAsia="黑体"/>
          <w:b/>
          <w:bCs/>
          <w:sz w:val="36"/>
          <w:szCs w:val="36"/>
        </w:rPr>
      </w:pPr>
      <w:r>
        <w:rPr>
          <w:rFonts w:hint="eastAsia" w:eastAsia="黑体"/>
          <w:b/>
          <w:bCs/>
          <w:sz w:val="36"/>
          <w:szCs w:val="36"/>
        </w:rPr>
        <w:t>第二章  投标文件编制</w:t>
      </w:r>
    </w:p>
    <w:p>
      <w:pPr>
        <w:pStyle w:val="9"/>
        <w:spacing w:line="360" w:lineRule="auto"/>
        <w:rPr>
          <w:rFonts w:ascii="黑体" w:hAnsi="黑体" w:eastAsia="黑体"/>
          <w:b/>
          <w:bCs/>
          <w:sz w:val="28"/>
          <w:szCs w:val="28"/>
        </w:rPr>
      </w:pPr>
      <w:r>
        <w:rPr>
          <w:rFonts w:hint="eastAsia" w:ascii="黑体" w:hAnsi="黑体" w:eastAsia="黑体"/>
          <w:b/>
          <w:bCs/>
          <w:sz w:val="28"/>
          <w:szCs w:val="28"/>
        </w:rPr>
        <w:t>一、投标文件签署</w:t>
      </w:r>
    </w:p>
    <w:p>
      <w:pPr>
        <w:pStyle w:val="9"/>
        <w:spacing w:line="360" w:lineRule="auto"/>
        <w:ind w:firstLine="420" w:firstLineChars="200"/>
        <w:rPr>
          <w:rFonts w:hAnsi="宋体"/>
        </w:rPr>
      </w:pPr>
      <w:r>
        <w:rPr>
          <w:rFonts w:hint="eastAsia" w:hAnsi="宋体"/>
        </w:rPr>
        <w:t>1.法定代表人或投标人授权代表必须按招标文件的规定在投标文件（正本、副本及各附件）、开标一览表上签字并加盖</w:t>
      </w:r>
      <w:r>
        <w:rPr>
          <w:rFonts w:hint="eastAsia" w:hAnsi="宋体"/>
          <w:b/>
          <w:bCs/>
        </w:rPr>
        <w:t>投标人单位公章</w:t>
      </w:r>
      <w:r>
        <w:rPr>
          <w:rFonts w:hint="eastAsia" w:hAnsi="宋体"/>
        </w:rPr>
        <w:t>，不得使用其它形式如带有“专用章”等字样的印章，否则投标将被视为无效。如投标人对投标文件进行了修改，则须由投标人的法定代表人或授权代表在修改的每一页上签字或加盖公章。</w:t>
      </w:r>
    </w:p>
    <w:p>
      <w:pPr>
        <w:pStyle w:val="9"/>
        <w:spacing w:line="360" w:lineRule="auto"/>
        <w:ind w:firstLine="420" w:firstLineChars="200"/>
        <w:rPr>
          <w:rFonts w:hAnsi="宋体"/>
        </w:rPr>
      </w:pPr>
      <w:r>
        <w:rPr>
          <w:rFonts w:hint="eastAsia" w:hAnsi="宋体"/>
        </w:rPr>
        <w:t>2.任何行间插字、涂改和增删，必须由投标人的法定代表人或授权代表签字或加盖公章后才有效。</w:t>
      </w:r>
    </w:p>
    <w:p>
      <w:pPr>
        <w:pStyle w:val="9"/>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pPr>
        <w:pStyle w:val="9"/>
        <w:spacing w:line="360" w:lineRule="auto"/>
        <w:ind w:firstLine="420" w:firstLineChars="200"/>
        <w:rPr>
          <w:rFonts w:hAnsi="宋体"/>
        </w:rPr>
      </w:pPr>
      <w:r>
        <w:rPr>
          <w:rFonts w:hint="eastAsia" w:hAnsi="宋体"/>
        </w:rPr>
        <w:t>1.投标人应将</w:t>
      </w:r>
      <w:r>
        <w:rPr>
          <w:rFonts w:hint="eastAsia" w:hAnsi="宋体"/>
          <w:lang w:eastAsia="zh-CN"/>
        </w:rPr>
        <w:t>技术标、商务标</w:t>
      </w:r>
      <w:r>
        <w:rPr>
          <w:rFonts w:hint="eastAsia" w:hAnsi="宋体"/>
        </w:rPr>
        <w:t>投标文件及U盘电子版</w:t>
      </w:r>
      <w:r>
        <w:rPr>
          <w:rFonts w:hint="eastAsia" w:hAnsi="宋体"/>
          <w:lang w:eastAsia="zh-CN"/>
        </w:rPr>
        <w:t>分别单独</w:t>
      </w:r>
      <w:r>
        <w:rPr>
          <w:rFonts w:hint="eastAsia" w:hAnsi="宋体"/>
        </w:rPr>
        <w:t>密封送达，并在封面明显处注明以下内容：</w:t>
      </w:r>
    </w:p>
    <w:p>
      <w:pPr>
        <w:pStyle w:val="9"/>
        <w:spacing w:line="360" w:lineRule="auto"/>
        <w:ind w:firstLine="420" w:firstLineChars="200"/>
        <w:rPr>
          <w:rFonts w:hAnsi="宋体"/>
        </w:rPr>
      </w:pPr>
      <w:r>
        <w:rPr>
          <w:rFonts w:hint="eastAsia" w:hAnsi="宋体"/>
        </w:rPr>
        <w:t>⑴项目名称</w:t>
      </w:r>
    </w:p>
    <w:p>
      <w:pPr>
        <w:pStyle w:val="9"/>
        <w:spacing w:line="360" w:lineRule="auto"/>
        <w:ind w:firstLine="420" w:firstLineChars="200"/>
        <w:rPr>
          <w:rFonts w:hAnsi="宋体"/>
        </w:rPr>
      </w:pPr>
      <w:r>
        <w:rPr>
          <w:rFonts w:hint="eastAsia" w:hAnsi="宋体"/>
        </w:rPr>
        <w:t>⑵投标人名称（加盖公章）、地址、邮编、电话、传真</w:t>
      </w:r>
    </w:p>
    <w:p>
      <w:pPr>
        <w:pStyle w:val="9"/>
        <w:spacing w:line="360" w:lineRule="auto"/>
        <w:ind w:firstLine="420" w:firstLineChars="200"/>
        <w:rPr>
          <w:rFonts w:hAnsi="宋体"/>
        </w:rPr>
      </w:pPr>
      <w:r>
        <w:rPr>
          <w:rFonts w:hint="eastAsia" w:hAnsi="宋体"/>
        </w:rPr>
        <w:t>2.请投标人将 “开标一览表”单独密封，并注明开标一览表、项目名称、投标人名称（加盖公章），与投标文件同时提交。</w:t>
      </w:r>
    </w:p>
    <w:p>
      <w:pPr>
        <w:pStyle w:val="9"/>
        <w:spacing w:line="360" w:lineRule="auto"/>
        <w:ind w:firstLine="420" w:firstLineChars="200"/>
        <w:rPr>
          <w:rFonts w:hAnsi="宋体"/>
        </w:rPr>
      </w:pPr>
      <w:r>
        <w:rPr>
          <w:rFonts w:hint="eastAsia" w:hAnsi="宋体"/>
        </w:rPr>
        <w:t>3.每一密封文件在封口处加盖投标人公章并注明“于</w:t>
      </w:r>
      <w:r>
        <w:rPr>
          <w:rFonts w:hint="eastAsia"/>
        </w:rPr>
        <w:t>202</w:t>
      </w:r>
      <w:r>
        <w:rPr>
          <w:rFonts w:hint="eastAsia"/>
          <w:lang w:val="en-US" w:eastAsia="zh-CN"/>
        </w:rPr>
        <w:t>3</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日上午9</w:t>
      </w:r>
      <w:r>
        <w:rPr>
          <w:rFonts w:hint="eastAsia" w:hAnsi="宋体"/>
        </w:rPr>
        <w:t>时之前不准启封”字样。</w:t>
      </w:r>
    </w:p>
    <w:p>
      <w:pPr>
        <w:pStyle w:val="9"/>
        <w:spacing w:line="360" w:lineRule="auto"/>
        <w:ind w:firstLine="420" w:firstLineChars="200"/>
        <w:rPr>
          <w:rFonts w:hAnsi="宋体"/>
        </w:rPr>
      </w:pPr>
      <w:r>
        <w:rPr>
          <w:rFonts w:hint="eastAsia" w:hAnsi="宋体"/>
        </w:rPr>
        <w:t>4.如果投标人未按上述要求对投标文件密封及加写标记，招标人对投标人提前启封概不负责。对由此造成提前开封的投标文件，招标人有权予以拒绝，并退回投标人。</w:t>
      </w:r>
    </w:p>
    <w:p>
      <w:pPr>
        <w:pStyle w:val="9"/>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pPr>
        <w:rPr>
          <w:rFonts w:eastAsia="黑体"/>
          <w:b/>
          <w:bCs/>
          <w:sz w:val="28"/>
        </w:rPr>
      </w:pPr>
      <w:r>
        <w:rPr>
          <w:rFonts w:hint="eastAsia" w:eastAsia="黑体"/>
          <w:b/>
          <w:bCs/>
          <w:sz w:val="28"/>
        </w:rPr>
        <w:t>格式1</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spacing w:line="360" w:lineRule="auto"/>
        <w:jc w:val="center"/>
        <w:rPr>
          <w:rFonts w:eastAsia="黑体"/>
          <w:b/>
          <w:bCs/>
          <w:sz w:val="28"/>
        </w:rPr>
      </w:pPr>
      <w:r>
        <w:rPr>
          <w:rFonts w:hint="eastAsia" w:eastAsia="黑体"/>
          <w:b/>
          <w:bCs/>
          <w:sz w:val="28"/>
        </w:rPr>
        <w:t>投标书</w:t>
      </w:r>
    </w:p>
    <w:p>
      <w:pPr>
        <w:spacing w:line="360" w:lineRule="auto"/>
        <w:rPr>
          <w:rFonts w:ascii="宋体" w:hAnsi="宋体"/>
          <w:u w:val="single"/>
        </w:rPr>
      </w:pPr>
      <w:r>
        <w:rPr>
          <w:rFonts w:hint="eastAsia" w:ascii="宋体" w:hAnsi="宋体"/>
        </w:rPr>
        <w:t>致</w:t>
      </w:r>
      <w:r>
        <w:rPr>
          <w:rFonts w:hint="eastAsia" w:ascii="宋体" w:hAnsi="宋体"/>
          <w:u w:val="single"/>
        </w:rPr>
        <w:t>（招标人名称）                            ：</w:t>
      </w:r>
    </w:p>
    <w:p>
      <w:pPr>
        <w:spacing w:line="360" w:lineRule="auto"/>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pPr>
        <w:spacing w:line="360" w:lineRule="auto"/>
        <w:rPr>
          <w:rFonts w:ascii="宋体" w:hAnsi="宋体"/>
        </w:rPr>
      </w:pPr>
      <w:r>
        <w:rPr>
          <w:rFonts w:hint="eastAsia" w:ascii="宋体" w:hAnsi="宋体"/>
        </w:rPr>
        <w:t>标书（正本</w:t>
      </w:r>
      <w:r>
        <w:rPr>
          <w:rFonts w:hint="eastAsia" w:ascii="宋体" w:hAnsi="宋体"/>
          <w:u w:val="single"/>
        </w:rPr>
        <w:t>1</w:t>
      </w:r>
      <w:r>
        <w:rPr>
          <w:rFonts w:hint="eastAsia" w:ascii="宋体" w:hAnsi="宋体"/>
        </w:rPr>
        <w:t>份和副本一式</w:t>
      </w:r>
      <w:r>
        <w:rPr>
          <w:rFonts w:hint="eastAsia" w:ascii="宋体" w:hAnsi="宋体"/>
          <w:u w:val="single"/>
        </w:rPr>
        <w:t>4</w:t>
      </w:r>
      <w:r>
        <w:rPr>
          <w:rFonts w:hint="eastAsia" w:ascii="宋体" w:hAnsi="宋体"/>
        </w:rPr>
        <w:t>份）</w:t>
      </w:r>
    </w:p>
    <w:p>
      <w:pPr>
        <w:spacing w:line="360" w:lineRule="auto"/>
        <w:rPr>
          <w:rFonts w:ascii="宋体" w:hAnsi="宋体"/>
        </w:rPr>
      </w:pPr>
      <w:r>
        <w:rPr>
          <w:rFonts w:hint="eastAsia" w:ascii="宋体" w:hAnsi="宋体"/>
        </w:rPr>
        <w:t>资质证明文件（1份）</w:t>
      </w:r>
    </w:p>
    <w:p>
      <w:pPr>
        <w:spacing w:line="360" w:lineRule="auto"/>
        <w:rPr>
          <w:rFonts w:ascii="宋体" w:hAnsi="宋体"/>
        </w:rPr>
      </w:pPr>
      <w:r>
        <w:rPr>
          <w:rFonts w:hint="eastAsia" w:ascii="宋体" w:hAnsi="宋体"/>
        </w:rPr>
        <w:t>据此，签字代表宣布同意如下：</w:t>
      </w:r>
    </w:p>
    <w:p>
      <w:pPr>
        <w:numPr>
          <w:ilvl w:val="0"/>
          <w:numId w:val="4"/>
        </w:numPr>
        <w:spacing w:line="360" w:lineRule="auto"/>
        <w:rPr>
          <w:rFonts w:ascii="宋体" w:hAnsi="宋体"/>
          <w:u w:val="single"/>
        </w:rPr>
      </w:pPr>
      <w:r>
        <w:rPr>
          <w:rFonts w:hint="eastAsia" w:ascii="宋体" w:hAnsi="宋体"/>
        </w:rPr>
        <w:t>所附投标报价表中规定的应提供的投标总价（不含税）为</w:t>
      </w:r>
      <w:r>
        <w:rPr>
          <w:rFonts w:hint="eastAsia" w:ascii="宋体" w:hAnsi="宋体"/>
          <w:u w:val="single"/>
        </w:rPr>
        <w:t>（注明币种和金额）    ，</w:t>
      </w:r>
    </w:p>
    <w:p>
      <w:pPr>
        <w:spacing w:line="360" w:lineRule="auto"/>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pPr>
        <w:numPr>
          <w:ilvl w:val="0"/>
          <w:numId w:val="4"/>
        </w:numPr>
        <w:spacing w:line="360" w:lineRule="auto"/>
        <w:rPr>
          <w:rFonts w:ascii="宋体" w:hAnsi="宋体"/>
        </w:rPr>
      </w:pPr>
      <w:r>
        <w:rPr>
          <w:rFonts w:hint="eastAsia" w:ascii="宋体" w:hAnsi="宋体"/>
        </w:rPr>
        <w:t>投标人将按招标文件的规定履行合同责任和义务。</w:t>
      </w:r>
    </w:p>
    <w:p>
      <w:pPr>
        <w:numPr>
          <w:ilvl w:val="0"/>
          <w:numId w:val="4"/>
        </w:numPr>
        <w:spacing w:line="360" w:lineRule="auto"/>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pPr>
        <w:numPr>
          <w:ilvl w:val="0"/>
          <w:numId w:val="4"/>
        </w:numPr>
        <w:spacing w:line="360" w:lineRule="auto"/>
        <w:rPr>
          <w:rFonts w:ascii="宋体" w:hAnsi="宋体"/>
        </w:rPr>
      </w:pPr>
      <w:r>
        <w:rPr>
          <w:rFonts w:hint="eastAsia"/>
          <w:szCs w:val="21"/>
        </w:rPr>
        <w:t>投标有效期：自投标截止之日起至合同签署日一直有效</w:t>
      </w:r>
      <w:r>
        <w:rPr>
          <w:rFonts w:hint="eastAsia" w:ascii="宋体" w:hAnsi="宋体"/>
          <w:szCs w:val="21"/>
        </w:rPr>
        <w:t>。</w:t>
      </w:r>
    </w:p>
    <w:p>
      <w:pPr>
        <w:numPr>
          <w:ilvl w:val="0"/>
          <w:numId w:val="4"/>
        </w:numPr>
        <w:spacing w:line="360" w:lineRule="auto"/>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pPr>
        <w:numPr>
          <w:ilvl w:val="0"/>
          <w:numId w:val="4"/>
        </w:numPr>
        <w:spacing w:line="360" w:lineRule="auto"/>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pPr>
        <w:numPr>
          <w:ilvl w:val="0"/>
          <w:numId w:val="4"/>
        </w:numPr>
        <w:spacing w:line="360" w:lineRule="auto"/>
        <w:rPr>
          <w:rFonts w:ascii="宋体" w:hAnsi="宋体"/>
        </w:rPr>
      </w:pPr>
      <w:r>
        <w:rPr>
          <w:rFonts w:hint="eastAsia" w:ascii="宋体" w:hAnsi="宋体"/>
        </w:rPr>
        <w:t>与本投标有关的一切正式往来通讯请寄：</w:t>
      </w:r>
    </w:p>
    <w:p>
      <w:pPr>
        <w:spacing w:line="360" w:lineRule="auto"/>
        <w:ind w:left="795"/>
        <w:rPr>
          <w:rFonts w:ascii="宋体" w:hAnsi="宋体"/>
        </w:rPr>
      </w:pPr>
      <w:r>
        <w:rPr>
          <w:rFonts w:hint="eastAsia" w:ascii="宋体" w:hAnsi="宋体"/>
        </w:rPr>
        <w:t>地址：                                   邮编：</w:t>
      </w:r>
    </w:p>
    <w:p>
      <w:pPr>
        <w:spacing w:line="360" w:lineRule="auto"/>
        <w:ind w:left="795"/>
        <w:rPr>
          <w:rFonts w:ascii="宋体" w:hAnsi="宋体"/>
        </w:rPr>
      </w:pPr>
      <w:r>
        <w:rPr>
          <w:rFonts w:hint="eastAsia" w:ascii="宋体" w:hAnsi="宋体"/>
        </w:rPr>
        <w:t>电话：                                   传真：</w:t>
      </w:r>
    </w:p>
    <w:p>
      <w:pPr>
        <w:spacing w:line="360" w:lineRule="auto"/>
        <w:ind w:left="795"/>
      </w:pPr>
      <w:r>
        <w:rPr>
          <w:rFonts w:hint="eastAsia"/>
        </w:rPr>
        <w:t>投标人授权代表签字：                 职务：                 日期：</w:t>
      </w:r>
    </w:p>
    <w:p>
      <w:pPr>
        <w:spacing w:line="360" w:lineRule="auto"/>
        <w:ind w:left="795"/>
      </w:pPr>
      <w:r>
        <w:rPr>
          <w:rFonts w:hint="eastAsia"/>
        </w:rPr>
        <w:t>投标人名称（及公章）：</w:t>
      </w:r>
    </w:p>
    <w:p>
      <w:pPr>
        <w:spacing w:line="360" w:lineRule="auto"/>
        <w:ind w:left="795"/>
        <w:rPr>
          <w:rFonts w:ascii="黑体" w:eastAsia="黑体"/>
          <w:sz w:val="30"/>
        </w:rPr>
      </w:pPr>
      <w:r>
        <w:rPr>
          <w:rFonts w:hint="eastAsia"/>
        </w:rPr>
        <w:t>日期：        年       月       日</w:t>
      </w:r>
    </w:p>
    <w:p>
      <w:pPr>
        <w:spacing w:line="360" w:lineRule="auto"/>
        <w:rPr>
          <w:rFonts w:eastAsia="黑体"/>
          <w:b/>
          <w:bCs/>
          <w:sz w:val="28"/>
        </w:rPr>
      </w:pPr>
      <w:r>
        <w:rPr>
          <w:rFonts w:ascii="黑体" w:eastAsia="黑体"/>
          <w:sz w:val="30"/>
        </w:rPr>
        <w:br w:type="page"/>
      </w:r>
      <w:r>
        <w:rPr>
          <w:rFonts w:hint="eastAsia" w:eastAsia="黑体"/>
          <w:b/>
          <w:bCs/>
          <w:sz w:val="28"/>
        </w:rPr>
        <w:t>格式2</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rPr>
          <w:rFonts w:ascii="宋体" w:hAnsi="宋体"/>
          <w:szCs w:val="21"/>
        </w:rPr>
      </w:pPr>
      <w:r>
        <w:rPr>
          <w:rFonts w:hint="eastAsia" w:ascii="宋体" w:hAnsi="宋体"/>
          <w:szCs w:val="21"/>
        </w:rPr>
        <w:t>日期：  年   月   日</w:t>
      </w:r>
    </w:p>
    <w:p>
      <w:pPr>
        <w:jc w:val="center"/>
        <w:rPr>
          <w:rFonts w:ascii="黑体" w:eastAsia="黑体"/>
          <w:sz w:val="30"/>
        </w:rPr>
      </w:pPr>
      <w:r>
        <w:rPr>
          <w:rFonts w:hint="eastAsia" w:ascii="黑体" w:eastAsia="黑体"/>
          <w:sz w:val="30"/>
        </w:rPr>
        <w:t>投标文件目录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sz w:val="28"/>
              </w:rPr>
            </w:pPr>
            <w:r>
              <w:rPr>
                <w:rFonts w:hint="eastAsia"/>
                <w:sz w:val="28"/>
              </w:rPr>
              <w:t>序号</w:t>
            </w:r>
          </w:p>
        </w:tc>
        <w:tc>
          <w:tcPr>
            <w:tcW w:w="6520" w:type="dxa"/>
            <w:vAlign w:val="center"/>
          </w:tcPr>
          <w:p>
            <w:pPr>
              <w:jc w:val="center"/>
              <w:rPr>
                <w:sz w:val="28"/>
              </w:rPr>
            </w:pPr>
            <w:r>
              <w:rPr>
                <w:rFonts w:hint="eastAsia"/>
                <w:sz w:val="28"/>
              </w:rPr>
              <w:t>主要内容</w:t>
            </w:r>
          </w:p>
        </w:tc>
        <w:tc>
          <w:tcPr>
            <w:tcW w:w="1276" w:type="dxa"/>
            <w:vAlign w:val="center"/>
          </w:tcPr>
          <w:p>
            <w:pPr>
              <w:jc w:val="center"/>
              <w:rPr>
                <w:sz w:val="28"/>
              </w:rPr>
            </w:pPr>
            <w:r>
              <w:rPr>
                <w:rFonts w:hint="eastAsia"/>
                <w:sz w:val="28"/>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bl>
    <w:p>
      <w:pPr>
        <w:rPr>
          <w:rFonts w:ascii="宋体" w:hAnsi="宋体"/>
          <w:sz w:val="24"/>
          <w:szCs w:val="24"/>
        </w:rPr>
      </w:pPr>
      <w:r>
        <w:rPr>
          <w:rFonts w:hint="eastAsia" w:ascii="宋体" w:hAnsi="宋体"/>
          <w:sz w:val="24"/>
          <w:szCs w:val="24"/>
        </w:rPr>
        <w:t>投标人名称（盖章）：              法定代表人或授权代表签字：</w:t>
      </w: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pPr>
        <w:ind w:firstLine="480"/>
        <w:rPr>
          <w:rFonts w:ascii="宋体" w:hAnsi="宋体"/>
          <w:sz w:val="24"/>
        </w:rPr>
      </w:pPr>
      <w:r>
        <w:rPr>
          <w:rFonts w:hint="eastAsia" w:ascii="宋体" w:hAnsi="宋体"/>
          <w:sz w:val="24"/>
        </w:rPr>
        <w:t>2．“索引”一栏填写该主要内容对应于投标文件的“条款号/页号”。</w:t>
      </w:r>
    </w:p>
    <w:p>
      <w:pPr>
        <w:rPr>
          <w:rFonts w:eastAsia="黑体"/>
          <w:b/>
          <w:bCs/>
          <w:sz w:val="2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0"/>
          <w:cols w:space="720" w:num="1"/>
          <w:titlePg/>
          <w:docGrid w:type="lines" w:linePitch="312" w:charSpace="0"/>
        </w:sectPr>
      </w:pPr>
    </w:p>
    <w:p>
      <w:pPr>
        <w:rPr>
          <w:rFonts w:eastAsia="黑体"/>
          <w:b/>
          <w:bCs/>
          <w:sz w:val="28"/>
        </w:rPr>
      </w:pPr>
      <w:r>
        <w:rPr>
          <w:rFonts w:hint="eastAsia" w:eastAsia="黑体"/>
          <w:b/>
          <w:bCs/>
          <w:sz w:val="28"/>
        </w:rPr>
        <w:t>格式3</w:t>
      </w:r>
    </w:p>
    <w:p>
      <w:pPr>
        <w:jc w:val="center"/>
        <w:rPr>
          <w:rFonts w:ascii="黑体" w:hAnsi="黑体" w:eastAsia="黑体"/>
          <w:b/>
          <w:sz w:val="28"/>
          <w:szCs w:val="28"/>
        </w:rPr>
      </w:pPr>
      <w:r>
        <w:rPr>
          <w:rFonts w:hint="eastAsia" w:ascii="黑体" w:hAnsi="黑体" w:eastAsia="黑体"/>
          <w:b/>
          <w:sz w:val="28"/>
          <w:szCs w:val="28"/>
        </w:rPr>
        <w:t>开标一览表</w:t>
      </w:r>
    </w:p>
    <w:p>
      <w:pPr>
        <w:spacing w:line="360" w:lineRule="atLeast"/>
        <w:rPr>
          <w:u w:val="single" w:color="FFFFFF"/>
        </w:rPr>
      </w:pPr>
      <w:r>
        <w:rPr>
          <w:rFonts w:hint="eastAsia" w:ascii="宋体"/>
        </w:rPr>
        <w:t>招标项目名称：</w:t>
      </w:r>
      <w:r>
        <w:rPr>
          <w:rFonts w:hint="eastAsia" w:ascii="宋体" w:hAnsi="宋体"/>
        </w:rPr>
        <w:t>物流仓储配送服务</w:t>
      </w:r>
    </w:p>
    <w:tbl>
      <w:tblPr>
        <w:tblStyle w:val="18"/>
        <w:tblW w:w="154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9"/>
        <w:gridCol w:w="1743"/>
        <w:gridCol w:w="1282"/>
        <w:gridCol w:w="1403"/>
        <w:gridCol w:w="1342"/>
        <w:gridCol w:w="1270"/>
        <w:gridCol w:w="1409"/>
        <w:gridCol w:w="1409"/>
        <w:gridCol w:w="1409"/>
        <w:gridCol w:w="1409"/>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4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项目名称</w:t>
            </w:r>
          </w:p>
        </w:tc>
        <w:tc>
          <w:tcPr>
            <w:tcW w:w="174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工作内容</w:t>
            </w:r>
          </w:p>
        </w:tc>
        <w:tc>
          <w:tcPr>
            <w:tcW w:w="128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投标说明</w:t>
            </w:r>
          </w:p>
        </w:tc>
        <w:tc>
          <w:tcPr>
            <w:tcW w:w="140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结算说明</w:t>
            </w:r>
          </w:p>
        </w:tc>
        <w:tc>
          <w:tcPr>
            <w:tcW w:w="134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产品类别</w:t>
            </w:r>
          </w:p>
        </w:tc>
        <w:tc>
          <w:tcPr>
            <w:tcW w:w="127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目标价（不含税）</w:t>
            </w:r>
          </w:p>
        </w:tc>
        <w:tc>
          <w:tcPr>
            <w:tcW w:w="140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目标价单位</w:t>
            </w:r>
          </w:p>
        </w:tc>
        <w:tc>
          <w:tcPr>
            <w:tcW w:w="140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业务量预估</w:t>
            </w:r>
          </w:p>
        </w:tc>
        <w:tc>
          <w:tcPr>
            <w:tcW w:w="140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业务量单位</w:t>
            </w:r>
          </w:p>
        </w:tc>
        <w:tc>
          <w:tcPr>
            <w:tcW w:w="140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报价（不含税）</w:t>
            </w:r>
          </w:p>
        </w:tc>
        <w:tc>
          <w:tcPr>
            <w:tcW w:w="140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报价单位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409"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大总成及进口产品仓储配送服务费</w:t>
            </w:r>
          </w:p>
        </w:tc>
        <w:tc>
          <w:tcPr>
            <w:tcW w:w="174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产品的入库、仓储、防护、排序、配送</w:t>
            </w:r>
          </w:p>
        </w:tc>
        <w:tc>
          <w:tcPr>
            <w:tcW w:w="1282"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投标方自备转运叉车，拖车，电瓶车等转运设备</w:t>
            </w:r>
          </w:p>
        </w:tc>
        <w:tc>
          <w:tcPr>
            <w:tcW w:w="140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按照车辆下线数量结算，单价*数量</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发动机(含附件)</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39.09</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变速箱</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16.98</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ZF箱</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16.98</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分动箱</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16.98</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方向机</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5.09</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桥总成</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16.98</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平衡轴</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11.89</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集中润滑</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8.49</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取力器（PF，QF，PTO）</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8.49</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码头车举升油缸</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8.49</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绞盘</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33.96</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进口变速箱</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67.92</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进口分动箱</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16.98</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进口方向机</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5.09</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LNG气瓶</w:t>
            </w:r>
          </w:p>
        </w:tc>
        <w:tc>
          <w:tcPr>
            <w:tcW w:w="12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33.96</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409"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非大总成及进口件的仓储配送服务费</w:t>
            </w:r>
          </w:p>
        </w:tc>
        <w:tc>
          <w:tcPr>
            <w:tcW w:w="174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非托管产品的入库、仓储、防护、排序、配送</w:t>
            </w:r>
          </w:p>
        </w:tc>
        <w:tc>
          <w:tcPr>
            <w:tcW w:w="1282"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投标方自备转运叉车，拖车，电瓶车等转运设备</w:t>
            </w:r>
          </w:p>
        </w:tc>
        <w:tc>
          <w:tcPr>
            <w:tcW w:w="140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按照车辆下线数量结算，单件结算价*费率*数量</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W＜1000</w:t>
            </w:r>
          </w:p>
        </w:tc>
        <w:tc>
          <w:tcPr>
            <w:tcW w:w="127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费率，‰</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50000000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1000≤W＜2000</w:t>
            </w:r>
          </w:p>
        </w:tc>
        <w:tc>
          <w:tcPr>
            <w:tcW w:w="127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费率，‰</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40000000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W≥2000</w:t>
            </w:r>
          </w:p>
        </w:tc>
        <w:tc>
          <w:tcPr>
            <w:tcW w:w="127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费率，‰</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30000000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09"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74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28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W≥4000</w:t>
            </w:r>
          </w:p>
        </w:tc>
        <w:tc>
          <w:tcPr>
            <w:tcW w:w="127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件</w:t>
            </w:r>
            <w:bookmarkStart w:id="77" w:name="_GoBack"/>
            <w:bookmarkEnd w:id="77"/>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140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标准件</w:t>
            </w:r>
          </w:p>
        </w:tc>
        <w:tc>
          <w:tcPr>
            <w:tcW w:w="174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标准件入库、仓储、配送</w:t>
            </w:r>
          </w:p>
        </w:tc>
        <w:tc>
          <w:tcPr>
            <w:tcW w:w="128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投标方自备转运叉车，拖车，电动液压车等转运设备</w:t>
            </w:r>
          </w:p>
        </w:tc>
        <w:tc>
          <w:tcPr>
            <w:tcW w:w="14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按照车辆下线数量结算，单价*数量</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27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元/辆份</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辆份</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元/辆份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6" w:hRule="atLeast"/>
        </w:trPr>
        <w:tc>
          <w:tcPr>
            <w:tcW w:w="140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点对点配送服务费</w:t>
            </w:r>
          </w:p>
        </w:tc>
        <w:tc>
          <w:tcPr>
            <w:tcW w:w="174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将预投区的物料投送至生产线边工位、产品件拆包、分拣、转器具以及线边空器具的回收整理等工作</w:t>
            </w:r>
          </w:p>
        </w:tc>
        <w:tc>
          <w:tcPr>
            <w:tcW w:w="128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投标方自备转运叉车，拖车，电动液压车等转运设备</w:t>
            </w:r>
          </w:p>
        </w:tc>
        <w:tc>
          <w:tcPr>
            <w:tcW w:w="14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按照车辆下线数量结算，单价*数量</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27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元/辆份</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辆份</w:t>
            </w: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元/辆份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40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试制/试装车型仓储配送项目</w:t>
            </w:r>
          </w:p>
        </w:tc>
        <w:tc>
          <w:tcPr>
            <w:tcW w:w="174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设专人和专项配送设备进行物流仓储配送服务，提升产品件配送质量及现场管理。</w:t>
            </w:r>
          </w:p>
        </w:tc>
        <w:tc>
          <w:tcPr>
            <w:tcW w:w="128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投标方自备转运叉车，拖车，电动液压车等转运设备</w:t>
            </w:r>
          </w:p>
        </w:tc>
        <w:tc>
          <w:tcPr>
            <w:tcW w:w="14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按照车辆下线数量结算，单价*数量</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27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元/辆份</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辆份</w:t>
            </w: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元/辆份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9" w:hRule="atLeast"/>
        </w:trPr>
        <w:tc>
          <w:tcPr>
            <w:tcW w:w="140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内外饰件分拣、排序、上线服务项目</w:t>
            </w:r>
          </w:p>
        </w:tc>
        <w:tc>
          <w:tcPr>
            <w:tcW w:w="174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设立暂存、翻包、排序区（仓库），由供应商直接送货至该区域，由物流公司根据日配送计划使用专用器具翻包，小批量多频次向线边补货配送。</w:t>
            </w:r>
          </w:p>
        </w:tc>
        <w:tc>
          <w:tcPr>
            <w:tcW w:w="128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投标方自备转运叉车，拖车，电动液压车等转运设备</w:t>
            </w:r>
          </w:p>
        </w:tc>
        <w:tc>
          <w:tcPr>
            <w:tcW w:w="14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按照车辆下线数量结算，单件结算价*费率*数量</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w:t>
            </w:r>
          </w:p>
        </w:tc>
        <w:tc>
          <w:tcPr>
            <w:tcW w:w="127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费率，‰</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600000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3" w:hRule="atLeast"/>
        </w:trPr>
        <w:tc>
          <w:tcPr>
            <w:tcW w:w="140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备配件库业务项目</w:t>
            </w:r>
          </w:p>
        </w:tc>
        <w:tc>
          <w:tcPr>
            <w:tcW w:w="174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备配件的仓储管理</w:t>
            </w:r>
          </w:p>
        </w:tc>
        <w:tc>
          <w:tcPr>
            <w:tcW w:w="128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投标方自备转运叉车，拖车，电动液压车等转运设备</w:t>
            </w:r>
          </w:p>
        </w:tc>
        <w:tc>
          <w:tcPr>
            <w:tcW w:w="14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单件结算价*费率*数量或大总成计费</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w:t>
            </w:r>
          </w:p>
        </w:tc>
        <w:tc>
          <w:tcPr>
            <w:tcW w:w="127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费率，‰</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40000000</w:t>
            </w: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w:t>
            </w:r>
          </w:p>
        </w:tc>
        <w:tc>
          <w:tcPr>
            <w:tcW w:w="140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140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费率，‰</w:t>
            </w:r>
          </w:p>
        </w:tc>
      </w:tr>
    </w:tbl>
    <w:p>
      <w:pPr>
        <w:spacing w:line="360" w:lineRule="atLeast"/>
        <w:rPr>
          <w:rFonts w:ascii="宋体"/>
        </w:rPr>
      </w:pPr>
    </w:p>
    <w:p>
      <w:pPr>
        <w:spacing w:line="340" w:lineRule="exact"/>
        <w:ind w:left="744" w:hanging="744" w:hangingChars="353"/>
        <w:rPr>
          <w:rFonts w:ascii="宋体" w:hAnsi="宋体"/>
          <w:b/>
        </w:rPr>
      </w:pPr>
      <w:r>
        <w:rPr>
          <w:rFonts w:hint="eastAsia" w:ascii="宋体" w:hAnsi="宋体"/>
          <w:b/>
        </w:rPr>
        <w:t>注：1、本表除附在投标文件中外，还应一式三份单独密封，以便唱标。</w:t>
      </w:r>
    </w:p>
    <w:p>
      <w:pPr>
        <w:spacing w:line="340" w:lineRule="exact"/>
        <w:ind w:firstLine="422" w:firstLineChars="200"/>
        <w:rPr>
          <w:rFonts w:ascii="宋体" w:hAnsi="宋体"/>
          <w:b/>
          <w:szCs w:val="22"/>
        </w:rPr>
      </w:pPr>
      <w:r>
        <w:rPr>
          <w:rFonts w:hint="eastAsia" w:ascii="宋体" w:hAnsi="宋体"/>
          <w:b/>
          <w:szCs w:val="22"/>
        </w:rPr>
        <w:t>2、此表中的报价必须与相应的报价明细表中的报价一致</w:t>
      </w:r>
      <w:r>
        <w:rPr>
          <w:rFonts w:hint="eastAsia" w:ascii="宋体" w:hAnsi="宋体"/>
          <w:b/>
          <w:szCs w:val="22"/>
          <w:lang w:eastAsia="zh-CN"/>
        </w:rPr>
        <w:t>，基准价为不含税价</w:t>
      </w:r>
      <w:r>
        <w:rPr>
          <w:rFonts w:hint="eastAsia"/>
          <w:b/>
          <w:bCs/>
          <w:lang w:eastAsia="zh-CN"/>
        </w:rPr>
        <w:t>，增值税税率为</w:t>
      </w:r>
      <w:r>
        <w:rPr>
          <w:rFonts w:hint="eastAsia"/>
          <w:b/>
          <w:bCs/>
          <w:lang w:val="en-US" w:eastAsia="zh-CN"/>
        </w:rPr>
        <w:t>6%</w:t>
      </w:r>
      <w:r>
        <w:rPr>
          <w:rFonts w:hint="eastAsia" w:ascii="宋体" w:hAnsi="宋体"/>
          <w:b/>
          <w:szCs w:val="22"/>
        </w:rPr>
        <w:t>。</w:t>
      </w:r>
    </w:p>
    <w:p>
      <w:pPr>
        <w:spacing w:line="360" w:lineRule="atLeast"/>
        <w:ind w:firstLine="422" w:firstLineChars="200"/>
        <w:rPr>
          <w:rFonts w:ascii="宋体"/>
        </w:rPr>
      </w:pPr>
      <w:r>
        <w:rPr>
          <w:rFonts w:hint="eastAsia" w:ascii="宋体" w:hAnsi="宋体"/>
          <w:b/>
          <w:szCs w:val="22"/>
        </w:rPr>
        <w:t>3、W指特种车公司的产品采购结算价（元、含税价）。</w:t>
      </w:r>
    </w:p>
    <w:p>
      <w:pPr>
        <w:spacing w:line="340" w:lineRule="exact"/>
        <w:ind w:firstLine="422" w:firstLineChars="200"/>
        <w:rPr>
          <w:rFonts w:hint="eastAsia" w:ascii="宋体"/>
        </w:rPr>
      </w:pPr>
      <w:r>
        <w:rPr>
          <w:rFonts w:hint="eastAsia" w:ascii="宋体" w:hAnsi="宋体"/>
          <w:b/>
          <w:szCs w:val="22"/>
        </w:rPr>
        <w:t>4、</w:t>
      </w:r>
      <w:r>
        <w:rPr>
          <w:rFonts w:ascii="宋体" w:hAnsi="宋体"/>
          <w:b/>
          <w:szCs w:val="22"/>
        </w:rPr>
        <w:t>逆向物流费用的收取标准按照正常配送服务费</w:t>
      </w:r>
      <w:r>
        <w:rPr>
          <w:rFonts w:hint="eastAsia" w:ascii="宋体" w:hAnsi="宋体"/>
          <w:b/>
          <w:szCs w:val="22"/>
        </w:rPr>
        <w:t>计算</w:t>
      </w:r>
      <w:r>
        <w:rPr>
          <w:rFonts w:hint="eastAsia" w:ascii="宋体"/>
        </w:rPr>
        <w:t>。</w:t>
      </w:r>
    </w:p>
    <w:p>
      <w:pPr>
        <w:spacing w:line="340" w:lineRule="exact"/>
        <w:ind w:firstLine="422" w:firstLineChars="200"/>
        <w:rPr>
          <w:rFonts w:hint="eastAsia" w:ascii="宋体" w:hAnsi="宋体"/>
          <w:b/>
          <w:szCs w:val="22"/>
          <w:lang w:val="en-US" w:eastAsia="zh-CN"/>
        </w:rPr>
      </w:pPr>
      <w:r>
        <w:rPr>
          <w:rFonts w:hint="eastAsia" w:ascii="宋体" w:hAnsi="宋体"/>
          <w:b/>
          <w:szCs w:val="22"/>
          <w:lang w:val="en-US" w:eastAsia="zh-CN"/>
        </w:rPr>
        <w:t>5、外部供应商付费的托管产品仓储费用，中标单位与供应商协商付费标准并签订物流服务协议，金额无异议开票后，由特种车公司代扣供应商货款支付其仓储费用。</w:t>
      </w:r>
    </w:p>
    <w:p>
      <w:pPr>
        <w:spacing w:line="500" w:lineRule="exact"/>
        <w:rPr>
          <w:rFonts w:ascii="宋体" w:hAnsi="宋体"/>
          <w:sz w:val="24"/>
        </w:rPr>
      </w:pPr>
      <w:r>
        <w:rPr>
          <w:rFonts w:hint="eastAsia" w:ascii="宋体" w:hAnsi="宋体"/>
          <w:sz w:val="24"/>
        </w:rPr>
        <w:t>投标人：（盖章）</w:t>
      </w:r>
    </w:p>
    <w:p>
      <w:pPr>
        <w:spacing w:line="500" w:lineRule="exact"/>
        <w:rPr>
          <w:rFonts w:ascii="宋体" w:hAnsi="宋体"/>
          <w:sz w:val="24"/>
        </w:rPr>
      </w:pPr>
      <w:r>
        <w:rPr>
          <w:rFonts w:hint="eastAsia" w:ascii="宋体" w:hAnsi="宋体"/>
          <w:sz w:val="24"/>
        </w:rPr>
        <w:t>法定代表人（授权代表）：（签字）</w:t>
      </w:r>
    </w:p>
    <w:p>
      <w:pPr>
        <w:spacing w:line="500" w:lineRule="exact"/>
        <w:rPr>
          <w:rFonts w:ascii="宋体" w:hAnsi="宋体"/>
          <w:sz w:val="24"/>
        </w:rPr>
        <w:sectPr>
          <w:pgSz w:w="16838" w:h="11906" w:orient="landscape"/>
          <w:pgMar w:top="1418" w:right="1701" w:bottom="1418" w:left="1134" w:header="851" w:footer="992" w:gutter="0"/>
          <w:pgNumType w:fmt="numberInDash"/>
          <w:cols w:space="720" w:num="1"/>
          <w:titlePg/>
          <w:docGrid w:type="lines" w:linePitch="312" w:charSpace="0"/>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660" w:lineRule="exact"/>
        <w:rPr>
          <w:rFonts w:eastAsia="黑体"/>
          <w:b/>
          <w:bCs/>
          <w:sz w:val="28"/>
        </w:rPr>
      </w:pPr>
      <w:r>
        <w:rPr>
          <w:rFonts w:hint="eastAsia" w:eastAsia="黑体"/>
          <w:b/>
          <w:bCs/>
          <w:sz w:val="28"/>
        </w:rPr>
        <w:t>格式4   分包分项报价清单</w:t>
      </w:r>
    </w:p>
    <w:p>
      <w:pPr>
        <w:spacing w:line="660" w:lineRule="exact"/>
        <w:rPr>
          <w:rFonts w:eastAsia="黑体"/>
          <w:b/>
          <w:bCs/>
          <w:sz w:val="28"/>
        </w:rPr>
      </w:pPr>
    </w:p>
    <w:tbl>
      <w:tblPr>
        <w:tblStyle w:val="18"/>
        <w:tblW w:w="5900" w:type="dxa"/>
        <w:jc w:val="center"/>
        <w:tblLayout w:type="autofit"/>
        <w:tblCellMar>
          <w:top w:w="0" w:type="dxa"/>
          <w:left w:w="108" w:type="dxa"/>
          <w:bottom w:w="0" w:type="dxa"/>
          <w:right w:w="108" w:type="dxa"/>
        </w:tblCellMar>
      </w:tblPr>
      <w:tblGrid>
        <w:gridCol w:w="1380"/>
        <w:gridCol w:w="2640"/>
        <w:gridCol w:w="1880"/>
      </w:tblGrid>
      <w:tr>
        <w:tblPrEx>
          <w:tblCellMar>
            <w:top w:w="0" w:type="dxa"/>
            <w:left w:w="108" w:type="dxa"/>
            <w:bottom w:w="0" w:type="dxa"/>
            <w:right w:w="108" w:type="dxa"/>
          </w:tblCellMar>
        </w:tblPrEx>
        <w:trPr>
          <w:trHeight w:val="270" w:hRule="atLeast"/>
          <w:jc w:val="center"/>
        </w:trPr>
        <w:tc>
          <w:tcPr>
            <w:tcW w:w="5900" w:type="dxa"/>
            <w:gridSpan w:val="3"/>
            <w:tcBorders>
              <w:top w:val="nil"/>
              <w:left w:val="nil"/>
              <w:bottom w:val="nil"/>
              <w:right w:val="nil"/>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表1：**包报价清单</w:t>
            </w:r>
          </w:p>
        </w:tc>
      </w:tr>
      <w:tr>
        <w:tblPrEx>
          <w:tblCellMar>
            <w:top w:w="0" w:type="dxa"/>
            <w:left w:w="108" w:type="dxa"/>
            <w:bottom w:w="0" w:type="dxa"/>
            <w:right w:w="108" w:type="dxa"/>
          </w:tblCellMar>
        </w:tblPrEx>
        <w:trPr>
          <w:trHeight w:val="450" w:hRule="atLeast"/>
          <w:jc w:val="center"/>
        </w:trPr>
        <w:tc>
          <w:tcPr>
            <w:tcW w:w="13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w:t>
            </w:r>
          </w:p>
        </w:tc>
        <w:tc>
          <w:tcPr>
            <w:tcW w:w="264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类别</w:t>
            </w:r>
          </w:p>
        </w:tc>
        <w:tc>
          <w:tcPr>
            <w:tcW w:w="18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数量</w:t>
            </w:r>
          </w:p>
        </w:tc>
      </w:tr>
      <w:tr>
        <w:tblPrEx>
          <w:tblCellMar>
            <w:top w:w="0" w:type="dxa"/>
            <w:left w:w="108" w:type="dxa"/>
            <w:bottom w:w="0" w:type="dxa"/>
            <w:right w:w="108" w:type="dxa"/>
          </w:tblCellMar>
        </w:tblPrEx>
        <w:trPr>
          <w:trHeight w:val="480" w:hRule="atLeast"/>
          <w:jc w:val="center"/>
        </w:trPr>
        <w:tc>
          <w:tcPr>
            <w:tcW w:w="138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设备</w:t>
            </w: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运输车辆</w:t>
            </w:r>
          </w:p>
        </w:tc>
        <w:tc>
          <w:tcPr>
            <w:tcW w:w="1880" w:type="dxa"/>
            <w:tcBorders>
              <w:top w:val="nil"/>
              <w:left w:val="nil"/>
              <w:bottom w:val="single" w:color="auto" w:sz="4" w:space="0"/>
              <w:right w:val="single" w:color="auto" w:sz="4" w:space="0"/>
            </w:tcBorders>
            <w:noWrap/>
            <w:vAlign w:val="center"/>
          </w:tcPr>
          <w:p>
            <w:pPr>
              <w:widowControl/>
              <w:jc w:val="left"/>
              <w:rPr>
                <w:rFonts w:ascii="Calibri" w:hAnsi="Calibri" w:cs="Calibri"/>
                <w:kern w:val="0"/>
                <w:szCs w:val="21"/>
              </w:rPr>
            </w:pPr>
            <w:r>
              <w:rPr>
                <w:rFonts w:ascii="Calibri" w:hAnsi="Calibri" w:cs="Calibri"/>
                <w:kern w:val="0"/>
                <w:szCs w:val="21"/>
              </w:rPr>
              <w:t>　</w:t>
            </w:r>
          </w:p>
        </w:tc>
      </w:tr>
      <w:tr>
        <w:tblPrEx>
          <w:tblCellMar>
            <w:top w:w="0" w:type="dxa"/>
            <w:left w:w="108" w:type="dxa"/>
            <w:bottom w:w="0" w:type="dxa"/>
            <w:right w:w="108" w:type="dxa"/>
          </w:tblCellMar>
        </w:tblPrEx>
        <w:trPr>
          <w:trHeight w:val="480" w:hRule="atLeast"/>
          <w:jc w:val="center"/>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叉车</w:t>
            </w:r>
          </w:p>
        </w:tc>
        <w:tc>
          <w:tcPr>
            <w:tcW w:w="1880" w:type="dxa"/>
            <w:tcBorders>
              <w:top w:val="nil"/>
              <w:left w:val="nil"/>
              <w:bottom w:val="single" w:color="auto" w:sz="4" w:space="0"/>
              <w:right w:val="single" w:color="auto" w:sz="4" w:space="0"/>
            </w:tcBorders>
            <w:noWrap/>
            <w:vAlign w:val="center"/>
          </w:tcPr>
          <w:p>
            <w:pPr>
              <w:widowControl/>
              <w:jc w:val="left"/>
              <w:rPr>
                <w:rFonts w:ascii="Calibri" w:hAnsi="Calibri" w:cs="Calibri"/>
                <w:kern w:val="0"/>
                <w:szCs w:val="21"/>
              </w:rPr>
            </w:pPr>
            <w:r>
              <w:rPr>
                <w:rFonts w:ascii="Calibri" w:hAnsi="Calibri" w:cs="Calibri"/>
                <w:kern w:val="0"/>
                <w:szCs w:val="21"/>
              </w:rPr>
              <w:t>　</w:t>
            </w:r>
          </w:p>
        </w:tc>
      </w:tr>
      <w:tr>
        <w:tblPrEx>
          <w:tblCellMar>
            <w:top w:w="0" w:type="dxa"/>
            <w:left w:w="108" w:type="dxa"/>
            <w:bottom w:w="0" w:type="dxa"/>
            <w:right w:w="108" w:type="dxa"/>
          </w:tblCellMar>
        </w:tblPrEx>
        <w:trPr>
          <w:trHeight w:val="480" w:hRule="atLeast"/>
          <w:jc w:val="center"/>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牵引车</w:t>
            </w:r>
          </w:p>
        </w:tc>
        <w:tc>
          <w:tcPr>
            <w:tcW w:w="1880" w:type="dxa"/>
            <w:tcBorders>
              <w:top w:val="nil"/>
              <w:left w:val="nil"/>
              <w:bottom w:val="single" w:color="auto" w:sz="4" w:space="0"/>
              <w:right w:val="single" w:color="auto" w:sz="4" w:space="0"/>
            </w:tcBorders>
            <w:noWrap/>
            <w:vAlign w:val="center"/>
          </w:tcPr>
          <w:p>
            <w:pPr>
              <w:widowControl/>
              <w:jc w:val="left"/>
              <w:rPr>
                <w:rFonts w:ascii="Calibri" w:hAnsi="Calibri" w:cs="Calibri"/>
                <w:kern w:val="0"/>
                <w:szCs w:val="21"/>
              </w:rPr>
            </w:pPr>
            <w:r>
              <w:rPr>
                <w:rFonts w:ascii="Calibri" w:hAnsi="Calibri" w:cs="Calibri"/>
                <w:kern w:val="0"/>
                <w:szCs w:val="21"/>
              </w:rPr>
              <w:t>　</w:t>
            </w:r>
          </w:p>
        </w:tc>
      </w:tr>
      <w:tr>
        <w:tblPrEx>
          <w:tblCellMar>
            <w:top w:w="0" w:type="dxa"/>
            <w:left w:w="108" w:type="dxa"/>
            <w:bottom w:w="0" w:type="dxa"/>
            <w:right w:w="108" w:type="dxa"/>
          </w:tblCellMar>
        </w:tblPrEx>
        <w:trPr>
          <w:trHeight w:val="480" w:hRule="atLeast"/>
          <w:jc w:val="center"/>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1880" w:type="dxa"/>
            <w:tcBorders>
              <w:top w:val="nil"/>
              <w:left w:val="nil"/>
              <w:bottom w:val="single" w:color="auto" w:sz="4" w:space="0"/>
              <w:right w:val="single" w:color="auto" w:sz="4" w:space="0"/>
            </w:tcBorders>
            <w:noWrap/>
            <w:vAlign w:val="center"/>
          </w:tcPr>
          <w:p>
            <w:pPr>
              <w:widowControl/>
              <w:jc w:val="left"/>
              <w:rPr>
                <w:rFonts w:ascii="Calibri" w:hAnsi="Calibri" w:cs="Calibri"/>
                <w:kern w:val="0"/>
                <w:szCs w:val="21"/>
              </w:rPr>
            </w:pPr>
            <w:r>
              <w:rPr>
                <w:rFonts w:ascii="Calibri" w:hAnsi="Calibri" w:cs="Calibri"/>
                <w:kern w:val="0"/>
                <w:szCs w:val="21"/>
              </w:rPr>
              <w:t>　</w:t>
            </w:r>
          </w:p>
        </w:tc>
      </w:tr>
      <w:tr>
        <w:tblPrEx>
          <w:tblCellMar>
            <w:top w:w="0" w:type="dxa"/>
            <w:left w:w="108" w:type="dxa"/>
            <w:bottom w:w="0" w:type="dxa"/>
            <w:right w:w="108" w:type="dxa"/>
          </w:tblCellMar>
        </w:tblPrEx>
        <w:trPr>
          <w:trHeight w:val="405" w:hRule="atLeast"/>
          <w:jc w:val="center"/>
        </w:trPr>
        <w:tc>
          <w:tcPr>
            <w:tcW w:w="1380"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厂地租赁</w:t>
            </w: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仓库面积</w:t>
            </w:r>
          </w:p>
        </w:tc>
        <w:tc>
          <w:tcPr>
            <w:tcW w:w="1880" w:type="dxa"/>
            <w:tcBorders>
              <w:top w:val="nil"/>
              <w:left w:val="nil"/>
              <w:bottom w:val="single" w:color="auto" w:sz="4" w:space="0"/>
              <w:right w:val="single" w:color="auto" w:sz="4" w:space="0"/>
            </w:tcBorders>
            <w:noWrap/>
            <w:vAlign w:val="center"/>
          </w:tcPr>
          <w:p>
            <w:pPr>
              <w:widowControl/>
              <w:jc w:val="left"/>
              <w:rPr>
                <w:rFonts w:ascii="Calibri" w:hAnsi="Calibri" w:cs="Calibri"/>
                <w:kern w:val="0"/>
                <w:szCs w:val="21"/>
              </w:rPr>
            </w:pPr>
            <w:r>
              <w:rPr>
                <w:rFonts w:ascii="Calibri" w:hAnsi="Calibri" w:cs="Calibri"/>
                <w:kern w:val="0"/>
                <w:szCs w:val="21"/>
              </w:rPr>
              <w:t>　</w:t>
            </w:r>
          </w:p>
        </w:tc>
      </w:tr>
      <w:tr>
        <w:tblPrEx>
          <w:tblCellMar>
            <w:top w:w="0" w:type="dxa"/>
            <w:left w:w="108" w:type="dxa"/>
            <w:bottom w:w="0" w:type="dxa"/>
            <w:right w:w="108" w:type="dxa"/>
          </w:tblCellMar>
        </w:tblPrEx>
        <w:trPr>
          <w:trHeight w:val="405" w:hRule="atLeast"/>
          <w:jc w:val="center"/>
        </w:trPr>
        <w:tc>
          <w:tcPr>
            <w:tcW w:w="1380" w:type="dxa"/>
            <w:vMerge w:val="continue"/>
            <w:tcBorders>
              <w:left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露天面积</w:t>
            </w:r>
          </w:p>
        </w:tc>
        <w:tc>
          <w:tcPr>
            <w:tcW w:w="1880" w:type="dxa"/>
            <w:tcBorders>
              <w:top w:val="nil"/>
              <w:left w:val="nil"/>
              <w:bottom w:val="single" w:color="auto" w:sz="4" w:space="0"/>
              <w:right w:val="single" w:color="auto" w:sz="4" w:space="0"/>
            </w:tcBorders>
            <w:noWrap/>
            <w:vAlign w:val="center"/>
          </w:tcPr>
          <w:p>
            <w:pPr>
              <w:widowControl/>
              <w:jc w:val="left"/>
              <w:rPr>
                <w:rFonts w:ascii="Calibri" w:hAnsi="Calibri" w:cs="Calibri"/>
                <w:kern w:val="0"/>
                <w:szCs w:val="21"/>
              </w:rPr>
            </w:pPr>
            <w:r>
              <w:rPr>
                <w:rFonts w:ascii="Calibri" w:hAnsi="Calibri" w:cs="Calibri"/>
                <w:kern w:val="0"/>
                <w:szCs w:val="21"/>
              </w:rPr>
              <w:t>　</w:t>
            </w:r>
          </w:p>
        </w:tc>
      </w:tr>
      <w:tr>
        <w:tblPrEx>
          <w:tblCellMar>
            <w:top w:w="0" w:type="dxa"/>
            <w:left w:w="108" w:type="dxa"/>
            <w:bottom w:w="0" w:type="dxa"/>
            <w:right w:w="108" w:type="dxa"/>
          </w:tblCellMar>
        </w:tblPrEx>
        <w:trPr>
          <w:trHeight w:val="405" w:hRule="atLeast"/>
          <w:jc w:val="center"/>
        </w:trPr>
        <w:tc>
          <w:tcPr>
            <w:tcW w:w="138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1880" w:type="dxa"/>
            <w:tcBorders>
              <w:top w:val="nil"/>
              <w:left w:val="nil"/>
              <w:bottom w:val="single" w:color="auto" w:sz="4" w:space="0"/>
              <w:right w:val="single" w:color="auto" w:sz="4" w:space="0"/>
            </w:tcBorders>
            <w:noWrap/>
            <w:vAlign w:val="center"/>
          </w:tcPr>
          <w:p>
            <w:pPr>
              <w:widowControl/>
              <w:jc w:val="left"/>
              <w:rPr>
                <w:rFonts w:ascii="Calibri" w:hAnsi="Calibri" w:cs="Calibri"/>
                <w:kern w:val="0"/>
                <w:szCs w:val="21"/>
              </w:rPr>
            </w:pPr>
          </w:p>
        </w:tc>
      </w:tr>
      <w:tr>
        <w:tblPrEx>
          <w:tblCellMar>
            <w:top w:w="0" w:type="dxa"/>
            <w:left w:w="108" w:type="dxa"/>
            <w:bottom w:w="0" w:type="dxa"/>
            <w:right w:w="108" w:type="dxa"/>
          </w:tblCellMar>
        </w:tblPrEx>
        <w:trPr>
          <w:trHeight w:val="390" w:hRule="atLeast"/>
          <w:jc w:val="center"/>
        </w:trPr>
        <w:tc>
          <w:tcPr>
            <w:tcW w:w="1380"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人员配置</w:t>
            </w: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管理人员</w:t>
            </w:r>
          </w:p>
        </w:tc>
        <w:tc>
          <w:tcPr>
            <w:tcW w:w="1880" w:type="dxa"/>
            <w:tcBorders>
              <w:top w:val="nil"/>
              <w:left w:val="nil"/>
              <w:bottom w:val="single" w:color="auto" w:sz="4" w:space="0"/>
              <w:right w:val="single" w:color="auto" w:sz="4" w:space="0"/>
            </w:tcBorders>
            <w:noWrap/>
            <w:vAlign w:val="center"/>
          </w:tcPr>
          <w:p>
            <w:pPr>
              <w:widowControl/>
              <w:jc w:val="left"/>
              <w:rPr>
                <w:rFonts w:ascii="Calibri" w:hAnsi="Calibri" w:cs="Calibri"/>
                <w:kern w:val="0"/>
                <w:szCs w:val="21"/>
              </w:rPr>
            </w:pPr>
            <w:r>
              <w:rPr>
                <w:rFonts w:ascii="Calibri" w:hAnsi="Calibri" w:cs="Calibri"/>
                <w:kern w:val="0"/>
                <w:szCs w:val="21"/>
              </w:rPr>
              <w:t>　</w:t>
            </w:r>
          </w:p>
        </w:tc>
      </w:tr>
      <w:tr>
        <w:tblPrEx>
          <w:tblCellMar>
            <w:top w:w="0" w:type="dxa"/>
            <w:left w:w="108" w:type="dxa"/>
            <w:bottom w:w="0" w:type="dxa"/>
            <w:right w:w="108" w:type="dxa"/>
          </w:tblCellMar>
        </w:tblPrEx>
        <w:trPr>
          <w:trHeight w:val="420" w:hRule="atLeast"/>
          <w:jc w:val="center"/>
        </w:trPr>
        <w:tc>
          <w:tcPr>
            <w:tcW w:w="1380" w:type="dxa"/>
            <w:vMerge w:val="continue"/>
            <w:tcBorders>
              <w:left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作业人员</w:t>
            </w:r>
          </w:p>
        </w:tc>
        <w:tc>
          <w:tcPr>
            <w:tcW w:w="1880" w:type="dxa"/>
            <w:tcBorders>
              <w:top w:val="nil"/>
              <w:left w:val="nil"/>
              <w:bottom w:val="single" w:color="auto" w:sz="4" w:space="0"/>
              <w:right w:val="single" w:color="auto" w:sz="4" w:space="0"/>
            </w:tcBorders>
            <w:noWrap/>
            <w:vAlign w:val="center"/>
          </w:tcPr>
          <w:p>
            <w:pPr>
              <w:widowControl/>
              <w:jc w:val="left"/>
              <w:rPr>
                <w:rFonts w:ascii="Calibri" w:hAnsi="Calibri" w:cs="Calibri"/>
                <w:kern w:val="0"/>
                <w:szCs w:val="21"/>
              </w:rPr>
            </w:pPr>
            <w:r>
              <w:rPr>
                <w:rFonts w:ascii="Calibri" w:hAnsi="Calibri" w:cs="Calibri"/>
                <w:kern w:val="0"/>
                <w:szCs w:val="21"/>
              </w:rPr>
              <w:t>　</w:t>
            </w:r>
          </w:p>
        </w:tc>
      </w:tr>
      <w:tr>
        <w:tblPrEx>
          <w:tblCellMar>
            <w:top w:w="0" w:type="dxa"/>
            <w:left w:w="108" w:type="dxa"/>
            <w:bottom w:w="0" w:type="dxa"/>
            <w:right w:w="108" w:type="dxa"/>
          </w:tblCellMar>
        </w:tblPrEx>
        <w:trPr>
          <w:trHeight w:val="420" w:hRule="atLeast"/>
          <w:jc w:val="center"/>
        </w:trPr>
        <w:tc>
          <w:tcPr>
            <w:tcW w:w="138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1880" w:type="dxa"/>
            <w:tcBorders>
              <w:top w:val="nil"/>
              <w:left w:val="nil"/>
              <w:bottom w:val="single" w:color="auto" w:sz="4" w:space="0"/>
              <w:right w:val="single" w:color="auto" w:sz="4" w:space="0"/>
            </w:tcBorders>
            <w:noWrap/>
            <w:vAlign w:val="center"/>
          </w:tcPr>
          <w:p>
            <w:pPr>
              <w:widowControl/>
              <w:jc w:val="left"/>
              <w:rPr>
                <w:rFonts w:ascii="Calibri" w:hAnsi="Calibri" w:cs="Calibri"/>
                <w:kern w:val="0"/>
                <w:szCs w:val="21"/>
              </w:rPr>
            </w:pPr>
          </w:p>
        </w:tc>
      </w:tr>
      <w:tr>
        <w:tblPrEx>
          <w:tblCellMar>
            <w:top w:w="0" w:type="dxa"/>
            <w:left w:w="108" w:type="dxa"/>
            <w:bottom w:w="0" w:type="dxa"/>
            <w:right w:w="108" w:type="dxa"/>
          </w:tblCellMar>
        </w:tblPrEx>
        <w:trPr>
          <w:trHeight w:val="435" w:hRule="atLeast"/>
          <w:jc w:val="center"/>
        </w:trPr>
        <w:tc>
          <w:tcPr>
            <w:tcW w:w="13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增值服务</w:t>
            </w:r>
          </w:p>
        </w:tc>
        <w:tc>
          <w:tcPr>
            <w:tcW w:w="452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jc w:val="center"/>
        </w:trPr>
        <w:tc>
          <w:tcPr>
            <w:tcW w:w="5900" w:type="dxa"/>
            <w:gridSpan w:val="3"/>
            <w:tcBorders>
              <w:top w:val="nil"/>
              <w:left w:val="nil"/>
              <w:bottom w:val="nil"/>
              <w:right w:val="nil"/>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注：该表可根据实际情况做适当调整或增加附件说明。</w:t>
            </w:r>
          </w:p>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435" w:hRule="atLeast"/>
          <w:jc w:val="center"/>
        </w:trPr>
        <w:tc>
          <w:tcPr>
            <w:tcW w:w="5900" w:type="dxa"/>
            <w:gridSpan w:val="3"/>
            <w:tcBorders>
              <w:top w:val="nil"/>
              <w:left w:val="nil"/>
              <w:bottom w:val="nil"/>
              <w:right w:val="nil"/>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表2：**包报价清单</w:t>
            </w:r>
          </w:p>
        </w:tc>
      </w:tr>
      <w:tr>
        <w:tblPrEx>
          <w:tblCellMar>
            <w:top w:w="0" w:type="dxa"/>
            <w:left w:w="108" w:type="dxa"/>
            <w:bottom w:w="0" w:type="dxa"/>
            <w:right w:w="108" w:type="dxa"/>
          </w:tblCellMar>
        </w:tblPrEx>
        <w:trPr>
          <w:trHeight w:val="435" w:hRule="atLeast"/>
          <w:jc w:val="center"/>
        </w:trPr>
        <w:tc>
          <w:tcPr>
            <w:tcW w:w="13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w:t>
            </w:r>
          </w:p>
        </w:tc>
        <w:tc>
          <w:tcPr>
            <w:tcW w:w="264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类别</w:t>
            </w:r>
          </w:p>
        </w:tc>
        <w:tc>
          <w:tcPr>
            <w:tcW w:w="18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金额</w:t>
            </w:r>
          </w:p>
        </w:tc>
      </w:tr>
      <w:tr>
        <w:tblPrEx>
          <w:tblCellMar>
            <w:top w:w="0" w:type="dxa"/>
            <w:left w:w="108" w:type="dxa"/>
            <w:bottom w:w="0" w:type="dxa"/>
            <w:right w:w="108" w:type="dxa"/>
          </w:tblCellMar>
        </w:tblPrEx>
        <w:trPr>
          <w:trHeight w:val="435" w:hRule="atLeast"/>
          <w:jc w:val="center"/>
        </w:trPr>
        <w:tc>
          <w:tcPr>
            <w:tcW w:w="1380" w:type="dxa"/>
            <w:vMerge w:val="restart"/>
            <w:tcBorders>
              <w:top w:val="nil"/>
              <w:left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成本</w:t>
            </w: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设备折旧费（元</w:t>
            </w:r>
            <w:r>
              <w:rPr>
                <w:kern w:val="0"/>
                <w:sz w:val="22"/>
                <w:szCs w:val="22"/>
              </w:rPr>
              <w:t>/</w:t>
            </w:r>
            <w:r>
              <w:rPr>
                <w:rFonts w:hint="eastAsia" w:ascii="宋体" w:hAnsi="宋体" w:cs="宋体"/>
                <w:kern w:val="0"/>
                <w:sz w:val="22"/>
                <w:szCs w:val="22"/>
              </w:rPr>
              <w:t>年）</w:t>
            </w:r>
          </w:p>
        </w:tc>
        <w:tc>
          <w:tcPr>
            <w:tcW w:w="18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35" w:hRule="atLeast"/>
          <w:jc w:val="center"/>
        </w:trPr>
        <w:tc>
          <w:tcPr>
            <w:tcW w:w="1380" w:type="dxa"/>
            <w:vMerge w:val="continue"/>
            <w:tcBorders>
              <w:left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厂地租赁费（元</w:t>
            </w:r>
            <w:r>
              <w:rPr>
                <w:kern w:val="0"/>
                <w:sz w:val="22"/>
                <w:szCs w:val="22"/>
              </w:rPr>
              <w:t>/</w:t>
            </w:r>
            <w:r>
              <w:rPr>
                <w:rFonts w:hint="eastAsia" w:ascii="宋体" w:hAnsi="宋体" w:cs="宋体"/>
                <w:kern w:val="0"/>
                <w:sz w:val="22"/>
                <w:szCs w:val="22"/>
              </w:rPr>
              <w:t>年）</w:t>
            </w:r>
          </w:p>
        </w:tc>
        <w:tc>
          <w:tcPr>
            <w:tcW w:w="18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35" w:hRule="atLeast"/>
          <w:jc w:val="center"/>
        </w:trPr>
        <w:tc>
          <w:tcPr>
            <w:tcW w:w="1380" w:type="dxa"/>
            <w:vMerge w:val="continue"/>
            <w:tcBorders>
              <w:left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燃动能费用（元</w:t>
            </w:r>
            <w:r>
              <w:rPr>
                <w:kern w:val="0"/>
                <w:sz w:val="22"/>
                <w:szCs w:val="22"/>
              </w:rPr>
              <w:t>/</w:t>
            </w:r>
            <w:r>
              <w:rPr>
                <w:rFonts w:hint="eastAsia" w:ascii="宋体" w:hAnsi="宋体" w:cs="宋体"/>
                <w:kern w:val="0"/>
                <w:sz w:val="22"/>
                <w:szCs w:val="22"/>
              </w:rPr>
              <w:t>年）</w:t>
            </w:r>
          </w:p>
        </w:tc>
        <w:tc>
          <w:tcPr>
            <w:tcW w:w="18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00" w:hRule="atLeast"/>
          <w:jc w:val="center"/>
        </w:trPr>
        <w:tc>
          <w:tcPr>
            <w:tcW w:w="1380" w:type="dxa"/>
            <w:vMerge w:val="continue"/>
            <w:tcBorders>
              <w:left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人工费用（元</w:t>
            </w:r>
            <w:r>
              <w:rPr>
                <w:kern w:val="0"/>
                <w:sz w:val="22"/>
                <w:szCs w:val="22"/>
              </w:rPr>
              <w:t>/</w:t>
            </w:r>
            <w:r>
              <w:rPr>
                <w:rFonts w:hint="eastAsia" w:ascii="宋体" w:hAnsi="宋体" w:cs="宋体"/>
                <w:kern w:val="0"/>
                <w:sz w:val="22"/>
                <w:szCs w:val="22"/>
              </w:rPr>
              <w:t>年）</w:t>
            </w:r>
          </w:p>
        </w:tc>
        <w:tc>
          <w:tcPr>
            <w:tcW w:w="188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00" w:hRule="atLeast"/>
          <w:jc w:val="center"/>
        </w:trPr>
        <w:tc>
          <w:tcPr>
            <w:tcW w:w="1380" w:type="dxa"/>
            <w:vMerge w:val="continue"/>
            <w:tcBorders>
              <w:left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管理费用（元</w:t>
            </w:r>
            <w:r>
              <w:rPr>
                <w:kern w:val="0"/>
                <w:sz w:val="22"/>
                <w:szCs w:val="22"/>
              </w:rPr>
              <w:t>/</w:t>
            </w:r>
            <w:r>
              <w:rPr>
                <w:rFonts w:hint="eastAsia" w:ascii="宋体" w:hAnsi="宋体" w:cs="宋体"/>
                <w:kern w:val="0"/>
                <w:sz w:val="22"/>
                <w:szCs w:val="22"/>
              </w:rPr>
              <w:t>年）</w:t>
            </w:r>
          </w:p>
        </w:tc>
        <w:tc>
          <w:tcPr>
            <w:tcW w:w="188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jc w:val="center"/>
        </w:trPr>
        <w:tc>
          <w:tcPr>
            <w:tcW w:w="1380" w:type="dxa"/>
            <w:vMerge w:val="continue"/>
            <w:tcBorders>
              <w:left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利润</w:t>
            </w:r>
          </w:p>
        </w:tc>
        <w:tc>
          <w:tcPr>
            <w:tcW w:w="188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jc w:val="center"/>
        </w:trPr>
        <w:tc>
          <w:tcPr>
            <w:tcW w:w="1380" w:type="dxa"/>
            <w:vMerge w:val="continue"/>
            <w:tcBorders>
              <w:left w:val="single" w:color="auto" w:sz="4" w:space="0"/>
              <w:right w:val="single" w:color="auto" w:sz="4" w:space="0"/>
            </w:tcBorders>
            <w:vAlign w:val="center"/>
          </w:tcPr>
          <w:p>
            <w:pPr>
              <w:widowControl/>
              <w:jc w:val="left"/>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188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jc w:val="center"/>
        </w:trPr>
        <w:tc>
          <w:tcPr>
            <w:tcW w:w="138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26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合计（不含税）</w:t>
            </w:r>
          </w:p>
        </w:tc>
        <w:tc>
          <w:tcPr>
            <w:tcW w:w="1880"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70" w:hRule="atLeast"/>
          <w:jc w:val="center"/>
        </w:trPr>
        <w:tc>
          <w:tcPr>
            <w:tcW w:w="5900" w:type="dxa"/>
            <w:gridSpan w:val="3"/>
            <w:tcBorders>
              <w:top w:val="single" w:color="auto" w:sz="4" w:space="0"/>
              <w:left w:val="nil"/>
              <w:bottom w:val="nil"/>
              <w:right w:val="nil"/>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注：该表计价应与附件《开标一览表》中报价相符。</w:t>
            </w:r>
          </w:p>
        </w:tc>
      </w:tr>
    </w:tbl>
    <w:p>
      <w:pPr>
        <w:spacing w:line="660" w:lineRule="exact"/>
        <w:rPr>
          <w:rFonts w:ascii="宋体" w:hAnsi="宋体"/>
          <w:sz w:val="24"/>
        </w:rPr>
      </w:pPr>
    </w:p>
    <w:p>
      <w:pPr>
        <w:spacing w:line="660" w:lineRule="exact"/>
        <w:rPr>
          <w:rFonts w:ascii="宋体" w:hAnsi="宋体"/>
          <w:sz w:val="24"/>
        </w:rPr>
      </w:pPr>
    </w:p>
    <w:p>
      <w:pPr>
        <w:spacing w:line="660" w:lineRule="exact"/>
        <w:rPr>
          <w:rFonts w:ascii="宋体" w:hAnsi="宋体"/>
          <w:sz w:val="24"/>
        </w:rPr>
      </w:pPr>
      <w:r>
        <w:rPr>
          <w:rFonts w:eastAsia="黑体"/>
          <w:b/>
          <w:bCs/>
          <w:sz w:val="28"/>
        </w:rPr>
        <w:br w:type="page"/>
      </w:r>
      <w:r>
        <w:rPr>
          <w:rFonts w:hint="eastAsia" w:eastAsia="黑体"/>
          <w:b/>
          <w:bCs/>
          <w:sz w:val="28"/>
        </w:rPr>
        <w:t>格式5</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rPr>
          <w:rFonts w:ascii="宋体" w:hAnsi="宋体"/>
          <w:szCs w:val="21"/>
        </w:rPr>
      </w:pPr>
      <w:r>
        <w:rPr>
          <w:rFonts w:hint="eastAsia" w:ascii="宋体" w:hAnsi="宋体"/>
          <w:szCs w:val="21"/>
        </w:rPr>
        <w:t>日期：  年   月   日</w:t>
      </w:r>
    </w:p>
    <w:p>
      <w:pPr>
        <w:jc w:val="center"/>
        <w:rPr>
          <w:rFonts w:eastAsia="黑体"/>
          <w:b/>
          <w:bCs/>
          <w:sz w:val="28"/>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pPr>
              <w:rPr>
                <w:rFonts w:ascii="仿宋_GB2312" w:hAnsi="宋体" w:eastAsia="仿宋_GB2312"/>
                <w:sz w:val="24"/>
              </w:rPr>
            </w:pPr>
            <w:r>
              <w:rPr>
                <w:rFonts w:hint="eastAsia" w:ascii="仿宋_GB2312" w:hAnsi="宋体" w:eastAsia="仿宋_GB2312"/>
                <w:sz w:val="24"/>
              </w:rPr>
              <w:t>投标人承诺：</w:t>
            </w:r>
          </w:p>
          <w:p>
            <w:pPr>
              <w:pStyle w:val="9"/>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pPr>
              <w:rPr>
                <w:rFonts w:ascii="仿宋_GB2312" w:hAnsi="宋体" w:eastAsia="仿宋_GB2312"/>
                <w:sz w:val="24"/>
              </w:rPr>
            </w:pPr>
          </w:p>
        </w:tc>
      </w:tr>
    </w:tbl>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投标人名称（盖章）：              法定代表人或授权代表签字：</w:t>
      </w:r>
    </w:p>
    <w:p>
      <w:pPr>
        <w:rPr>
          <w:rFonts w:ascii="宋体" w:hAnsi="宋体"/>
          <w:sz w:val="24"/>
        </w:rPr>
      </w:pP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pPr>
        <w:rPr>
          <w:rFonts w:eastAsia="黑体"/>
          <w:b/>
          <w:bCs/>
          <w:sz w:val="28"/>
        </w:rPr>
      </w:pPr>
    </w:p>
    <w:p>
      <w:pPr>
        <w:rPr>
          <w:rFonts w:eastAsia="黑体"/>
          <w:b/>
          <w:bCs/>
          <w:sz w:val="28"/>
        </w:rPr>
      </w:pPr>
    </w:p>
    <w:p>
      <w:pPr>
        <w:ind w:firstLine="1"/>
        <w:rPr>
          <w:rFonts w:eastAsia="黑体"/>
          <w:b/>
          <w:bCs/>
          <w:sz w:val="28"/>
        </w:rPr>
      </w:pPr>
    </w:p>
    <w:p>
      <w:pPr>
        <w:ind w:firstLine="1"/>
        <w:rPr>
          <w:rFonts w:eastAsia="黑体"/>
          <w:b/>
          <w:bCs/>
          <w:sz w:val="28"/>
        </w:rPr>
      </w:pPr>
    </w:p>
    <w:p>
      <w:pPr>
        <w:ind w:firstLine="1"/>
        <w:rPr>
          <w:rFonts w:eastAsia="黑体"/>
          <w:b/>
          <w:bCs/>
          <w:sz w:val="28"/>
        </w:rPr>
      </w:pPr>
      <w:r>
        <w:rPr>
          <w:rFonts w:eastAsia="黑体"/>
          <w:b/>
          <w:bCs/>
          <w:sz w:val="28"/>
        </w:rPr>
        <w:br w:type="page"/>
      </w:r>
      <w:r>
        <w:rPr>
          <w:rFonts w:hint="eastAsia" w:eastAsia="黑体"/>
          <w:b/>
          <w:bCs/>
          <w:sz w:val="28"/>
        </w:rPr>
        <w:t>格式6</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rPr>
          <w:rFonts w:ascii="宋体" w:hAnsi="宋体"/>
          <w:szCs w:val="21"/>
        </w:rPr>
      </w:pPr>
      <w:r>
        <w:rPr>
          <w:rFonts w:hint="eastAsia" w:ascii="宋体" w:hAnsi="宋体"/>
          <w:szCs w:val="21"/>
        </w:rPr>
        <w:t>日期：  年   月   日</w:t>
      </w:r>
    </w:p>
    <w:p>
      <w:pPr>
        <w:jc w:val="center"/>
        <w:rPr>
          <w:rFonts w:eastAsia="黑体"/>
          <w:b/>
          <w:bCs/>
          <w:sz w:val="28"/>
        </w:rPr>
      </w:pPr>
    </w:p>
    <w:p>
      <w:pPr>
        <w:jc w:val="center"/>
        <w:rPr>
          <w:rFonts w:eastAsia="黑体"/>
          <w:b/>
          <w:bCs/>
          <w:sz w:val="28"/>
        </w:rPr>
      </w:pPr>
      <w:r>
        <w:rPr>
          <w:rFonts w:hint="eastAsia" w:eastAsia="黑体"/>
          <w:b/>
          <w:bCs/>
          <w:sz w:val="28"/>
        </w:rPr>
        <w:t>相关条款偏离表（含商务偏离及技术偏离）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ascii="宋体" w:hAnsi="宋体"/>
                <w:sz w:val="24"/>
              </w:rPr>
            </w:pPr>
            <w:r>
              <w:rPr>
                <w:rFonts w:hint="eastAsia" w:ascii="宋体" w:hAnsi="宋体"/>
                <w:sz w:val="24"/>
              </w:rPr>
              <w:t>序号</w:t>
            </w:r>
          </w:p>
        </w:tc>
        <w:tc>
          <w:tcPr>
            <w:tcW w:w="4140" w:type="dxa"/>
            <w:gridSpan w:val="2"/>
            <w:vAlign w:val="center"/>
          </w:tcPr>
          <w:p>
            <w:pPr>
              <w:jc w:val="center"/>
              <w:rPr>
                <w:rFonts w:ascii="宋体" w:hAnsi="宋体"/>
                <w:sz w:val="24"/>
              </w:rPr>
            </w:pPr>
            <w:r>
              <w:rPr>
                <w:rFonts w:hint="eastAsia" w:ascii="宋体" w:hAnsi="宋体"/>
                <w:sz w:val="24"/>
              </w:rPr>
              <w:t>招标文件条款</w:t>
            </w:r>
          </w:p>
        </w:tc>
        <w:tc>
          <w:tcPr>
            <w:tcW w:w="3554" w:type="dxa"/>
            <w:vMerge w:val="restart"/>
            <w:vAlign w:val="center"/>
          </w:tcPr>
          <w:p>
            <w:pPr>
              <w:jc w:val="center"/>
              <w:rPr>
                <w:rFonts w:ascii="宋体" w:hAnsi="宋体"/>
                <w:sz w:val="24"/>
              </w:rPr>
            </w:pPr>
            <w:r>
              <w:rPr>
                <w:rFonts w:hint="eastAsia" w:ascii="宋体" w:hAnsi="宋体"/>
                <w:sz w:val="24"/>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ascii="宋体" w:hAnsi="宋体"/>
                <w:sz w:val="24"/>
              </w:rPr>
            </w:pPr>
          </w:p>
        </w:tc>
        <w:tc>
          <w:tcPr>
            <w:tcW w:w="1080" w:type="dxa"/>
            <w:vAlign w:val="center"/>
          </w:tcPr>
          <w:p>
            <w:pPr>
              <w:jc w:val="center"/>
              <w:rPr>
                <w:rFonts w:ascii="宋体" w:hAnsi="宋体"/>
                <w:sz w:val="24"/>
              </w:rPr>
            </w:pPr>
            <w:r>
              <w:rPr>
                <w:rFonts w:hint="eastAsia" w:ascii="宋体" w:hAnsi="宋体"/>
                <w:sz w:val="24"/>
              </w:rPr>
              <w:t>条款号</w:t>
            </w:r>
          </w:p>
        </w:tc>
        <w:tc>
          <w:tcPr>
            <w:tcW w:w="3060" w:type="dxa"/>
            <w:vAlign w:val="center"/>
          </w:tcPr>
          <w:p>
            <w:pPr>
              <w:jc w:val="center"/>
              <w:rPr>
                <w:rFonts w:ascii="宋体" w:hAnsi="宋体"/>
                <w:sz w:val="24"/>
              </w:rPr>
            </w:pPr>
            <w:r>
              <w:rPr>
                <w:rFonts w:hint="eastAsia" w:ascii="宋体" w:hAnsi="宋体"/>
                <w:sz w:val="24"/>
              </w:rPr>
              <w:t>条款要求</w:t>
            </w:r>
          </w:p>
        </w:tc>
        <w:tc>
          <w:tcPr>
            <w:tcW w:w="3554"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1</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2</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3</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4</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5</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6</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7</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8</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9</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10</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bl>
    <w:p>
      <w:pPr>
        <w:rPr>
          <w:rFonts w:ascii="宋体" w:hAnsi="宋体"/>
          <w:sz w:val="24"/>
        </w:rPr>
      </w:pPr>
    </w:p>
    <w:p>
      <w:pPr>
        <w:rPr>
          <w:rFonts w:ascii="仿宋_GB2312" w:hAnsi="宋体" w:eastAsia="仿宋_GB2312"/>
          <w:sz w:val="24"/>
        </w:rPr>
      </w:pPr>
      <w:r>
        <w:rPr>
          <w:rFonts w:hint="eastAsia" w:ascii="仿宋_GB2312" w:hAnsi="宋体" w:eastAsia="仿宋_GB2312"/>
          <w:sz w:val="24"/>
        </w:rPr>
        <w:t>投标人名称（盖章）：              法定代表人或授权代表签字：</w:t>
      </w:r>
    </w:p>
    <w:p>
      <w:pPr>
        <w:rPr>
          <w:rFonts w:ascii="宋体" w:hAnsi="宋体"/>
          <w:sz w:val="24"/>
        </w:rPr>
      </w:pP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pPr>
        <w:rPr>
          <w:rFonts w:ascii="宋体" w:hAnsi="宋体"/>
          <w:sz w:val="24"/>
        </w:rPr>
      </w:pPr>
    </w:p>
    <w:p>
      <w:pPr>
        <w:jc w:val="left"/>
        <w:rPr>
          <w:rFonts w:eastAsia="黑体"/>
          <w:b/>
          <w:bCs/>
          <w:sz w:val="28"/>
        </w:rPr>
      </w:pPr>
      <w:r>
        <w:rPr>
          <w:rFonts w:eastAsia="黑体"/>
          <w:b/>
          <w:bCs/>
          <w:sz w:val="28"/>
        </w:rPr>
        <w:br w:type="page"/>
      </w:r>
      <w:r>
        <w:rPr>
          <w:rFonts w:hint="eastAsia" w:eastAsia="黑体"/>
          <w:b/>
          <w:bCs/>
          <w:sz w:val="28"/>
        </w:rPr>
        <w:t>格式7</w:t>
      </w:r>
    </w:p>
    <w:p>
      <w:pPr>
        <w:jc w:val="center"/>
        <w:rPr>
          <w:rFonts w:eastAsia="黑体"/>
          <w:b/>
          <w:bCs/>
          <w:sz w:val="28"/>
        </w:rPr>
      </w:pPr>
      <w:r>
        <w:rPr>
          <w:rFonts w:hint="eastAsia" w:eastAsia="黑体"/>
          <w:b/>
          <w:bCs/>
          <w:sz w:val="28"/>
        </w:rPr>
        <w:t>企业情况、从业经历、服务承诺一览表</w:t>
      </w:r>
    </w:p>
    <w:p>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18"/>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pPr>
              <w:jc w:val="center"/>
              <w:rPr>
                <w:rFonts w:ascii="宋体" w:hAnsi="宋体"/>
                <w:sz w:val="24"/>
              </w:rPr>
            </w:pPr>
            <w:r>
              <w:rPr>
                <w:rFonts w:hint="eastAsia" w:ascii="宋体" w:hAnsi="宋体"/>
                <w:sz w:val="24"/>
              </w:rPr>
              <w:t>公司名称</w:t>
            </w:r>
          </w:p>
        </w:tc>
        <w:tc>
          <w:tcPr>
            <w:tcW w:w="2269" w:type="dxa"/>
            <w:gridSpan w:val="4"/>
            <w:vAlign w:val="center"/>
          </w:tcPr>
          <w:p>
            <w:pPr>
              <w:jc w:val="center"/>
              <w:rPr>
                <w:rFonts w:ascii="宋体" w:hAnsi="宋体"/>
                <w:sz w:val="24"/>
              </w:rPr>
            </w:pPr>
          </w:p>
        </w:tc>
        <w:tc>
          <w:tcPr>
            <w:tcW w:w="1276" w:type="dxa"/>
            <w:gridSpan w:val="3"/>
            <w:vAlign w:val="center"/>
          </w:tcPr>
          <w:p>
            <w:pPr>
              <w:rPr>
                <w:rFonts w:ascii="宋体" w:hAnsi="宋体"/>
                <w:sz w:val="24"/>
              </w:rPr>
            </w:pPr>
            <w:r>
              <w:rPr>
                <w:rFonts w:hint="eastAsia" w:ascii="宋体" w:hAnsi="宋体"/>
                <w:sz w:val="24"/>
              </w:rPr>
              <w:t>成立时间</w:t>
            </w:r>
          </w:p>
        </w:tc>
        <w:tc>
          <w:tcPr>
            <w:tcW w:w="1400" w:type="dxa"/>
            <w:vAlign w:val="center"/>
          </w:tcPr>
          <w:p>
            <w:pPr>
              <w:rPr>
                <w:rFonts w:ascii="宋体" w:hAnsi="宋体"/>
                <w:sz w:val="24"/>
              </w:rPr>
            </w:pPr>
          </w:p>
        </w:tc>
        <w:tc>
          <w:tcPr>
            <w:tcW w:w="1293" w:type="dxa"/>
            <w:vAlign w:val="center"/>
          </w:tcPr>
          <w:p>
            <w:pPr>
              <w:rPr>
                <w:rFonts w:ascii="宋体" w:hAnsi="宋体"/>
                <w:sz w:val="24"/>
              </w:rPr>
            </w:pPr>
            <w:r>
              <w:rPr>
                <w:rFonts w:hint="eastAsia" w:ascii="宋体" w:hAnsi="宋体"/>
                <w:sz w:val="24"/>
              </w:rPr>
              <w:t>注册资本</w:t>
            </w:r>
          </w:p>
        </w:tc>
        <w:tc>
          <w:tcPr>
            <w:tcW w:w="2263" w:type="dxa"/>
            <w:gridSpan w:val="2"/>
            <w:vAlign w:val="center"/>
          </w:tcPr>
          <w:p>
            <w:pPr>
              <w:jc w:val="right"/>
              <w:rPr>
                <w:rFonts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2408" w:type="dxa"/>
            <w:gridSpan w:val="3"/>
            <w:vAlign w:val="center"/>
          </w:tcPr>
          <w:p>
            <w:pPr>
              <w:jc w:val="left"/>
              <w:rPr>
                <w:rFonts w:ascii="宋体" w:hAnsi="宋体"/>
                <w:sz w:val="24"/>
              </w:rPr>
            </w:pPr>
            <w:r>
              <w:rPr>
                <w:rFonts w:hint="eastAsia" w:ascii="宋体" w:hAnsi="宋体"/>
                <w:sz w:val="24"/>
              </w:rPr>
              <w:t>公司在册员工人数</w:t>
            </w:r>
          </w:p>
        </w:tc>
        <w:tc>
          <w:tcPr>
            <w:tcW w:w="1984" w:type="dxa"/>
            <w:gridSpan w:val="4"/>
            <w:vAlign w:val="center"/>
          </w:tcPr>
          <w:p>
            <w:pPr>
              <w:jc w:val="right"/>
              <w:rPr>
                <w:rFonts w:ascii="宋体" w:hAnsi="宋体"/>
                <w:sz w:val="24"/>
              </w:rPr>
            </w:pPr>
            <w:r>
              <w:rPr>
                <w:rFonts w:hint="eastAsia" w:ascii="宋体" w:hAnsi="宋体"/>
                <w:sz w:val="24"/>
              </w:rPr>
              <w:t>人</w:t>
            </w:r>
          </w:p>
        </w:tc>
        <w:tc>
          <w:tcPr>
            <w:tcW w:w="3970" w:type="dxa"/>
            <w:gridSpan w:val="4"/>
            <w:vAlign w:val="center"/>
          </w:tcPr>
          <w:p>
            <w:pPr>
              <w:rPr>
                <w:rFonts w:ascii="宋体" w:hAnsi="宋体"/>
                <w:sz w:val="24"/>
              </w:rPr>
            </w:pPr>
            <w:r>
              <w:rPr>
                <w:rFonts w:hint="eastAsia" w:ascii="宋体" w:hAnsi="宋体"/>
                <w:sz w:val="24"/>
              </w:rPr>
              <w:t>专业从事产品研发、生产的员工人数</w:t>
            </w:r>
          </w:p>
        </w:tc>
        <w:tc>
          <w:tcPr>
            <w:tcW w:w="1554" w:type="dxa"/>
            <w:vAlign w:val="center"/>
          </w:tcPr>
          <w:p>
            <w:pPr>
              <w:jc w:val="right"/>
              <w:rPr>
                <w:rFonts w:ascii="宋体" w:hAnsi="宋体"/>
                <w:sz w:val="24"/>
              </w:rPr>
            </w:pP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pPr>
              <w:jc w:val="left"/>
              <w:rPr>
                <w:rFonts w:ascii="宋体" w:hAnsi="宋体"/>
                <w:sz w:val="24"/>
              </w:rPr>
            </w:pPr>
            <w:r>
              <w:rPr>
                <w:rFonts w:hint="eastAsia" w:ascii="宋体" w:hAnsi="宋体"/>
                <w:sz w:val="24"/>
              </w:rPr>
              <w:t>企业所通过的体系认证情况</w:t>
            </w:r>
          </w:p>
        </w:tc>
        <w:tc>
          <w:tcPr>
            <w:tcW w:w="6232" w:type="dxa"/>
            <w:gridSpan w:val="7"/>
            <w:vAlign w:val="center"/>
          </w:tcPr>
          <w:p>
            <w:pPr>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pPr>
              <w:jc w:val="center"/>
              <w:rPr>
                <w:rFonts w:ascii="宋体" w:hAnsi="宋体"/>
                <w:sz w:val="24"/>
              </w:rPr>
            </w:pPr>
            <w:r>
              <w:rPr>
                <w:rFonts w:hint="eastAsia" w:ascii="宋体" w:hAnsi="宋体"/>
                <w:sz w:val="24"/>
              </w:rPr>
              <w:t>项目起止时间</w:t>
            </w:r>
          </w:p>
        </w:tc>
        <w:tc>
          <w:tcPr>
            <w:tcW w:w="3556" w:type="dxa"/>
            <w:gridSpan w:val="3"/>
            <w:vAlign w:val="center"/>
          </w:tcPr>
          <w:p>
            <w:pPr>
              <w:jc w:val="center"/>
              <w:rPr>
                <w:rFonts w:ascii="宋体" w:hAnsi="宋体"/>
                <w:sz w:val="24"/>
              </w:rPr>
            </w:pPr>
            <w:r>
              <w:rPr>
                <w:rFonts w:hint="eastAsia" w:ascii="宋体" w:hAnsi="宋体"/>
                <w:sz w:val="24"/>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pPr>
              <w:jc w:val="center"/>
              <w:rPr>
                <w:rFonts w:ascii="宋体" w:hAnsi="宋体"/>
                <w:sz w:val="24"/>
              </w:rPr>
            </w:pPr>
            <w:r>
              <w:rPr>
                <w:rFonts w:hint="eastAsia" w:ascii="宋体" w:hAnsi="宋体"/>
                <w:sz w:val="24"/>
              </w:rPr>
              <w:t>设计人员（名）</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hint="eastAsia" w:ascii="宋体" w:hAnsi="宋体"/>
                <w:sz w:val="24"/>
              </w:rPr>
              <w:t>生产设备（功能、型号、数量）</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szCs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sz w:val="24"/>
              </w:rPr>
            </w:pPr>
            <w:r>
              <w:rPr>
                <w:rFonts w:hint="eastAsia" w:ascii="宋体" w:hAnsi="宋体"/>
                <w:sz w:val="24"/>
              </w:rPr>
              <w:t>其他</w:t>
            </w: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bl>
    <w:p>
      <w:pPr>
        <w:pStyle w:val="9"/>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pPr>
        <w:pStyle w:val="9"/>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pPr>
        <w:pStyle w:val="9"/>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pPr>
        <w:rPr>
          <w:rFonts w:eastAsia="黑体"/>
          <w:b/>
          <w:bCs/>
          <w:sz w:val="28"/>
        </w:rPr>
      </w:pPr>
      <w:r>
        <w:rPr>
          <w:rFonts w:eastAsia="黑体"/>
          <w:b/>
          <w:bCs/>
          <w:sz w:val="28"/>
        </w:rPr>
        <w:br w:type="page"/>
      </w:r>
      <w:r>
        <w:rPr>
          <w:rFonts w:hint="eastAsia" w:eastAsia="黑体"/>
          <w:b/>
          <w:bCs/>
          <w:sz w:val="28"/>
        </w:rPr>
        <w:t>格式8</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pStyle w:val="9"/>
        <w:spacing w:line="360" w:lineRule="auto"/>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法人授权委托书</w:t>
      </w:r>
    </w:p>
    <w:p>
      <w:pPr>
        <w:rPr>
          <w:rFonts w:ascii="宋体" w:hAnsi="宋体"/>
          <w:u w:val="single"/>
        </w:rPr>
      </w:pPr>
      <w:r>
        <w:rPr>
          <w:rFonts w:hint="eastAsia" w:ascii="宋体" w:hAnsi="宋体"/>
        </w:rPr>
        <w:t>致</w:t>
      </w:r>
      <w:r>
        <w:rPr>
          <w:rFonts w:hint="eastAsia" w:ascii="宋体" w:hAnsi="宋体"/>
          <w:u w:val="single"/>
        </w:rPr>
        <w:t>（招标人名称）                            ：</w:t>
      </w:r>
    </w:p>
    <w:p>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（授权代表姓名）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pPr>
        <w:spacing w:line="360" w:lineRule="auto"/>
        <w:ind w:firstLine="420" w:firstLineChars="200"/>
        <w:rPr>
          <w:rFonts w:ascii="宋体"/>
          <w:kern w:val="0"/>
          <w:szCs w:val="21"/>
        </w:rPr>
      </w:pPr>
      <w:r>
        <w:rPr>
          <w:rFonts w:hint="eastAsia" w:ascii="宋体" w:hAnsi="宋体"/>
          <w:kern w:val="0"/>
          <w:szCs w:val="21"/>
        </w:rPr>
        <w:t>授权代表无转委托权，特此委托。</w:t>
      </w:r>
    </w:p>
    <w:p>
      <w:pPr>
        <w:spacing w:line="360" w:lineRule="auto"/>
        <w:ind w:firstLine="420" w:firstLineChars="200"/>
        <w:rPr>
          <w:rFonts w:ascii="宋体"/>
          <w:kern w:val="0"/>
          <w:szCs w:val="21"/>
        </w:rPr>
      </w:pPr>
      <w:r>
        <w:rPr>
          <w:rFonts w:hint="eastAsia" w:ascii="宋体" w:hAnsi="宋体"/>
          <w:kern w:val="0"/>
          <w:szCs w:val="21"/>
          <w:u w:val="single"/>
        </w:rPr>
        <w:t>授权代表</w:t>
      </w:r>
      <w:r>
        <w:rPr>
          <w:rFonts w:hint="eastAsia" w:ascii="宋体" w:hAnsi="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pPr>
        <w:spacing w:line="360" w:lineRule="auto"/>
        <w:ind w:firstLine="420" w:firstLineChars="200"/>
        <w:rPr>
          <w:rFonts w:ascii="宋体"/>
          <w:kern w:val="0"/>
          <w:szCs w:val="21"/>
        </w:rPr>
      </w:pPr>
      <w:r>
        <w:rPr>
          <w:rFonts w:hint="eastAsia" w:ascii="宋体" w:hAnsi="宋体"/>
          <w:kern w:val="0"/>
          <w:szCs w:val="21"/>
        </w:rPr>
        <w:t>投标人名称：（盖单位公章）</w:t>
      </w:r>
    </w:p>
    <w:p>
      <w:pPr>
        <w:spacing w:line="360" w:lineRule="auto"/>
        <w:ind w:firstLine="420" w:firstLineChars="200"/>
        <w:rPr>
          <w:rFonts w:ascii="宋体"/>
          <w:kern w:val="0"/>
          <w:szCs w:val="21"/>
        </w:rPr>
      </w:pPr>
      <w:r>
        <w:rPr>
          <w:rFonts w:hint="eastAsia" w:ascii="宋体" w:hAnsi="宋体"/>
          <w:kern w:val="0"/>
          <w:szCs w:val="21"/>
        </w:rPr>
        <w:t>法定代表人：（签字）</w:t>
      </w:r>
    </w:p>
    <w:p>
      <w:pPr>
        <w:spacing w:line="360" w:lineRule="auto"/>
        <w:rPr>
          <w:rFonts w:ascii="宋体"/>
          <w:kern w:val="0"/>
          <w:szCs w:val="21"/>
        </w:rPr>
      </w:pPr>
    </w:p>
    <w:p>
      <w:pPr>
        <w:adjustRightInd w:val="0"/>
        <w:spacing w:line="480" w:lineRule="exact"/>
        <w:jc w:val="left"/>
        <w:textAlignment w:val="baseline"/>
        <w:rPr>
          <w:rFonts w:ascii="宋体"/>
          <w:b/>
          <w:kern w:val="0"/>
          <w:szCs w:val="21"/>
        </w:rPr>
      </w:pPr>
      <w:r>
        <w:rPr>
          <w:rFonts w:hint="eastAsia" w:ascii="宋体" w:hAnsi="宋体"/>
          <w:b/>
          <w:kern w:val="0"/>
          <w:szCs w:val="21"/>
        </w:rPr>
        <w:t>附被授权人（授权代表）有效的身份证正反两面复印件</w:t>
      </w: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pStyle w:val="9"/>
        <w:spacing w:line="360" w:lineRule="auto"/>
        <w:rPr>
          <w:rFonts w:hAnsi="宋体"/>
          <w:b/>
          <w:sz w:val="24"/>
          <w:szCs w:val="24"/>
        </w:rPr>
      </w:pPr>
    </w:p>
    <w:p>
      <w:pPr>
        <w:rPr>
          <w:rFonts w:eastAsia="黑体"/>
          <w:b/>
          <w:bCs/>
          <w:sz w:val="28"/>
        </w:rPr>
      </w:pPr>
      <w:r>
        <w:rPr>
          <w:rFonts w:eastAsia="黑体"/>
          <w:b/>
          <w:bCs/>
          <w:sz w:val="28"/>
        </w:rPr>
        <w:br w:type="page"/>
      </w:r>
      <w:r>
        <w:rPr>
          <w:rFonts w:hint="eastAsia" w:eastAsia="黑体"/>
          <w:b/>
          <w:bCs/>
          <w:sz w:val="28"/>
        </w:rPr>
        <w:t>格式9</w:t>
      </w:r>
    </w:p>
    <w:p>
      <w:pPr>
        <w:rPr>
          <w:rFonts w:ascii="宋体" w:hAnsi="宋体"/>
        </w:rPr>
      </w:pPr>
      <w:r>
        <w:rPr>
          <w:rFonts w:hint="eastAsia" w:ascii="宋体" w:hAnsi="宋体"/>
        </w:rPr>
        <w:t>项目名称：</w:t>
      </w:r>
      <w:r>
        <w:rPr>
          <w:rFonts w:hint="eastAsia" w:ascii="宋体" w:hAnsi="宋体"/>
          <w:u w:val="single"/>
        </w:rPr>
        <w:t xml:space="preserve">                   </w:t>
      </w:r>
    </w:p>
    <w:p>
      <w:pPr>
        <w:pStyle w:val="9"/>
        <w:spacing w:line="360" w:lineRule="auto"/>
        <w:ind w:left="885" w:leftChars="-6" w:hanging="898" w:hangingChars="428"/>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投标保证金退付表</w:t>
      </w:r>
    </w:p>
    <w:tbl>
      <w:tblPr>
        <w:tblStyle w:val="1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9"/>
              <w:spacing w:line="360" w:lineRule="auto"/>
            </w:pPr>
            <w:r>
              <w:rPr>
                <w:rFonts w:hint="eastAsia"/>
              </w:rPr>
              <w:t>纳税人识别号：</w:t>
            </w:r>
          </w:p>
        </w:tc>
      </w:tr>
    </w:tbl>
    <w:p>
      <w:pPr>
        <w:pStyle w:val="9"/>
        <w:spacing w:line="360" w:lineRule="auto"/>
        <w:ind w:firstLine="240" w:firstLineChars="100"/>
        <w:rPr>
          <w:rFonts w:ascii="仿宋_GB2312" w:hAnsi="宋体" w:eastAsia="仿宋_GB2312"/>
          <w:sz w:val="24"/>
        </w:rPr>
      </w:pPr>
    </w:p>
    <w:p>
      <w:pPr>
        <w:pStyle w:val="9"/>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pPr>
        <w:pStyle w:val="9"/>
        <w:spacing w:line="360" w:lineRule="auto"/>
        <w:rPr>
          <w:rFonts w:hAnsi="宋体"/>
          <w:b/>
          <w:sz w:val="24"/>
          <w:szCs w:val="24"/>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r>
        <w:rPr>
          <w:rFonts w:ascii="黑体" w:eastAsia="黑体"/>
          <w:b/>
          <w:bCs/>
          <w:sz w:val="36"/>
          <w:szCs w:val="36"/>
        </w:rPr>
        <w:br w:type="page"/>
      </w:r>
    </w:p>
    <w:p>
      <w:pPr>
        <w:pStyle w:val="9"/>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要求</w:t>
      </w:r>
    </w:p>
    <w:p>
      <w:pPr>
        <w:pStyle w:val="9"/>
        <w:spacing w:line="360" w:lineRule="auto"/>
        <w:rPr>
          <w:rFonts w:hAnsi="宋体" w:cs="宋体"/>
          <w:bCs/>
          <w:sz w:val="30"/>
          <w:szCs w:val="30"/>
        </w:rPr>
      </w:pPr>
      <w:r>
        <w:rPr>
          <w:rFonts w:hint="eastAsia" w:hAnsi="宋体" w:cs="宋体"/>
          <w:bCs/>
          <w:sz w:val="30"/>
          <w:szCs w:val="30"/>
        </w:rPr>
        <w:t>一 项目名称</w:t>
      </w:r>
    </w:p>
    <w:p>
      <w:pPr>
        <w:pStyle w:val="55"/>
        <w:rPr>
          <w:rFonts w:ascii="宋体" w:hAnsi="宋体"/>
          <w:color w:val="auto"/>
        </w:rPr>
      </w:pPr>
      <w:r>
        <w:rPr>
          <w:rFonts w:hint="eastAsia" w:ascii="宋体" w:hAnsi="宋体"/>
          <w:color w:val="auto"/>
        </w:rPr>
        <w:t>中国重汽集团济南特种车有限公司物流仓储配送服务项目</w:t>
      </w:r>
    </w:p>
    <w:p>
      <w:pPr>
        <w:pStyle w:val="55"/>
        <w:rPr>
          <w:b/>
          <w:color w:val="auto"/>
          <w:sz w:val="36"/>
          <w:szCs w:val="36"/>
        </w:rPr>
      </w:pPr>
      <w:r>
        <w:rPr>
          <w:rFonts w:hint="eastAsia"/>
          <w:b/>
          <w:color w:val="auto"/>
          <w:sz w:val="36"/>
          <w:szCs w:val="36"/>
        </w:rPr>
        <w:t>二 项目范围</w:t>
      </w:r>
      <w:bookmarkStart w:id="1" w:name="_Toc47031003"/>
    </w:p>
    <w:p>
      <w:pPr>
        <w:pStyle w:val="55"/>
        <w:rPr>
          <w:b/>
          <w:color w:val="auto"/>
          <w:sz w:val="36"/>
          <w:szCs w:val="36"/>
        </w:rPr>
      </w:pPr>
      <w:r>
        <w:rPr>
          <w:rFonts w:ascii="Times New Roman"/>
          <w:bCs/>
          <w:color w:val="auto"/>
        </w:rPr>
        <w:t>1、招标业务范围介绍</w:t>
      </w:r>
      <w:bookmarkEnd w:id="1"/>
    </w:p>
    <w:p>
      <w:pPr>
        <w:pStyle w:val="61"/>
        <w:ind w:firstLine="0" w:firstLineChars="0"/>
        <w:rPr>
          <w:rFonts w:ascii="Times New Roman" w:hAnsi="Times New Roman"/>
          <w:szCs w:val="20"/>
        </w:rPr>
      </w:pPr>
      <w:r>
        <w:rPr>
          <w:rFonts w:ascii="Times New Roman" w:hAnsi="Times New Roman"/>
          <w:szCs w:val="20"/>
        </w:rPr>
        <w:t>投标人的服务范围包括所有供货至</w:t>
      </w:r>
      <w:r>
        <w:rPr>
          <w:rFonts w:hint="eastAsia" w:ascii="Times New Roman" w:hAnsi="Times New Roman"/>
          <w:szCs w:val="20"/>
        </w:rPr>
        <w:t>分拣中心</w:t>
      </w:r>
      <w:r>
        <w:rPr>
          <w:rFonts w:ascii="Times New Roman" w:hAnsi="Times New Roman"/>
          <w:szCs w:val="20"/>
        </w:rPr>
        <w:t>的零部件的接收、翻包、分拣分批排序以及</w:t>
      </w:r>
      <w:r>
        <w:rPr>
          <w:rFonts w:hint="eastAsia" w:ascii="Times New Roman" w:hAnsi="Times New Roman"/>
          <w:szCs w:val="20"/>
        </w:rPr>
        <w:t>分拣中心</w:t>
      </w:r>
      <w:r>
        <w:rPr>
          <w:rFonts w:ascii="Times New Roman" w:hAnsi="Times New Roman"/>
          <w:szCs w:val="20"/>
        </w:rPr>
        <w:t>至各车间或PC区的配送工作，及其相关的信息传递和财务管理工作，具体如下：</w:t>
      </w:r>
    </w:p>
    <w:p>
      <w:pPr>
        <w:pStyle w:val="61"/>
        <w:ind w:firstLine="0" w:firstLineChars="0"/>
        <w:rPr>
          <w:rFonts w:ascii="Times New Roman" w:hAnsi="Times New Roman"/>
          <w:szCs w:val="20"/>
        </w:rPr>
      </w:pPr>
      <w:r>
        <w:rPr>
          <w:rFonts w:hint="eastAsia" w:ascii="Times New Roman" w:hAnsi="Times New Roman"/>
          <w:szCs w:val="20"/>
        </w:rPr>
        <w:t>1.1</w:t>
      </w:r>
      <w:r>
        <w:rPr>
          <w:rFonts w:ascii="Times New Roman" w:hAnsi="Times New Roman"/>
          <w:szCs w:val="20"/>
        </w:rPr>
        <w:t>投标人按要求完成所负责零部件的</w:t>
      </w:r>
      <w:r>
        <w:rPr>
          <w:rFonts w:hint="eastAsia" w:ascii="Times New Roman" w:hAnsi="Times New Roman"/>
          <w:szCs w:val="20"/>
        </w:rPr>
        <w:t>接收</w:t>
      </w:r>
      <w:r>
        <w:rPr>
          <w:rFonts w:ascii="Times New Roman" w:hAnsi="Times New Roman"/>
          <w:szCs w:val="20"/>
        </w:rPr>
        <w:t>作业，如：接收、取货</w:t>
      </w:r>
      <w:r>
        <w:rPr>
          <w:rFonts w:hint="eastAsia" w:ascii="Times New Roman" w:hAnsi="Times New Roman"/>
          <w:szCs w:val="20"/>
        </w:rPr>
        <w:t>、</w:t>
      </w:r>
      <w:r>
        <w:rPr>
          <w:rFonts w:ascii="Times New Roman" w:hAnsi="Times New Roman"/>
          <w:szCs w:val="20"/>
        </w:rPr>
        <w:t>卸车、入库、记账、保管、排序、配送（正常配送与紧急配送）</w:t>
      </w:r>
      <w:r>
        <w:rPr>
          <w:rFonts w:hint="eastAsia" w:ascii="Times New Roman" w:hAnsi="Times New Roman"/>
          <w:szCs w:val="20"/>
        </w:rPr>
        <w:t>。</w:t>
      </w:r>
    </w:p>
    <w:p>
      <w:pPr>
        <w:pStyle w:val="61"/>
        <w:ind w:firstLine="0" w:firstLineChars="0"/>
        <w:rPr>
          <w:rFonts w:ascii="Times New Roman" w:hAnsi="Times New Roman"/>
          <w:szCs w:val="20"/>
        </w:rPr>
      </w:pPr>
      <w:r>
        <w:rPr>
          <w:rFonts w:hint="eastAsia" w:ascii="Times New Roman" w:hAnsi="Times New Roman"/>
          <w:szCs w:val="20"/>
        </w:rPr>
        <w:t>1.2</w:t>
      </w:r>
      <w:r>
        <w:rPr>
          <w:rFonts w:ascii="Times New Roman" w:hAnsi="Times New Roman"/>
          <w:szCs w:val="20"/>
        </w:rPr>
        <w:t>投标人按系统设定模块及招标人的相关流程、规定，提供相应的作业及服务质量控制。</w:t>
      </w:r>
    </w:p>
    <w:p>
      <w:pPr>
        <w:pStyle w:val="61"/>
        <w:ind w:firstLine="0" w:firstLineChars="0"/>
        <w:rPr>
          <w:rFonts w:ascii="Times New Roman" w:hAnsi="Times New Roman"/>
          <w:szCs w:val="20"/>
        </w:rPr>
      </w:pPr>
      <w:r>
        <w:rPr>
          <w:rFonts w:hint="eastAsia" w:ascii="Times New Roman" w:hAnsi="Times New Roman"/>
          <w:szCs w:val="20"/>
        </w:rPr>
        <w:t>1.3</w:t>
      </w:r>
      <w:r>
        <w:rPr>
          <w:rFonts w:ascii="Times New Roman" w:hAnsi="Times New Roman"/>
          <w:szCs w:val="20"/>
        </w:rPr>
        <w:t>投标人负责器具的清洁、整理、分类存储工作</w:t>
      </w:r>
      <w:r>
        <w:rPr>
          <w:rFonts w:hint="eastAsia" w:ascii="Times New Roman" w:hAnsi="Times New Roman"/>
          <w:szCs w:val="20"/>
        </w:rPr>
        <w:t>。</w:t>
      </w:r>
    </w:p>
    <w:p>
      <w:pPr>
        <w:pStyle w:val="61"/>
        <w:ind w:firstLine="0" w:firstLineChars="0"/>
        <w:rPr>
          <w:rFonts w:ascii="Times New Roman" w:hAnsi="Times New Roman"/>
          <w:szCs w:val="20"/>
        </w:rPr>
      </w:pPr>
      <w:r>
        <w:rPr>
          <w:rFonts w:hint="eastAsia" w:ascii="Times New Roman" w:hAnsi="Times New Roman"/>
          <w:szCs w:val="20"/>
        </w:rPr>
        <w:t>1.4</w:t>
      </w:r>
      <w:r>
        <w:rPr>
          <w:rFonts w:ascii="Times New Roman" w:hAnsi="Times New Roman"/>
          <w:szCs w:val="20"/>
        </w:rPr>
        <w:t>投标人负责零部件在以上过程中的物资安全和质量防护。</w:t>
      </w:r>
      <w:bookmarkStart w:id="2" w:name="_Toc47031004"/>
    </w:p>
    <w:p>
      <w:pPr>
        <w:pStyle w:val="61"/>
        <w:ind w:firstLine="0" w:firstLineChars="0"/>
        <w:rPr>
          <w:rFonts w:hint="default" w:ascii="Times New Roman" w:hAnsi="Times New Roman"/>
          <w:szCs w:val="20"/>
          <w:lang w:val="en-US" w:eastAsia="zh-CN"/>
        </w:rPr>
      </w:pPr>
      <w:r>
        <w:rPr>
          <w:rFonts w:hint="eastAsia" w:ascii="Times New Roman" w:hAnsi="Times New Roman"/>
          <w:szCs w:val="20"/>
          <w:lang w:val="en-US" w:eastAsia="zh-CN"/>
        </w:rPr>
        <w:t>1.5非托管类物资由特种车公司按结算标准支付仓储配送费；外部供应商托管产品的仓储费用，投标人应与供应商确定扣费标准并签订物流服务协议，特种车公司代扣供应商货款支付其仓储费用。</w:t>
      </w:r>
    </w:p>
    <w:p>
      <w:pPr>
        <w:pStyle w:val="61"/>
        <w:ind w:firstLine="0" w:firstLineChars="0"/>
        <w:rPr>
          <w:rFonts w:ascii="Times New Roman" w:hAnsi="Times New Roman"/>
          <w:szCs w:val="20"/>
        </w:rPr>
      </w:pPr>
      <w:r>
        <w:rPr>
          <w:rFonts w:ascii="Times New Roman" w:hAnsi="Times New Roman"/>
          <w:szCs w:val="20"/>
        </w:rPr>
        <w:t>2、业务量介绍</w:t>
      </w:r>
      <w:bookmarkEnd w:id="2"/>
    </w:p>
    <w:p>
      <w:pPr>
        <w:pStyle w:val="61"/>
        <w:ind w:firstLine="0" w:firstLineChars="0"/>
        <w:rPr>
          <w:rFonts w:ascii="Times New Roman" w:hAnsi="Times New Roman"/>
          <w:szCs w:val="20"/>
        </w:rPr>
      </w:pPr>
      <w:r>
        <w:rPr>
          <w:rFonts w:ascii="Times New Roman" w:hAnsi="Times New Roman"/>
          <w:szCs w:val="20"/>
        </w:rPr>
        <w:t>2.1 生产纲领</w:t>
      </w:r>
    </w:p>
    <w:p>
      <w:pPr>
        <w:pStyle w:val="61"/>
        <w:ind w:firstLine="0" w:firstLineChars="0"/>
        <w:rPr>
          <w:rFonts w:ascii="Times New Roman" w:hAnsi="Times New Roman"/>
          <w:szCs w:val="20"/>
        </w:rPr>
      </w:pPr>
      <w:r>
        <w:rPr>
          <w:rFonts w:hint="eastAsia" w:ascii="Times New Roman" w:hAnsi="Times New Roman"/>
          <w:szCs w:val="20"/>
        </w:rPr>
        <w:t>招标人现有总装部、试制部、车架部、车身部、部件部现场分部，日产30辆份左右</w:t>
      </w:r>
      <w:r>
        <w:rPr>
          <w:rFonts w:ascii="Times New Roman" w:hAnsi="Times New Roman"/>
          <w:szCs w:val="20"/>
        </w:rPr>
        <w:t>。</w:t>
      </w:r>
    </w:p>
    <w:p>
      <w:pPr>
        <w:pStyle w:val="61"/>
        <w:ind w:firstLine="0" w:firstLineChars="0"/>
        <w:rPr>
          <w:rFonts w:ascii="Times New Roman" w:hAnsi="Times New Roman"/>
          <w:szCs w:val="20"/>
        </w:rPr>
      </w:pPr>
      <w:r>
        <w:rPr>
          <w:rFonts w:ascii="Times New Roman" w:hAnsi="Times New Roman"/>
          <w:szCs w:val="20"/>
        </w:rPr>
        <w:t>2.2 工作制度与年时基数</w:t>
      </w:r>
    </w:p>
    <w:p>
      <w:pPr>
        <w:pStyle w:val="61"/>
        <w:ind w:firstLine="0" w:firstLineChars="0"/>
        <w:rPr>
          <w:rFonts w:ascii="Times New Roman" w:hAnsi="Times New Roman"/>
          <w:szCs w:val="20"/>
        </w:rPr>
      </w:pPr>
      <w:r>
        <w:rPr>
          <w:rFonts w:ascii="Times New Roman" w:hAnsi="Times New Roman"/>
          <w:szCs w:val="20"/>
        </w:rPr>
        <w:t>工作制度采取</w:t>
      </w:r>
      <w:r>
        <w:rPr>
          <w:rFonts w:hint="eastAsia" w:ascii="Times New Roman" w:hAnsi="Times New Roman"/>
          <w:szCs w:val="20"/>
        </w:rPr>
        <w:t>单班10</w:t>
      </w:r>
      <w:r>
        <w:rPr>
          <w:rFonts w:ascii="Times New Roman" w:hAnsi="Times New Roman"/>
          <w:szCs w:val="20"/>
        </w:rPr>
        <w:t>小时制</w:t>
      </w:r>
      <w:r>
        <w:rPr>
          <w:rFonts w:hint="eastAsia" w:ascii="Times New Roman" w:hAnsi="Times New Roman"/>
          <w:szCs w:val="20"/>
        </w:rPr>
        <w:t>（</w:t>
      </w:r>
      <w:r>
        <w:rPr>
          <w:rFonts w:ascii="Times New Roman" w:hAnsi="Times New Roman"/>
          <w:szCs w:val="20"/>
        </w:rPr>
        <w:t>根据订单排产情况有</w:t>
      </w:r>
      <w:r>
        <w:rPr>
          <w:rFonts w:hint="eastAsia" w:ascii="Times New Roman" w:hAnsi="Times New Roman"/>
          <w:szCs w:val="20"/>
        </w:rPr>
        <w:t>双</w:t>
      </w:r>
      <w:r>
        <w:rPr>
          <w:rFonts w:ascii="Times New Roman" w:hAnsi="Times New Roman"/>
          <w:szCs w:val="20"/>
        </w:rPr>
        <w:t>班需求</w:t>
      </w:r>
      <w:r>
        <w:rPr>
          <w:rFonts w:hint="eastAsia" w:ascii="Times New Roman" w:hAnsi="Times New Roman"/>
          <w:szCs w:val="20"/>
        </w:rPr>
        <w:t>）</w:t>
      </w:r>
      <w:r>
        <w:rPr>
          <w:rFonts w:ascii="Times New Roman" w:hAnsi="Times New Roman"/>
          <w:szCs w:val="20"/>
        </w:rPr>
        <w:t>，根据国家法定节假日安排，年时基数取3</w:t>
      </w:r>
      <w:r>
        <w:rPr>
          <w:rFonts w:hint="eastAsia" w:ascii="Times New Roman" w:hAnsi="Times New Roman"/>
          <w:szCs w:val="20"/>
        </w:rPr>
        <w:t>0</w:t>
      </w:r>
      <w:r>
        <w:rPr>
          <w:rFonts w:ascii="Times New Roman" w:hAnsi="Times New Roman"/>
          <w:szCs w:val="20"/>
        </w:rPr>
        <w:t>0天。</w:t>
      </w:r>
    </w:p>
    <w:p>
      <w:pPr>
        <w:pStyle w:val="61"/>
        <w:ind w:firstLine="0" w:firstLineChars="0"/>
        <w:rPr>
          <w:rFonts w:ascii="Times New Roman" w:hAnsi="Times New Roman"/>
          <w:szCs w:val="20"/>
        </w:rPr>
      </w:pPr>
      <w:r>
        <w:rPr>
          <w:rFonts w:ascii="Times New Roman" w:hAnsi="Times New Roman"/>
          <w:szCs w:val="20"/>
        </w:rPr>
        <w:t>2.</w:t>
      </w:r>
      <w:r>
        <w:rPr>
          <w:rFonts w:hint="eastAsia" w:ascii="Times New Roman" w:hAnsi="Times New Roman"/>
          <w:szCs w:val="20"/>
        </w:rPr>
        <w:t>3</w:t>
      </w:r>
      <w:r>
        <w:rPr>
          <w:rFonts w:ascii="Times New Roman" w:hAnsi="Times New Roman"/>
          <w:szCs w:val="20"/>
        </w:rPr>
        <w:t>生产计划</w:t>
      </w:r>
    </w:p>
    <w:p>
      <w:pPr>
        <w:pStyle w:val="61"/>
        <w:ind w:firstLine="0" w:firstLineChars="0"/>
        <w:rPr>
          <w:rFonts w:ascii="Times New Roman" w:hAnsi="Times New Roman"/>
          <w:szCs w:val="20"/>
        </w:rPr>
      </w:pPr>
      <w:r>
        <w:rPr>
          <w:rFonts w:ascii="Times New Roman" w:hAnsi="Times New Roman"/>
          <w:szCs w:val="20"/>
        </w:rPr>
        <w:t>按照精益化、敏捷化的设计理念，满足工程生产、工艺流程与</w:t>
      </w:r>
      <w:r>
        <w:rPr>
          <w:rFonts w:hint="eastAsia" w:ascii="Times New Roman" w:hAnsi="Times New Roman"/>
          <w:szCs w:val="20"/>
        </w:rPr>
        <w:t>7</w:t>
      </w:r>
      <w:r>
        <w:rPr>
          <w:rFonts w:ascii="Times New Roman" w:hAnsi="Times New Roman"/>
          <w:szCs w:val="20"/>
        </w:rPr>
        <w:t>+3（</w:t>
      </w:r>
      <w:r>
        <w:rPr>
          <w:rFonts w:hint="eastAsia" w:ascii="Times New Roman" w:hAnsi="Times New Roman"/>
          <w:szCs w:val="20"/>
        </w:rPr>
        <w:t>7</w:t>
      </w:r>
      <w:r>
        <w:rPr>
          <w:rFonts w:ascii="Times New Roman" w:hAnsi="Times New Roman"/>
          <w:szCs w:val="20"/>
        </w:rPr>
        <w:t>天锁产+3天滚动）生产组织模式。</w:t>
      </w:r>
    </w:p>
    <w:p>
      <w:pPr>
        <w:pStyle w:val="61"/>
        <w:ind w:firstLine="0" w:firstLineChars="0"/>
        <w:rPr>
          <w:rFonts w:ascii="Times New Roman" w:hAnsi="Times New Roman"/>
          <w:szCs w:val="20"/>
        </w:rPr>
      </w:pPr>
      <w:r>
        <w:rPr>
          <w:rFonts w:hint="eastAsia" w:ascii="Times New Roman" w:hAnsi="Times New Roman"/>
          <w:szCs w:val="20"/>
        </w:rPr>
        <w:t>3、入厂物流模式介绍</w:t>
      </w:r>
    </w:p>
    <w:p>
      <w:pPr>
        <w:pStyle w:val="61"/>
        <w:ind w:firstLine="0" w:firstLineChars="0"/>
        <w:rPr>
          <w:rFonts w:ascii="Times New Roman" w:hAnsi="Times New Roman"/>
          <w:szCs w:val="20"/>
        </w:rPr>
      </w:pPr>
      <w:r>
        <w:rPr>
          <w:rFonts w:hint="eastAsia" w:ascii="Times New Roman" w:hAnsi="Times New Roman"/>
          <w:szCs w:val="20"/>
        </w:rPr>
        <w:t>3.1看板补货配送模式</w:t>
      </w:r>
    </w:p>
    <w:p>
      <w:pPr>
        <w:pStyle w:val="61"/>
        <w:ind w:firstLine="0" w:firstLineChars="0"/>
        <w:rPr>
          <w:rFonts w:ascii="Times New Roman" w:hAnsi="Times New Roman"/>
          <w:szCs w:val="20"/>
        </w:rPr>
      </w:pPr>
      <w:r>
        <w:rPr>
          <w:rFonts w:hint="eastAsia" w:ascii="Times New Roman" w:hAnsi="Times New Roman"/>
          <w:szCs w:val="20"/>
        </w:rPr>
        <w:t>将使用数量大、体积小的“分拣排序类”产品及标准件、标准类产品定义为“看板件”。此配送模式通过建立电子看板拉动系统将产品件配送上线。</w:t>
      </w:r>
    </w:p>
    <w:p>
      <w:pPr>
        <w:pStyle w:val="61"/>
        <w:ind w:firstLine="0" w:firstLineChars="0"/>
        <w:rPr>
          <w:rFonts w:ascii="Times New Roman" w:hAnsi="Times New Roman"/>
          <w:szCs w:val="20"/>
        </w:rPr>
      </w:pPr>
      <w:r>
        <w:rPr>
          <w:rFonts w:hint="eastAsia" w:ascii="Times New Roman" w:hAnsi="Times New Roman"/>
          <w:szCs w:val="20"/>
        </w:rPr>
        <w:t>3.2顺引挂单配送模式</w:t>
      </w:r>
    </w:p>
    <w:p>
      <w:pPr>
        <w:pStyle w:val="61"/>
        <w:ind w:firstLine="0" w:firstLineChars="0"/>
        <w:rPr>
          <w:rFonts w:ascii="Times New Roman" w:hAnsi="Times New Roman"/>
          <w:szCs w:val="20"/>
        </w:rPr>
      </w:pPr>
      <w:r>
        <w:rPr>
          <w:rFonts w:hint="eastAsia" w:ascii="Times New Roman" w:hAnsi="Times New Roman"/>
          <w:szCs w:val="20"/>
        </w:rPr>
        <w:t>发动机、变速箱等体积大、价值高的产品件。此模式为分拣中心按照招标人整车锁产顺序将产品件排序后，根据拉动信息配送到生产线边。</w:t>
      </w:r>
    </w:p>
    <w:p>
      <w:pPr>
        <w:pStyle w:val="61"/>
        <w:ind w:firstLine="0" w:firstLineChars="0"/>
        <w:rPr>
          <w:rFonts w:ascii="Times New Roman" w:hAnsi="Times New Roman"/>
          <w:szCs w:val="20"/>
        </w:rPr>
      </w:pPr>
      <w:r>
        <w:rPr>
          <w:rFonts w:hint="eastAsia" w:ascii="Times New Roman" w:hAnsi="Times New Roman"/>
          <w:szCs w:val="20"/>
        </w:rPr>
        <w:t>3.</w:t>
      </w:r>
      <w:r>
        <w:rPr>
          <w:rFonts w:ascii="Times New Roman" w:hAnsi="Times New Roman"/>
          <w:szCs w:val="20"/>
        </w:rPr>
        <w:t>3</w:t>
      </w:r>
      <w:r>
        <w:rPr>
          <w:rFonts w:hint="eastAsia" w:ascii="Times New Roman" w:hAnsi="Times New Roman"/>
          <w:szCs w:val="20"/>
        </w:rPr>
        <w:t>分批配送模式</w:t>
      </w:r>
    </w:p>
    <w:p>
      <w:pPr>
        <w:pStyle w:val="61"/>
        <w:ind w:firstLine="0" w:firstLineChars="0"/>
        <w:rPr>
          <w:rFonts w:ascii="Times New Roman" w:hAnsi="Times New Roman"/>
          <w:szCs w:val="20"/>
        </w:rPr>
      </w:pPr>
      <w:r>
        <w:rPr>
          <w:rFonts w:hint="eastAsia" w:ascii="Times New Roman" w:hAnsi="Times New Roman"/>
          <w:szCs w:val="20"/>
        </w:rPr>
        <w:t>储气筒、空滤器等体积大、单车数量不固定的产品件。此模式为分拣中心按照招标人发布的车辆装配顺序，结合生产线边暂存期量，将物料分批排序，按照小批量多频次的原则配送上线。</w:t>
      </w:r>
    </w:p>
    <w:p>
      <w:pPr>
        <w:pStyle w:val="61"/>
        <w:ind w:firstLine="0" w:firstLineChars="0"/>
        <w:rPr>
          <w:rFonts w:ascii="Times New Roman" w:hAnsi="Times New Roman"/>
          <w:szCs w:val="20"/>
        </w:rPr>
      </w:pPr>
      <w:r>
        <w:rPr>
          <w:rFonts w:hint="eastAsia" w:ascii="Times New Roman" w:hAnsi="Times New Roman"/>
          <w:szCs w:val="20"/>
        </w:rPr>
        <w:t>3.4分拣小件配送模式</w:t>
      </w:r>
    </w:p>
    <w:p>
      <w:pPr>
        <w:pStyle w:val="61"/>
        <w:ind w:firstLine="0" w:firstLineChars="0"/>
        <w:rPr>
          <w:rFonts w:ascii="Times New Roman" w:hAnsi="Times New Roman"/>
          <w:szCs w:val="20"/>
        </w:rPr>
      </w:pPr>
      <w:r>
        <w:rPr>
          <w:rFonts w:hint="eastAsia" w:ascii="Times New Roman" w:hAnsi="Times New Roman"/>
          <w:szCs w:val="20"/>
        </w:rPr>
        <w:t>除以上三种模式外，剩余的其他产品，即分拣小件，全部采用计划拉动的物流配送模式。此模式为分拣中心集中收货后，根据要货指示清单将物料进行分拣排序后配送上线。</w:t>
      </w:r>
    </w:p>
    <w:p>
      <w:pPr>
        <w:pStyle w:val="5"/>
        <w:jc w:val="both"/>
        <w:rPr>
          <w:rFonts w:hAnsi="宋体" w:eastAsia="宋体"/>
          <w:sz w:val="32"/>
        </w:rPr>
      </w:pPr>
      <w:bookmarkStart w:id="3" w:name="_Toc47031005"/>
    </w:p>
    <w:p>
      <w:pPr>
        <w:pStyle w:val="5"/>
        <w:jc w:val="both"/>
        <w:rPr>
          <w:rFonts w:hAnsi="宋体" w:eastAsia="宋体"/>
          <w:sz w:val="32"/>
        </w:rPr>
      </w:pPr>
      <w:r>
        <w:rPr>
          <w:rFonts w:hint="eastAsia" w:hAnsi="宋体" w:eastAsia="宋体"/>
          <w:sz w:val="32"/>
        </w:rPr>
        <w:t>二、服务内容及要求</w:t>
      </w:r>
      <w:bookmarkEnd w:id="3"/>
    </w:p>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362"/>
        <w:gridCol w:w="63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r>
              <w:rPr>
                <w:rFonts w:hint="eastAsia"/>
              </w:rPr>
              <w:t>序号</w:t>
            </w:r>
          </w:p>
        </w:tc>
        <w:tc>
          <w:tcPr>
            <w:tcW w:w="1362" w:type="dxa"/>
            <w:vAlign w:val="center"/>
          </w:tcPr>
          <w:p>
            <w:r>
              <w:rPr>
                <w:rFonts w:hint="eastAsia"/>
              </w:rPr>
              <w:t>业务内容</w:t>
            </w:r>
          </w:p>
        </w:tc>
        <w:tc>
          <w:tcPr>
            <w:tcW w:w="6338" w:type="dxa"/>
            <w:vAlign w:val="center"/>
          </w:tcPr>
          <w:p>
            <w:r>
              <w:rPr>
                <w:rFonts w:hint="eastAsia"/>
              </w:rPr>
              <w:t>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r>
              <w:rPr>
                <w:rFonts w:hint="eastAsia"/>
              </w:rPr>
              <w:t>1</w:t>
            </w:r>
          </w:p>
        </w:tc>
        <w:tc>
          <w:tcPr>
            <w:tcW w:w="1362" w:type="dxa"/>
            <w:vAlign w:val="center"/>
          </w:tcPr>
          <w:p>
            <w:r>
              <w:rPr>
                <w:rFonts w:hint="eastAsia"/>
              </w:rPr>
              <w:t>直取直投服务</w:t>
            </w:r>
          </w:p>
        </w:tc>
        <w:tc>
          <w:tcPr>
            <w:tcW w:w="6338" w:type="dxa"/>
            <w:vAlign w:val="center"/>
          </w:tcPr>
          <w:p>
            <w:pPr>
              <w:pStyle w:val="61"/>
              <w:ind w:firstLine="0" w:firstLineChars="0"/>
              <w:rPr>
                <w:rFonts w:ascii="Times New Roman" w:hAnsi="Times New Roman"/>
                <w:szCs w:val="20"/>
              </w:rPr>
            </w:pPr>
            <w:r>
              <w:rPr>
                <w:rFonts w:hint="eastAsia" w:ascii="Times New Roman" w:hAnsi="Times New Roman"/>
                <w:szCs w:val="20"/>
              </w:rPr>
              <w:t>1.</w:t>
            </w:r>
            <w:r>
              <w:rPr>
                <w:rFonts w:ascii="Times New Roman" w:hAnsi="Times New Roman"/>
                <w:szCs w:val="20"/>
              </w:rPr>
              <w:t>将空工位器具</w:t>
            </w:r>
            <w:r>
              <w:rPr>
                <w:rFonts w:hint="eastAsia" w:ascii="Times New Roman" w:hAnsi="Times New Roman"/>
                <w:szCs w:val="20"/>
              </w:rPr>
              <w:t>返空</w:t>
            </w:r>
            <w:r>
              <w:rPr>
                <w:rFonts w:ascii="Times New Roman" w:hAnsi="Times New Roman"/>
                <w:szCs w:val="20"/>
              </w:rPr>
              <w:t>至</w:t>
            </w:r>
            <w:r>
              <w:rPr>
                <w:rFonts w:hint="eastAsia" w:ascii="Times New Roman" w:hAnsi="Times New Roman"/>
                <w:szCs w:val="20"/>
              </w:rPr>
              <w:t>三方</w:t>
            </w:r>
            <w:r>
              <w:rPr>
                <w:rFonts w:ascii="Times New Roman" w:hAnsi="Times New Roman"/>
                <w:szCs w:val="20"/>
              </w:rPr>
              <w:t>物流单位</w:t>
            </w:r>
            <w:r>
              <w:rPr>
                <w:rFonts w:hint="eastAsia" w:ascii="Times New Roman" w:hAnsi="Times New Roman"/>
                <w:szCs w:val="20"/>
              </w:rPr>
              <w:t>，并</w:t>
            </w:r>
            <w:r>
              <w:rPr>
                <w:rFonts w:ascii="Times New Roman" w:hAnsi="Times New Roman"/>
                <w:szCs w:val="20"/>
              </w:rPr>
              <w:t>按照</w:t>
            </w:r>
            <w:r>
              <w:rPr>
                <w:rFonts w:hint="eastAsia" w:ascii="Times New Roman" w:hAnsi="Times New Roman"/>
                <w:szCs w:val="20"/>
              </w:rPr>
              <w:t>物流配送计划收取</w:t>
            </w:r>
            <w:r>
              <w:rPr>
                <w:rFonts w:ascii="Times New Roman" w:hAnsi="Times New Roman"/>
                <w:szCs w:val="20"/>
              </w:rPr>
              <w:t>产品件</w:t>
            </w:r>
            <w:r>
              <w:rPr>
                <w:rFonts w:hint="eastAsia" w:ascii="Times New Roman" w:hAnsi="Times New Roman"/>
                <w:szCs w:val="20"/>
              </w:rPr>
              <w:t>及其</w:t>
            </w:r>
            <w:r>
              <w:rPr>
                <w:rFonts w:ascii="Times New Roman" w:hAnsi="Times New Roman"/>
                <w:szCs w:val="20"/>
              </w:rPr>
              <w:t>工位器具。</w:t>
            </w:r>
          </w:p>
          <w:p>
            <w:pPr>
              <w:pStyle w:val="61"/>
              <w:ind w:firstLine="0" w:firstLineChars="0"/>
              <w:rPr>
                <w:rFonts w:ascii="Times New Roman" w:hAnsi="Times New Roman"/>
                <w:szCs w:val="20"/>
              </w:rPr>
            </w:pPr>
            <w:r>
              <w:rPr>
                <w:rFonts w:ascii="Times New Roman" w:hAnsi="Times New Roman"/>
                <w:szCs w:val="20"/>
              </w:rPr>
              <w:t>2.</w:t>
            </w:r>
            <w:r>
              <w:rPr>
                <w:rFonts w:hint="eastAsia" w:ascii="Times New Roman" w:hAnsi="Times New Roman"/>
                <w:szCs w:val="20"/>
              </w:rPr>
              <w:t>与三方</w:t>
            </w:r>
            <w:r>
              <w:rPr>
                <w:rFonts w:ascii="Times New Roman" w:hAnsi="Times New Roman"/>
                <w:szCs w:val="20"/>
              </w:rPr>
              <w:t>物流单位</w:t>
            </w:r>
            <w:r>
              <w:rPr>
                <w:rFonts w:hint="eastAsia" w:ascii="Times New Roman" w:hAnsi="Times New Roman"/>
                <w:szCs w:val="20"/>
              </w:rPr>
              <w:t>对产品件种类</w:t>
            </w:r>
            <w:r>
              <w:rPr>
                <w:rFonts w:ascii="Times New Roman" w:hAnsi="Times New Roman"/>
                <w:szCs w:val="20"/>
              </w:rPr>
              <w:t>、</w:t>
            </w:r>
            <w:r>
              <w:rPr>
                <w:rFonts w:hint="eastAsia" w:ascii="Times New Roman" w:hAnsi="Times New Roman"/>
                <w:szCs w:val="20"/>
              </w:rPr>
              <w:t>数量共同进行清点，核对是否与</w:t>
            </w:r>
            <w:r>
              <w:rPr>
                <w:rFonts w:ascii="Times New Roman" w:hAnsi="Times New Roman"/>
                <w:szCs w:val="20"/>
              </w:rPr>
              <w:t>物流配送计划</w:t>
            </w:r>
            <w:r>
              <w:rPr>
                <w:rFonts w:hint="eastAsia" w:ascii="Times New Roman" w:hAnsi="Times New Roman"/>
                <w:szCs w:val="20"/>
              </w:rPr>
              <w:t>及</w:t>
            </w:r>
            <w:r>
              <w:rPr>
                <w:rFonts w:ascii="Times New Roman" w:hAnsi="Times New Roman"/>
                <w:szCs w:val="20"/>
              </w:rPr>
              <w:t>标签</w:t>
            </w:r>
            <w:r>
              <w:rPr>
                <w:rFonts w:hint="eastAsia" w:ascii="Times New Roman" w:hAnsi="Times New Roman"/>
                <w:szCs w:val="20"/>
              </w:rPr>
              <w:t>一致，检查产品外观质量是否符合要求。交接</w:t>
            </w:r>
            <w:r>
              <w:rPr>
                <w:rFonts w:ascii="Times New Roman" w:hAnsi="Times New Roman"/>
                <w:szCs w:val="20"/>
              </w:rPr>
              <w:t>完毕后，办理出入库单据。</w:t>
            </w:r>
          </w:p>
          <w:p>
            <w:pPr>
              <w:pStyle w:val="61"/>
              <w:ind w:firstLine="0" w:firstLineChars="0"/>
              <w:rPr>
                <w:rFonts w:ascii="Times New Roman" w:hAnsi="Times New Roman"/>
                <w:szCs w:val="20"/>
              </w:rPr>
            </w:pPr>
            <w:r>
              <w:rPr>
                <w:rFonts w:hint="eastAsia" w:ascii="Times New Roman" w:hAnsi="Times New Roman"/>
                <w:szCs w:val="20"/>
              </w:rPr>
              <w:t>3.将产品运输至招标人生产现场指定区域。</w:t>
            </w:r>
          </w:p>
          <w:p>
            <w:pPr>
              <w:pStyle w:val="61"/>
              <w:ind w:firstLine="0" w:firstLineChars="0"/>
              <w:rPr>
                <w:rFonts w:ascii="Times New Roman" w:hAnsi="Times New Roman"/>
                <w:szCs w:val="20"/>
              </w:rPr>
            </w:pPr>
            <w:r>
              <w:rPr>
                <w:rFonts w:ascii="Times New Roman" w:hAnsi="Times New Roman"/>
                <w:szCs w:val="20"/>
              </w:rPr>
              <w:t>4</w:t>
            </w:r>
            <w:r>
              <w:rPr>
                <w:rFonts w:hint="eastAsia" w:ascii="Times New Roman" w:hAnsi="Times New Roman"/>
                <w:szCs w:val="20"/>
              </w:rPr>
              <w:t>.采取必要的防护措施以确保产品在配送过程中质量完好。</w:t>
            </w:r>
          </w:p>
          <w:p>
            <w:pPr>
              <w:pStyle w:val="61"/>
              <w:ind w:firstLine="0" w:firstLineChars="0"/>
              <w:rPr>
                <w:rFonts w:ascii="Times New Roman" w:hAnsi="Times New Roman"/>
                <w:szCs w:val="20"/>
              </w:rPr>
            </w:pPr>
            <w:r>
              <w:rPr>
                <w:rFonts w:ascii="Times New Roman" w:hAnsi="Times New Roman"/>
                <w:szCs w:val="20"/>
              </w:rPr>
              <w:t>5</w:t>
            </w:r>
            <w:r>
              <w:rPr>
                <w:rFonts w:hint="eastAsia" w:ascii="Times New Roman" w:hAnsi="Times New Roman"/>
                <w:szCs w:val="20"/>
              </w:rPr>
              <w:t>.到达指定卸货区域后，双方对产品件</w:t>
            </w:r>
            <w:r>
              <w:rPr>
                <w:rFonts w:ascii="Times New Roman" w:hAnsi="Times New Roman"/>
                <w:szCs w:val="20"/>
              </w:rPr>
              <w:t>种类、</w:t>
            </w:r>
            <w:r>
              <w:rPr>
                <w:rFonts w:hint="eastAsia" w:ascii="Times New Roman" w:hAnsi="Times New Roman"/>
                <w:szCs w:val="20"/>
              </w:rPr>
              <w:t>数量共同进行清点，检查产品外观质量是否符合要求，核查无误后双方交接签字确认。</w:t>
            </w:r>
          </w:p>
          <w:p>
            <w:pPr>
              <w:pStyle w:val="61"/>
              <w:ind w:firstLine="0" w:firstLineChars="0"/>
              <w:rPr>
                <w:rFonts w:ascii="Times New Roman" w:hAnsi="Times New Roman"/>
                <w:szCs w:val="20"/>
              </w:rPr>
            </w:pPr>
            <w:r>
              <w:rPr>
                <w:rFonts w:hint="eastAsia" w:ascii="Times New Roman" w:hAnsi="Times New Roman"/>
                <w:szCs w:val="20"/>
              </w:rPr>
              <w:t>6.将空器具装车并清理出招标人厂区。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r>
              <w:rPr>
                <w:rFonts w:hint="eastAsia"/>
              </w:rPr>
              <w:t>2</w:t>
            </w:r>
          </w:p>
        </w:tc>
        <w:tc>
          <w:tcPr>
            <w:tcW w:w="1362" w:type="dxa"/>
            <w:vAlign w:val="center"/>
          </w:tcPr>
          <w:p>
            <w:r>
              <w:rPr>
                <w:rFonts w:hint="eastAsia"/>
              </w:rPr>
              <w:t>看板件</w:t>
            </w:r>
            <w:r>
              <w:t>管理</w:t>
            </w:r>
          </w:p>
        </w:tc>
        <w:tc>
          <w:tcPr>
            <w:tcW w:w="6338" w:type="dxa"/>
            <w:vAlign w:val="center"/>
          </w:tcPr>
          <w:p>
            <w:pPr>
              <w:pStyle w:val="61"/>
              <w:numPr>
                <w:ilvl w:val="0"/>
                <w:numId w:val="5"/>
              </w:numPr>
              <w:ind w:firstLineChars="0"/>
              <w:rPr>
                <w:rFonts w:ascii="Times New Roman" w:hAnsi="Times New Roman"/>
                <w:szCs w:val="20"/>
              </w:rPr>
            </w:pPr>
            <w:r>
              <w:rPr>
                <w:rFonts w:hint="eastAsia" w:ascii="Times New Roman" w:hAnsi="Times New Roman"/>
                <w:szCs w:val="20"/>
              </w:rPr>
              <w:t>根据</w:t>
            </w:r>
            <w:r>
              <w:rPr>
                <w:rFonts w:ascii="Times New Roman" w:hAnsi="Times New Roman"/>
                <w:szCs w:val="20"/>
              </w:rPr>
              <w:t>min/max拉动计划，对供应商及物流商发起补货计划。</w:t>
            </w:r>
          </w:p>
          <w:p>
            <w:pPr>
              <w:pStyle w:val="61"/>
              <w:numPr>
                <w:ilvl w:val="0"/>
                <w:numId w:val="5"/>
              </w:numPr>
              <w:ind w:firstLineChars="0"/>
              <w:rPr>
                <w:rFonts w:ascii="Times New Roman" w:hAnsi="Times New Roman"/>
                <w:szCs w:val="20"/>
              </w:rPr>
            </w:pPr>
            <w:r>
              <w:rPr>
                <w:rFonts w:hint="eastAsia" w:ascii="Times New Roman" w:hAnsi="Times New Roman"/>
                <w:szCs w:val="20"/>
              </w:rPr>
              <w:t>根据料盒</w:t>
            </w:r>
            <w:r>
              <w:rPr>
                <w:rFonts w:ascii="Times New Roman" w:hAnsi="Times New Roman"/>
                <w:szCs w:val="20"/>
              </w:rPr>
              <w:t>等器具的</w:t>
            </w:r>
            <w:r>
              <w:rPr>
                <w:rFonts w:hint="eastAsia" w:ascii="Times New Roman" w:hAnsi="Times New Roman"/>
                <w:szCs w:val="20"/>
              </w:rPr>
              <w:t>SNP数量</w:t>
            </w:r>
            <w:r>
              <w:rPr>
                <w:rFonts w:ascii="Times New Roman" w:hAnsi="Times New Roman"/>
                <w:szCs w:val="20"/>
              </w:rPr>
              <w:t>盛放看板件物料。</w:t>
            </w:r>
          </w:p>
          <w:p>
            <w:pPr>
              <w:pStyle w:val="61"/>
              <w:numPr>
                <w:ilvl w:val="0"/>
                <w:numId w:val="5"/>
              </w:numPr>
              <w:ind w:firstLineChars="0"/>
              <w:rPr>
                <w:rFonts w:ascii="Times New Roman" w:hAnsi="Times New Roman"/>
                <w:szCs w:val="20"/>
              </w:rPr>
            </w:pPr>
            <w:r>
              <w:rPr>
                <w:rFonts w:hint="eastAsia" w:ascii="Times New Roman" w:hAnsi="Times New Roman"/>
                <w:szCs w:val="20"/>
              </w:rPr>
              <w:t>根据</w:t>
            </w:r>
            <w:r>
              <w:rPr>
                <w:rFonts w:ascii="Times New Roman" w:hAnsi="Times New Roman"/>
                <w:szCs w:val="20"/>
              </w:rPr>
              <w:t>线边巡线手持</w:t>
            </w:r>
            <w:r>
              <w:rPr>
                <w:rFonts w:hint="eastAsia" w:ascii="Times New Roman" w:hAnsi="Times New Roman"/>
                <w:szCs w:val="20"/>
              </w:rPr>
              <w:t>PAD扫描标签</w:t>
            </w:r>
            <w:r>
              <w:rPr>
                <w:rFonts w:ascii="Times New Roman" w:hAnsi="Times New Roman"/>
                <w:szCs w:val="20"/>
              </w:rPr>
              <w:t>生成拉动</w:t>
            </w:r>
            <w:r>
              <w:rPr>
                <w:rFonts w:hint="eastAsia" w:ascii="Times New Roman" w:hAnsi="Times New Roman"/>
                <w:szCs w:val="20"/>
              </w:rPr>
              <w:t>信息</w:t>
            </w:r>
            <w:r>
              <w:rPr>
                <w:rFonts w:ascii="Times New Roman" w:hAnsi="Times New Roman"/>
                <w:szCs w:val="20"/>
              </w:rPr>
              <w:t>并形成配送计划。</w:t>
            </w:r>
          </w:p>
          <w:p>
            <w:pPr>
              <w:pStyle w:val="61"/>
              <w:numPr>
                <w:ilvl w:val="0"/>
                <w:numId w:val="5"/>
              </w:numPr>
              <w:ind w:firstLineChars="0"/>
              <w:rPr>
                <w:rFonts w:ascii="Times New Roman" w:hAnsi="Times New Roman"/>
                <w:szCs w:val="20"/>
              </w:rPr>
            </w:pPr>
            <w:r>
              <w:rPr>
                <w:rFonts w:hint="eastAsia" w:ascii="Times New Roman" w:hAnsi="Times New Roman"/>
                <w:szCs w:val="20"/>
              </w:rPr>
              <w:t>根据</w:t>
            </w:r>
            <w:r>
              <w:rPr>
                <w:rFonts w:ascii="Times New Roman" w:hAnsi="Times New Roman"/>
                <w:szCs w:val="20"/>
              </w:rPr>
              <w:t>配送计划</w:t>
            </w:r>
            <w:r>
              <w:rPr>
                <w:rFonts w:hint="eastAsia" w:ascii="Times New Roman" w:hAnsi="Times New Roman"/>
                <w:szCs w:val="20"/>
              </w:rPr>
              <w:t>配货</w:t>
            </w:r>
            <w:r>
              <w:rPr>
                <w:rFonts w:ascii="Times New Roman" w:hAnsi="Times New Roman"/>
                <w:szCs w:val="20"/>
              </w:rPr>
              <w:t>、合托，集成整托物料信息生成托码并粘贴。</w:t>
            </w:r>
          </w:p>
          <w:p>
            <w:pPr>
              <w:pStyle w:val="61"/>
              <w:numPr>
                <w:ilvl w:val="0"/>
                <w:numId w:val="5"/>
              </w:numPr>
              <w:ind w:firstLineChars="0"/>
              <w:rPr>
                <w:rFonts w:ascii="Times New Roman" w:hAnsi="Times New Roman"/>
                <w:szCs w:val="20"/>
              </w:rPr>
            </w:pPr>
            <w:r>
              <w:rPr>
                <w:rFonts w:hint="eastAsia" w:ascii="Times New Roman" w:hAnsi="Times New Roman"/>
                <w:szCs w:val="20"/>
              </w:rPr>
              <w:t>将看板件</w:t>
            </w:r>
            <w:r>
              <w:rPr>
                <w:rFonts w:ascii="Times New Roman" w:hAnsi="Times New Roman"/>
                <w:szCs w:val="20"/>
              </w:rPr>
              <w:t>配送至车间收料口，扫描托码完成物料交接。</w:t>
            </w:r>
          </w:p>
          <w:p>
            <w:pPr>
              <w:pStyle w:val="61"/>
              <w:numPr>
                <w:ilvl w:val="0"/>
                <w:numId w:val="5"/>
              </w:numPr>
              <w:ind w:firstLineChars="0"/>
              <w:rPr>
                <w:rFonts w:ascii="Times New Roman" w:hAnsi="Times New Roman"/>
                <w:szCs w:val="20"/>
              </w:rPr>
            </w:pPr>
            <w:r>
              <w:rPr>
                <w:rFonts w:hint="eastAsia" w:ascii="Times New Roman" w:hAnsi="Times New Roman"/>
                <w:szCs w:val="20"/>
              </w:rPr>
              <w:t>根据</w:t>
            </w:r>
            <w:r>
              <w:rPr>
                <w:rFonts w:ascii="Times New Roman" w:hAnsi="Times New Roman"/>
                <w:szCs w:val="20"/>
              </w:rPr>
              <w:t>料盒等器具的条码信息将物料送至指定线边地址。</w:t>
            </w:r>
          </w:p>
          <w:p>
            <w:pPr>
              <w:pStyle w:val="61"/>
              <w:numPr>
                <w:ilvl w:val="0"/>
                <w:numId w:val="5"/>
              </w:numPr>
              <w:ind w:firstLineChars="0"/>
              <w:rPr>
                <w:rFonts w:ascii="Times New Roman" w:hAnsi="Times New Roman"/>
                <w:szCs w:val="20"/>
              </w:rPr>
            </w:pPr>
            <w:r>
              <w:rPr>
                <w:rFonts w:hint="eastAsia" w:ascii="Times New Roman" w:hAnsi="Times New Roman"/>
                <w:szCs w:val="20"/>
              </w:rPr>
              <w:t>整理</w:t>
            </w:r>
            <w:r>
              <w:rPr>
                <w:rFonts w:ascii="Times New Roman" w:hAnsi="Times New Roman"/>
                <w:szCs w:val="20"/>
              </w:rPr>
              <w:t>收集空</w:t>
            </w:r>
            <w:r>
              <w:rPr>
                <w:rFonts w:hint="eastAsia" w:ascii="Times New Roman" w:hAnsi="Times New Roman"/>
                <w:szCs w:val="20"/>
              </w:rPr>
              <w:t>料盒</w:t>
            </w:r>
            <w:r>
              <w:rPr>
                <w:rFonts w:ascii="Times New Roman" w:hAnsi="Times New Roman"/>
                <w:szCs w:val="20"/>
              </w:rPr>
              <w:t>器具</w:t>
            </w:r>
            <w:r>
              <w:rPr>
                <w:rFonts w:hint="eastAsia" w:ascii="Times New Roman" w:hAnsi="Times New Roman"/>
                <w:szCs w:val="20"/>
              </w:rPr>
              <w:t>，</w:t>
            </w:r>
            <w:r>
              <w:rPr>
                <w:rFonts w:ascii="Times New Roman" w:hAnsi="Times New Roman"/>
                <w:szCs w:val="20"/>
              </w:rPr>
              <w:t>办理返空手续。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r>
              <w:rPr>
                <w:rFonts w:hint="eastAsia"/>
              </w:rPr>
              <w:t>3</w:t>
            </w:r>
          </w:p>
        </w:tc>
        <w:tc>
          <w:tcPr>
            <w:tcW w:w="1362" w:type="dxa"/>
            <w:vAlign w:val="center"/>
          </w:tcPr>
          <w:p>
            <w:r>
              <w:rPr>
                <w:rFonts w:hint="eastAsia"/>
              </w:rPr>
              <w:t>循环取货服务—取货</w:t>
            </w:r>
          </w:p>
        </w:tc>
        <w:tc>
          <w:tcPr>
            <w:tcW w:w="6338" w:type="dxa"/>
            <w:vAlign w:val="center"/>
          </w:tcPr>
          <w:p>
            <w:pPr>
              <w:pStyle w:val="61"/>
              <w:ind w:firstLine="0" w:firstLineChars="0"/>
              <w:rPr>
                <w:rFonts w:ascii="Times New Roman" w:hAnsi="Times New Roman"/>
                <w:szCs w:val="20"/>
              </w:rPr>
            </w:pPr>
            <w:r>
              <w:rPr>
                <w:rFonts w:hint="eastAsia" w:ascii="Times New Roman" w:hAnsi="Times New Roman"/>
                <w:szCs w:val="20"/>
              </w:rPr>
              <w:t>1.</w:t>
            </w:r>
            <w:r>
              <w:rPr>
                <w:rFonts w:ascii="Times New Roman" w:hAnsi="Times New Roman"/>
                <w:szCs w:val="20"/>
              </w:rPr>
              <w:t>将空工位器具</w:t>
            </w:r>
            <w:r>
              <w:rPr>
                <w:rFonts w:hint="eastAsia" w:ascii="Times New Roman" w:hAnsi="Times New Roman"/>
                <w:szCs w:val="20"/>
              </w:rPr>
              <w:t>返空</w:t>
            </w:r>
            <w:r>
              <w:rPr>
                <w:rFonts w:ascii="Times New Roman" w:hAnsi="Times New Roman"/>
                <w:szCs w:val="20"/>
              </w:rPr>
              <w:t>至</w:t>
            </w:r>
            <w:r>
              <w:rPr>
                <w:rFonts w:hint="eastAsia" w:ascii="Times New Roman" w:hAnsi="Times New Roman"/>
                <w:szCs w:val="20"/>
              </w:rPr>
              <w:t>三方</w:t>
            </w:r>
            <w:r>
              <w:rPr>
                <w:rFonts w:ascii="Times New Roman" w:hAnsi="Times New Roman"/>
                <w:szCs w:val="20"/>
              </w:rPr>
              <w:t>物流单位</w:t>
            </w:r>
            <w:r>
              <w:rPr>
                <w:rFonts w:hint="eastAsia" w:ascii="Times New Roman" w:hAnsi="Times New Roman"/>
                <w:szCs w:val="20"/>
              </w:rPr>
              <w:t>，并</w:t>
            </w:r>
            <w:r>
              <w:rPr>
                <w:rFonts w:ascii="Times New Roman" w:hAnsi="Times New Roman"/>
                <w:szCs w:val="20"/>
              </w:rPr>
              <w:t>按照物流配送计划收取产品</w:t>
            </w:r>
            <w:r>
              <w:rPr>
                <w:rFonts w:hint="eastAsia" w:ascii="Times New Roman" w:hAnsi="Times New Roman"/>
                <w:szCs w:val="20"/>
              </w:rPr>
              <w:t>件</w:t>
            </w:r>
            <w:r>
              <w:rPr>
                <w:rFonts w:ascii="Times New Roman" w:hAnsi="Times New Roman"/>
                <w:szCs w:val="20"/>
              </w:rPr>
              <w:t>及其工位器具</w:t>
            </w:r>
            <w:r>
              <w:rPr>
                <w:rFonts w:hint="eastAsia" w:ascii="Times New Roman" w:hAnsi="Times New Roman"/>
                <w:szCs w:val="20"/>
              </w:rPr>
              <w:t>。重汽</w:t>
            </w:r>
            <w:r>
              <w:rPr>
                <w:rFonts w:ascii="Times New Roman" w:hAnsi="Times New Roman"/>
                <w:szCs w:val="20"/>
              </w:rPr>
              <w:t>二级公司及部分供方产品件及其工位器具自行送至投标人分拣现场</w:t>
            </w:r>
            <w:r>
              <w:rPr>
                <w:rFonts w:hint="eastAsia" w:ascii="Times New Roman" w:hAnsi="Times New Roman"/>
                <w:szCs w:val="20"/>
              </w:rPr>
              <w:t>。</w:t>
            </w:r>
          </w:p>
          <w:p>
            <w:pPr>
              <w:pStyle w:val="61"/>
              <w:ind w:firstLine="0" w:firstLineChars="0"/>
              <w:rPr>
                <w:rFonts w:ascii="Times New Roman" w:hAnsi="Times New Roman"/>
                <w:szCs w:val="20"/>
              </w:rPr>
            </w:pPr>
            <w:r>
              <w:rPr>
                <w:rFonts w:ascii="Times New Roman" w:hAnsi="Times New Roman"/>
                <w:szCs w:val="20"/>
              </w:rPr>
              <w:t>2.</w:t>
            </w:r>
            <w:r>
              <w:rPr>
                <w:rFonts w:hint="eastAsia" w:ascii="Times New Roman" w:hAnsi="Times New Roman"/>
                <w:szCs w:val="20"/>
              </w:rPr>
              <w:t>与三方</w:t>
            </w:r>
            <w:r>
              <w:rPr>
                <w:rFonts w:ascii="Times New Roman" w:hAnsi="Times New Roman"/>
                <w:szCs w:val="20"/>
              </w:rPr>
              <w:t>物流单位</w:t>
            </w:r>
            <w:r>
              <w:rPr>
                <w:rFonts w:hint="eastAsia" w:ascii="Times New Roman" w:hAnsi="Times New Roman"/>
                <w:szCs w:val="20"/>
              </w:rPr>
              <w:t>对产品件种类</w:t>
            </w:r>
            <w:r>
              <w:rPr>
                <w:rFonts w:ascii="Times New Roman" w:hAnsi="Times New Roman"/>
                <w:szCs w:val="20"/>
              </w:rPr>
              <w:t>、</w:t>
            </w:r>
            <w:r>
              <w:rPr>
                <w:rFonts w:hint="eastAsia" w:ascii="Times New Roman" w:hAnsi="Times New Roman"/>
                <w:szCs w:val="20"/>
              </w:rPr>
              <w:t>数量共同进行清点，核对是否与</w:t>
            </w:r>
            <w:r>
              <w:rPr>
                <w:rFonts w:ascii="Times New Roman" w:hAnsi="Times New Roman"/>
                <w:szCs w:val="20"/>
              </w:rPr>
              <w:t>物流配送计划</w:t>
            </w:r>
            <w:r>
              <w:rPr>
                <w:rFonts w:hint="eastAsia" w:ascii="Times New Roman" w:hAnsi="Times New Roman"/>
                <w:szCs w:val="20"/>
              </w:rPr>
              <w:t>及</w:t>
            </w:r>
            <w:r>
              <w:rPr>
                <w:rFonts w:ascii="Times New Roman" w:hAnsi="Times New Roman"/>
                <w:szCs w:val="20"/>
              </w:rPr>
              <w:t>标签</w:t>
            </w:r>
            <w:r>
              <w:rPr>
                <w:rFonts w:hint="eastAsia" w:ascii="Times New Roman" w:hAnsi="Times New Roman"/>
                <w:szCs w:val="20"/>
              </w:rPr>
              <w:t>一致，检查产品外观质量是否符合要求。</w:t>
            </w:r>
          </w:p>
          <w:p>
            <w:pPr>
              <w:pStyle w:val="61"/>
              <w:ind w:firstLine="0" w:firstLineChars="0"/>
              <w:rPr>
                <w:rFonts w:ascii="Times New Roman" w:hAnsi="Times New Roman"/>
                <w:szCs w:val="20"/>
              </w:rPr>
            </w:pPr>
            <w:r>
              <w:rPr>
                <w:rFonts w:hint="eastAsia" w:ascii="Times New Roman" w:hAnsi="Times New Roman"/>
                <w:szCs w:val="20"/>
              </w:rPr>
              <w:t>3.将产品运输至投标人分拣</w:t>
            </w:r>
            <w:r>
              <w:rPr>
                <w:rFonts w:ascii="Times New Roman" w:hAnsi="Times New Roman"/>
                <w:szCs w:val="20"/>
              </w:rPr>
              <w:t>现场</w:t>
            </w:r>
            <w:r>
              <w:rPr>
                <w:rFonts w:hint="eastAsia" w:ascii="Times New Roman" w:hAnsi="Times New Roman"/>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r>
              <w:t>3</w:t>
            </w:r>
          </w:p>
        </w:tc>
        <w:tc>
          <w:tcPr>
            <w:tcW w:w="1362" w:type="dxa"/>
            <w:vAlign w:val="center"/>
          </w:tcPr>
          <w:p>
            <w:r>
              <w:rPr>
                <w:rFonts w:hint="eastAsia"/>
              </w:rPr>
              <w:t>循环取货服务—入库</w:t>
            </w:r>
          </w:p>
        </w:tc>
        <w:tc>
          <w:tcPr>
            <w:tcW w:w="6338" w:type="dxa"/>
            <w:vAlign w:val="center"/>
          </w:tcPr>
          <w:p>
            <w:pPr>
              <w:pStyle w:val="61"/>
              <w:ind w:firstLine="0" w:firstLineChars="0"/>
              <w:rPr>
                <w:rFonts w:ascii="Times New Roman" w:hAnsi="Times New Roman"/>
                <w:szCs w:val="20"/>
              </w:rPr>
            </w:pPr>
            <w:r>
              <w:rPr>
                <w:rFonts w:hint="eastAsia" w:ascii="Times New Roman" w:hAnsi="Times New Roman"/>
                <w:szCs w:val="20"/>
              </w:rPr>
              <w:t>1.产品件及</w:t>
            </w:r>
            <w:r>
              <w:rPr>
                <w:rFonts w:ascii="Times New Roman" w:hAnsi="Times New Roman"/>
                <w:szCs w:val="20"/>
              </w:rPr>
              <w:t>工位器具</w:t>
            </w:r>
            <w:r>
              <w:rPr>
                <w:rFonts w:hint="eastAsia" w:ascii="Times New Roman" w:hAnsi="Times New Roman"/>
                <w:szCs w:val="20"/>
              </w:rPr>
              <w:t>运输车辆到达后在指定地点等待卸车。</w:t>
            </w:r>
          </w:p>
          <w:p>
            <w:pPr>
              <w:pStyle w:val="61"/>
              <w:ind w:firstLine="0" w:firstLineChars="0"/>
              <w:rPr>
                <w:rFonts w:ascii="Times New Roman" w:hAnsi="Times New Roman"/>
                <w:szCs w:val="20"/>
              </w:rPr>
            </w:pPr>
            <w:r>
              <w:rPr>
                <w:rFonts w:hint="eastAsia" w:ascii="Times New Roman" w:hAnsi="Times New Roman"/>
                <w:szCs w:val="20"/>
              </w:rPr>
              <w:t>2.打印入库单据并核对到货产品种类、数量是否与入库单据信息及</w:t>
            </w:r>
            <w:r>
              <w:rPr>
                <w:rFonts w:ascii="Times New Roman" w:hAnsi="Times New Roman"/>
                <w:szCs w:val="20"/>
              </w:rPr>
              <w:t>物流配送计划</w:t>
            </w:r>
            <w:r>
              <w:rPr>
                <w:rFonts w:hint="eastAsia" w:ascii="Times New Roman" w:hAnsi="Times New Roman"/>
                <w:szCs w:val="20"/>
              </w:rPr>
              <w:t>一致，检查产品外观质量是否符合要求。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r>
              <w:t>4</w:t>
            </w:r>
          </w:p>
        </w:tc>
        <w:tc>
          <w:tcPr>
            <w:tcW w:w="1362" w:type="dxa"/>
            <w:vAlign w:val="center"/>
          </w:tcPr>
          <w:p>
            <w:r>
              <w:rPr>
                <w:rFonts w:hint="eastAsia"/>
              </w:rPr>
              <w:t>仓储（暂存）管理</w:t>
            </w:r>
          </w:p>
        </w:tc>
        <w:tc>
          <w:tcPr>
            <w:tcW w:w="6338" w:type="dxa"/>
            <w:vAlign w:val="center"/>
          </w:tcPr>
          <w:p>
            <w:r>
              <w:rPr>
                <w:rFonts w:hint="eastAsia"/>
              </w:rPr>
              <w:t>1.采取必要的室内仓库存放以提升防护水平。</w:t>
            </w:r>
          </w:p>
          <w:p>
            <w:r>
              <w:rPr>
                <w:rFonts w:hint="eastAsia"/>
              </w:rPr>
              <w:t>2.采取必要的防护措施以确保产品在仓储过程中质量完好。</w:t>
            </w:r>
          </w:p>
          <w:p>
            <w:r>
              <w:rPr>
                <w:rFonts w:hint="eastAsia"/>
              </w:rPr>
              <w:t>3.每月对产品进行盘存并将盘存结果传递至招标人及其供方、</w:t>
            </w:r>
            <w:r>
              <w:t>重汽二级公司</w:t>
            </w:r>
            <w:r>
              <w:rPr>
                <w:rFonts w:hint="eastAsia"/>
              </w:rPr>
              <w:t>，与供方、</w:t>
            </w:r>
            <w:r>
              <w:t>重汽二级公司</w:t>
            </w:r>
            <w:r>
              <w:rPr>
                <w:rFonts w:hint="eastAsia"/>
              </w:rPr>
              <w:t>完成对账及差异处理。</w:t>
            </w:r>
          </w:p>
          <w:p>
            <w:r>
              <w:rPr>
                <w:rFonts w:hint="eastAsia"/>
              </w:rPr>
              <w:t>4.购置相应的物资保险、添置消防、防盗等设备，确保物资仓储安全。</w:t>
            </w:r>
          </w:p>
          <w:p>
            <w:pPr>
              <w:pStyle w:val="61"/>
              <w:ind w:firstLine="0" w:firstLineChars="0"/>
              <w:rPr>
                <w:rFonts w:ascii="Times New Roman" w:hAnsi="Times New Roman"/>
                <w:szCs w:val="20"/>
              </w:rPr>
            </w:pPr>
            <w:r>
              <w:rPr>
                <w:rFonts w:hint="eastAsia" w:ascii="Times New Roman" w:hAnsi="Times New Roman"/>
                <w:szCs w:val="20"/>
              </w:rPr>
              <w:t>5.按目视化标识（标牌、标线）、厂家、型号分类存放，不得随意混放。</w:t>
            </w:r>
          </w:p>
          <w:p>
            <w:pPr>
              <w:pStyle w:val="61"/>
              <w:ind w:firstLine="0" w:firstLineChars="0"/>
              <w:rPr>
                <w:rFonts w:ascii="Times New Roman" w:hAnsi="Times New Roman"/>
                <w:szCs w:val="20"/>
              </w:rPr>
            </w:pPr>
            <w:r>
              <w:rPr>
                <w:rFonts w:hint="eastAsia" w:ascii="Times New Roman" w:hAnsi="Times New Roman"/>
                <w:szCs w:val="20"/>
              </w:rPr>
              <w:t>6.严禁出、入库装卸野蛮操作，如出现磕碰损坏由承包方承担。</w:t>
            </w:r>
          </w:p>
          <w:p>
            <w:pPr>
              <w:pStyle w:val="61"/>
              <w:ind w:firstLine="0" w:firstLineChars="0"/>
              <w:rPr>
                <w:rFonts w:ascii="Times New Roman" w:hAnsi="Times New Roman"/>
                <w:szCs w:val="20"/>
              </w:rPr>
            </w:pPr>
            <w:r>
              <w:rPr>
                <w:rFonts w:hint="eastAsia" w:ascii="Times New Roman" w:hAnsi="Times New Roman"/>
                <w:szCs w:val="20"/>
              </w:rPr>
              <w:t>7.严格控制作业现场进、出车辆数量，确保现场安全、有序。</w:t>
            </w:r>
          </w:p>
          <w:p>
            <w:r>
              <w:rPr>
                <w:rFonts w:hint="eastAsia"/>
              </w:rPr>
              <w:t>8.按要求做好现场6S管理。</w:t>
            </w:r>
          </w:p>
          <w:p>
            <w:r>
              <w:rPr>
                <w:rFonts w:hint="eastAsia"/>
              </w:rPr>
              <w:t>9.账物一致率100%。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675" w:type="dxa"/>
            <w:vAlign w:val="center"/>
          </w:tcPr>
          <w:p>
            <w:r>
              <w:rPr>
                <w:rFonts w:hint="eastAsia"/>
              </w:rPr>
              <w:t>5</w:t>
            </w:r>
          </w:p>
        </w:tc>
        <w:tc>
          <w:tcPr>
            <w:tcW w:w="1362" w:type="dxa"/>
            <w:vAlign w:val="center"/>
          </w:tcPr>
          <w:p>
            <w:r>
              <w:rPr>
                <w:rFonts w:hint="eastAsia"/>
              </w:rPr>
              <w:t>分拣作业</w:t>
            </w:r>
          </w:p>
        </w:tc>
        <w:tc>
          <w:tcPr>
            <w:tcW w:w="6338" w:type="dxa"/>
            <w:vAlign w:val="center"/>
          </w:tcPr>
          <w:p>
            <w:r>
              <w:rPr>
                <w:rFonts w:hint="eastAsia"/>
              </w:rPr>
              <w:t>1.分拣</w:t>
            </w:r>
            <w:r>
              <w:t>小件</w:t>
            </w:r>
            <w:r>
              <w:rPr>
                <w:rFonts w:hint="eastAsia"/>
              </w:rPr>
              <w:t>根据</w:t>
            </w:r>
            <w:r>
              <w:t>产品件</w:t>
            </w:r>
            <w:r>
              <w:rPr>
                <w:rFonts w:hint="eastAsia"/>
              </w:rPr>
              <w:t>标签</w:t>
            </w:r>
            <w:r>
              <w:t>显示的</w:t>
            </w:r>
            <w:r>
              <w:rPr>
                <w:rFonts w:hint="eastAsia"/>
              </w:rPr>
              <w:t>台车号进行</w:t>
            </w:r>
            <w:r>
              <w:t>分拣</w:t>
            </w:r>
            <w:r>
              <w:rPr>
                <w:rFonts w:hint="eastAsia"/>
              </w:rPr>
              <w:t>，放置</w:t>
            </w:r>
            <w:r>
              <w:t>到相应的</w:t>
            </w:r>
            <w:r>
              <w:rPr>
                <w:rFonts w:hint="eastAsia"/>
              </w:rPr>
              <w:t>台车位置，并</w:t>
            </w:r>
            <w:r>
              <w:t>粘贴</w:t>
            </w:r>
            <w:r>
              <w:rPr>
                <w:rFonts w:hint="eastAsia"/>
              </w:rPr>
              <w:t>明细。按照台车号的前后顺序将</w:t>
            </w:r>
            <w:r>
              <w:t>产品件</w:t>
            </w:r>
            <w:r>
              <w:rPr>
                <w:rFonts w:hint="eastAsia"/>
              </w:rPr>
              <w:t>归集到待发车位。</w:t>
            </w:r>
          </w:p>
          <w:p>
            <w:r>
              <w:rPr>
                <w:rFonts w:hint="eastAsia"/>
              </w:rPr>
              <w:t>2.大件</w:t>
            </w:r>
            <w:r>
              <w:t>分批</w:t>
            </w:r>
            <w:r>
              <w:rPr>
                <w:rFonts w:hint="eastAsia"/>
              </w:rPr>
              <w:t>的</w:t>
            </w:r>
            <w:r>
              <w:t>产品件</w:t>
            </w:r>
            <w:r>
              <w:rPr>
                <w:rFonts w:hint="eastAsia"/>
              </w:rPr>
              <w:t>根据分批计划与实际标签</w:t>
            </w:r>
            <w:r>
              <w:t>SNP</w:t>
            </w:r>
            <w:r>
              <w:rPr>
                <w:rFonts w:hint="eastAsia"/>
              </w:rPr>
              <w:t>进行分批标识，按照上线</w:t>
            </w:r>
            <w:r>
              <w:t>配送批次归集到待发车位。</w:t>
            </w:r>
          </w:p>
          <w:p>
            <w:r>
              <w:t>3</w:t>
            </w:r>
            <w:r>
              <w:rPr>
                <w:rFonts w:hint="eastAsia"/>
              </w:rPr>
              <w:t>.看板件</w:t>
            </w:r>
            <w:r>
              <w:t>产品需</w:t>
            </w:r>
            <w:r>
              <w:rPr>
                <w:rFonts w:hint="eastAsia"/>
              </w:rPr>
              <w:t>进行包装转换，粘贴</w:t>
            </w:r>
            <w:r>
              <w:t>好</w:t>
            </w:r>
            <w:r>
              <w:rPr>
                <w:rFonts w:hint="eastAsia"/>
              </w:rPr>
              <w:t>仓储</w:t>
            </w:r>
            <w:r>
              <w:t>标签，放置</w:t>
            </w:r>
            <w:r>
              <w:rPr>
                <w:rFonts w:hint="eastAsia"/>
              </w:rPr>
              <w:t>到相应</w:t>
            </w:r>
            <w:r>
              <w:t>的货位</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75" w:type="dxa"/>
            <w:vAlign w:val="center"/>
          </w:tcPr>
          <w:p>
            <w:r>
              <w:t>6</w:t>
            </w:r>
          </w:p>
        </w:tc>
        <w:tc>
          <w:tcPr>
            <w:tcW w:w="1362" w:type="dxa"/>
            <w:vAlign w:val="center"/>
          </w:tcPr>
          <w:p>
            <w:r>
              <w:rPr>
                <w:rFonts w:hint="eastAsia"/>
              </w:rPr>
              <w:t>仓储（暂存）管理</w:t>
            </w:r>
          </w:p>
        </w:tc>
        <w:tc>
          <w:tcPr>
            <w:tcW w:w="6338" w:type="dxa"/>
            <w:vAlign w:val="center"/>
          </w:tcPr>
          <w:p>
            <w:r>
              <w:rPr>
                <w:rFonts w:hint="eastAsia"/>
              </w:rPr>
              <w:t>1.采取必要的室内仓库存放以提升防护水平。</w:t>
            </w:r>
          </w:p>
          <w:p>
            <w:r>
              <w:rPr>
                <w:rFonts w:hint="eastAsia"/>
              </w:rPr>
              <w:t>2.采取必要的防护措施以确保产品在仓储过程中质量完好。</w:t>
            </w:r>
          </w:p>
          <w:p>
            <w:r>
              <w:rPr>
                <w:rFonts w:hint="eastAsia"/>
              </w:rPr>
              <w:t>3.每月对产品进行盘存并将盘存结果传递至招标人及其供方、</w:t>
            </w:r>
            <w:r>
              <w:t>重汽二级公司</w:t>
            </w:r>
            <w:r>
              <w:rPr>
                <w:rFonts w:hint="eastAsia"/>
              </w:rPr>
              <w:t>，与供方、</w:t>
            </w:r>
            <w:r>
              <w:t>重汽二级公司</w:t>
            </w:r>
            <w:r>
              <w:rPr>
                <w:rFonts w:hint="eastAsia"/>
              </w:rPr>
              <w:t>完成对账及差异处理。</w:t>
            </w:r>
          </w:p>
          <w:p>
            <w:r>
              <w:rPr>
                <w:rFonts w:hint="eastAsia"/>
              </w:rPr>
              <w:t>4.购置相应的物资保险、添置消防、防盗等设备，确保物资仓储安全。</w:t>
            </w:r>
          </w:p>
          <w:p>
            <w:pPr>
              <w:pStyle w:val="61"/>
              <w:ind w:firstLine="0" w:firstLineChars="0"/>
              <w:rPr>
                <w:rFonts w:ascii="Times New Roman" w:hAnsi="Times New Roman"/>
                <w:szCs w:val="20"/>
              </w:rPr>
            </w:pPr>
            <w:r>
              <w:rPr>
                <w:rFonts w:hint="eastAsia" w:ascii="Times New Roman" w:hAnsi="Times New Roman"/>
                <w:szCs w:val="20"/>
              </w:rPr>
              <w:t>5.按目视化标识（标牌、标线）、厂家、型号分类存放，不得随意混放。</w:t>
            </w:r>
          </w:p>
          <w:p>
            <w:pPr>
              <w:pStyle w:val="61"/>
              <w:ind w:firstLine="0" w:firstLineChars="0"/>
              <w:rPr>
                <w:rFonts w:ascii="Times New Roman" w:hAnsi="Times New Roman"/>
                <w:szCs w:val="20"/>
              </w:rPr>
            </w:pPr>
            <w:r>
              <w:rPr>
                <w:rFonts w:hint="eastAsia" w:ascii="Times New Roman" w:hAnsi="Times New Roman"/>
                <w:szCs w:val="20"/>
              </w:rPr>
              <w:t>6.严禁出、入库装卸野蛮操作，如出现磕碰损坏由承包方承担。</w:t>
            </w:r>
          </w:p>
          <w:p>
            <w:pPr>
              <w:pStyle w:val="61"/>
              <w:ind w:firstLine="0" w:firstLineChars="0"/>
              <w:rPr>
                <w:rFonts w:ascii="Times New Roman" w:hAnsi="Times New Roman"/>
                <w:szCs w:val="20"/>
              </w:rPr>
            </w:pPr>
            <w:r>
              <w:rPr>
                <w:rFonts w:hint="eastAsia" w:ascii="Times New Roman" w:hAnsi="Times New Roman"/>
                <w:szCs w:val="20"/>
              </w:rPr>
              <w:t>7.严格控制作业现场进、出车辆数量，确保现场安全、有序。</w:t>
            </w:r>
          </w:p>
          <w:p>
            <w:r>
              <w:rPr>
                <w:rFonts w:hint="eastAsia"/>
              </w:rPr>
              <w:t>8.按要求做好现场6S管理。</w:t>
            </w:r>
          </w:p>
          <w:p>
            <w:r>
              <w:rPr>
                <w:rFonts w:hint="eastAsia"/>
              </w:rPr>
              <w:t>9.账物一致率100%。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675" w:type="dxa"/>
            <w:vAlign w:val="center"/>
          </w:tcPr>
          <w:p>
            <w:r>
              <w:t>7</w:t>
            </w:r>
          </w:p>
        </w:tc>
        <w:tc>
          <w:tcPr>
            <w:tcW w:w="1362" w:type="dxa"/>
            <w:vAlign w:val="center"/>
          </w:tcPr>
          <w:p>
            <w:r>
              <w:rPr>
                <w:rFonts w:hint="eastAsia"/>
              </w:rPr>
              <w:t>分拣出库</w:t>
            </w:r>
          </w:p>
        </w:tc>
        <w:tc>
          <w:tcPr>
            <w:tcW w:w="6338" w:type="dxa"/>
            <w:vAlign w:val="center"/>
          </w:tcPr>
          <w:p>
            <w:pPr>
              <w:pStyle w:val="61"/>
              <w:ind w:firstLine="0" w:firstLineChars="0"/>
              <w:rPr>
                <w:rFonts w:ascii="Times New Roman" w:hAnsi="Times New Roman"/>
                <w:szCs w:val="20"/>
              </w:rPr>
            </w:pPr>
            <w:r>
              <w:rPr>
                <w:rFonts w:hint="eastAsia" w:ascii="Times New Roman" w:hAnsi="Times New Roman"/>
                <w:szCs w:val="20"/>
              </w:rPr>
              <w:t>1.根据要货指令，打印出库单据。看板产品根据要货指令，</w:t>
            </w:r>
            <w:r>
              <w:rPr>
                <w:rFonts w:ascii="Times New Roman" w:hAnsi="Times New Roman"/>
                <w:szCs w:val="20"/>
              </w:rPr>
              <w:t>打印拣货单，将产品件进行下架、分拣</w:t>
            </w:r>
            <w:r>
              <w:rPr>
                <w:rFonts w:hint="eastAsia" w:ascii="Times New Roman" w:hAnsi="Times New Roman"/>
                <w:szCs w:val="20"/>
              </w:rPr>
              <w:t>、</w:t>
            </w:r>
            <w:r>
              <w:rPr>
                <w:rFonts w:ascii="Times New Roman" w:hAnsi="Times New Roman"/>
                <w:szCs w:val="20"/>
              </w:rPr>
              <w:t>组托</w:t>
            </w:r>
            <w:r>
              <w:rPr>
                <w:rFonts w:hint="eastAsia" w:ascii="Times New Roman" w:hAnsi="Times New Roman"/>
                <w:szCs w:val="20"/>
              </w:rPr>
              <w:t>，并</w:t>
            </w:r>
            <w:r>
              <w:rPr>
                <w:rFonts w:ascii="Times New Roman" w:hAnsi="Times New Roman"/>
                <w:szCs w:val="20"/>
              </w:rPr>
              <w:t>生成标签信息</w:t>
            </w:r>
            <w:r>
              <w:rPr>
                <w:rFonts w:hint="eastAsia" w:ascii="Times New Roman" w:hAnsi="Times New Roman"/>
                <w:szCs w:val="20"/>
              </w:rPr>
              <w:t>。</w:t>
            </w:r>
          </w:p>
          <w:p>
            <w:pPr>
              <w:pStyle w:val="61"/>
              <w:ind w:firstLine="0" w:firstLineChars="0"/>
              <w:rPr>
                <w:rFonts w:ascii="Times New Roman" w:hAnsi="Times New Roman"/>
                <w:szCs w:val="20"/>
              </w:rPr>
            </w:pPr>
            <w:r>
              <w:rPr>
                <w:rFonts w:hint="eastAsia" w:ascii="Times New Roman" w:hAnsi="Times New Roman"/>
                <w:szCs w:val="20"/>
              </w:rPr>
              <w:t>2.将分拣</w:t>
            </w:r>
            <w:r>
              <w:rPr>
                <w:rFonts w:ascii="Times New Roman" w:hAnsi="Times New Roman"/>
                <w:szCs w:val="20"/>
              </w:rPr>
              <w:t>小件</w:t>
            </w:r>
            <w:r>
              <w:rPr>
                <w:rFonts w:hint="eastAsia" w:ascii="Times New Roman" w:hAnsi="Times New Roman"/>
                <w:szCs w:val="20"/>
              </w:rPr>
              <w:t>及大件</w:t>
            </w:r>
            <w:r>
              <w:rPr>
                <w:rFonts w:ascii="Times New Roman" w:hAnsi="Times New Roman"/>
                <w:szCs w:val="20"/>
              </w:rPr>
              <w:t>分批的产品</w:t>
            </w:r>
            <w:r>
              <w:rPr>
                <w:rFonts w:hint="eastAsia" w:ascii="Times New Roman" w:hAnsi="Times New Roman"/>
                <w:szCs w:val="20"/>
              </w:rPr>
              <w:t>进行出库并办理出库手续。</w:t>
            </w:r>
          </w:p>
          <w:p>
            <w:pPr>
              <w:pStyle w:val="61"/>
              <w:ind w:firstLine="0" w:firstLineChars="0"/>
              <w:rPr>
                <w:rFonts w:ascii="Times New Roman" w:hAnsi="Times New Roman"/>
                <w:szCs w:val="20"/>
              </w:rPr>
            </w:pPr>
            <w:r>
              <w:rPr>
                <w:rFonts w:hint="eastAsia" w:ascii="Times New Roman" w:hAnsi="Times New Roman"/>
                <w:szCs w:val="20"/>
              </w:rPr>
              <w:t>3.将产品装车至指定运输车辆。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r>
              <w:t>8</w:t>
            </w:r>
          </w:p>
        </w:tc>
        <w:tc>
          <w:tcPr>
            <w:tcW w:w="1362" w:type="dxa"/>
            <w:vAlign w:val="center"/>
          </w:tcPr>
          <w:p>
            <w:r>
              <w:rPr>
                <w:rFonts w:hint="eastAsia"/>
              </w:rPr>
              <w:t>上线配送</w:t>
            </w:r>
          </w:p>
        </w:tc>
        <w:tc>
          <w:tcPr>
            <w:tcW w:w="6338" w:type="dxa"/>
            <w:vAlign w:val="center"/>
          </w:tcPr>
          <w:p>
            <w:pPr>
              <w:pStyle w:val="61"/>
              <w:ind w:firstLine="0" w:firstLineChars="0"/>
              <w:rPr>
                <w:rFonts w:ascii="Times New Roman" w:hAnsi="Times New Roman"/>
                <w:szCs w:val="20"/>
              </w:rPr>
            </w:pPr>
            <w:r>
              <w:rPr>
                <w:rFonts w:hint="eastAsia" w:ascii="Times New Roman" w:hAnsi="Times New Roman"/>
                <w:szCs w:val="20"/>
              </w:rPr>
              <w:t>1.装车完毕后，将产品运输至招标人生产现场。</w:t>
            </w:r>
          </w:p>
          <w:p>
            <w:pPr>
              <w:pStyle w:val="61"/>
              <w:ind w:firstLine="0" w:firstLineChars="0"/>
              <w:rPr>
                <w:rFonts w:ascii="Times New Roman" w:hAnsi="Times New Roman"/>
                <w:szCs w:val="20"/>
              </w:rPr>
            </w:pPr>
            <w:r>
              <w:rPr>
                <w:rFonts w:hint="eastAsia" w:ascii="Times New Roman" w:hAnsi="Times New Roman"/>
                <w:szCs w:val="20"/>
              </w:rPr>
              <w:t>2.采取必要的防护措施以确保产品在配送过程中质量完好。</w:t>
            </w:r>
          </w:p>
          <w:p>
            <w:pPr>
              <w:pStyle w:val="61"/>
              <w:ind w:firstLine="0" w:firstLineChars="0"/>
              <w:rPr>
                <w:rFonts w:ascii="Times New Roman" w:hAnsi="Times New Roman"/>
                <w:szCs w:val="20"/>
              </w:rPr>
            </w:pPr>
            <w:r>
              <w:rPr>
                <w:rFonts w:hint="eastAsia" w:ascii="Times New Roman" w:hAnsi="Times New Roman"/>
                <w:szCs w:val="20"/>
              </w:rPr>
              <w:t>3.到达指定卸货区域后，双方对货物数量及外观质量共同进行清点、外视检查，核查无误后双方交接签字确认。</w:t>
            </w:r>
          </w:p>
          <w:p>
            <w:pPr>
              <w:pStyle w:val="61"/>
              <w:ind w:firstLine="0" w:firstLineChars="0"/>
              <w:rPr>
                <w:rFonts w:ascii="Times New Roman" w:hAnsi="Times New Roman"/>
                <w:szCs w:val="20"/>
              </w:rPr>
            </w:pPr>
            <w:r>
              <w:rPr>
                <w:rFonts w:hint="eastAsia" w:ascii="Times New Roman" w:hAnsi="Times New Roman"/>
                <w:szCs w:val="20"/>
              </w:rPr>
              <w:t>4.将产品卸货至招标人生产现场指定区域。</w:t>
            </w:r>
          </w:p>
          <w:p>
            <w:pPr>
              <w:pStyle w:val="61"/>
              <w:ind w:firstLine="0" w:firstLineChars="0"/>
              <w:rPr>
                <w:rFonts w:ascii="Times New Roman" w:hAnsi="Times New Roman"/>
                <w:szCs w:val="20"/>
              </w:rPr>
            </w:pPr>
            <w:r>
              <w:rPr>
                <w:rFonts w:hint="eastAsia" w:ascii="Times New Roman" w:hAnsi="Times New Roman"/>
                <w:szCs w:val="20"/>
              </w:rPr>
              <w:t>5.将空器具装车并清理出招标人厂区。</w:t>
            </w:r>
          </w:p>
        </w:tc>
      </w:tr>
    </w:tbl>
    <w:p>
      <w:pPr>
        <w:pStyle w:val="55"/>
        <w:rPr>
          <w:b/>
          <w:color w:val="auto"/>
          <w:sz w:val="36"/>
          <w:szCs w:val="36"/>
        </w:rPr>
      </w:pPr>
    </w:p>
    <w:p>
      <w:pPr>
        <w:pStyle w:val="5"/>
        <w:jc w:val="both"/>
        <w:rPr>
          <w:rFonts w:hAnsi="宋体" w:eastAsia="宋体"/>
          <w:sz w:val="32"/>
        </w:rPr>
      </w:pPr>
      <w:bookmarkStart w:id="4" w:name="_Toc47031006"/>
      <w:bookmarkStart w:id="5" w:name="_Toc44077687"/>
      <w:bookmarkStart w:id="6" w:name="_Toc44077636"/>
      <w:r>
        <w:rPr>
          <w:rFonts w:hint="eastAsia" w:hAnsi="宋体" w:eastAsia="宋体"/>
          <w:sz w:val="32"/>
        </w:rPr>
        <w:t>三</w:t>
      </w:r>
      <w:r>
        <w:rPr>
          <w:rFonts w:hAnsi="宋体" w:eastAsia="宋体"/>
          <w:sz w:val="32"/>
        </w:rPr>
        <w:t>、运行管理要求</w:t>
      </w:r>
      <w:bookmarkEnd w:id="4"/>
      <w:bookmarkEnd w:id="5"/>
      <w:bookmarkEnd w:id="6"/>
    </w:p>
    <w:p>
      <w:bookmarkStart w:id="7" w:name="_Toc47031007"/>
      <w:bookmarkStart w:id="8" w:name="_Toc44077688"/>
      <w:bookmarkStart w:id="9" w:name="_Toc44077637"/>
      <w:r>
        <w:t>1、标准化要求</w:t>
      </w:r>
      <w:bookmarkEnd w:id="7"/>
      <w:bookmarkEnd w:id="8"/>
      <w:bookmarkEnd w:id="9"/>
    </w:p>
    <w:p>
      <w:r>
        <w:t>投标人应针对收货、转运、</w:t>
      </w:r>
      <w:r>
        <w:rPr>
          <w:rFonts w:hint="eastAsia"/>
        </w:rPr>
        <w:t>暂</w:t>
      </w:r>
      <w:r>
        <w:t>储、分拣、发运等物流操作环节建立流程文件，并将其用于指导员工的日常操作。相关流程文件包括但不限于以下内容：</w:t>
      </w:r>
    </w:p>
    <w:p>
      <w:r>
        <w:t>数据管理文件</w:t>
      </w:r>
    </w:p>
    <w:p>
      <w:r>
        <w:t>涉及岗位的标准作业指导书（SOP）</w:t>
      </w:r>
    </w:p>
    <w:p>
      <w:r>
        <w:t>批次管理文件</w:t>
      </w:r>
    </w:p>
    <w:p>
      <w:r>
        <w:t>MAX/MIN管理文件</w:t>
      </w:r>
    </w:p>
    <w:p>
      <w:r>
        <w:t>物料出入库管理文件</w:t>
      </w:r>
      <w:r>
        <w:rPr>
          <w:rFonts w:hint="eastAsia"/>
        </w:rPr>
        <w:t>（FIFO不</w:t>
      </w:r>
      <w:r>
        <w:t>完全适用</w:t>
      </w:r>
      <w:r>
        <w:rPr>
          <w:rFonts w:hint="eastAsia"/>
        </w:rPr>
        <w:t>）</w:t>
      </w:r>
    </w:p>
    <w:p>
      <w:r>
        <w:t>预警流程文件</w:t>
      </w:r>
    </w:p>
    <w:p>
      <w:r>
        <w:t>盘点流程文件</w:t>
      </w:r>
    </w:p>
    <w:p>
      <w:r>
        <w:t>损坏零件/废料/可疑物料管理文件</w:t>
      </w:r>
    </w:p>
    <w:p>
      <w:r>
        <w:t>呆滞物料管理文件</w:t>
      </w:r>
    </w:p>
    <w:p>
      <w:r>
        <w:t>包装器具管理文件</w:t>
      </w:r>
    </w:p>
    <w:p>
      <w:r>
        <w:t>目视化管理文件</w:t>
      </w:r>
    </w:p>
    <w:p>
      <w:bookmarkStart w:id="10" w:name="_Toc44077638"/>
      <w:bookmarkStart w:id="11" w:name="_Toc44077689"/>
      <w:bookmarkStart w:id="12" w:name="_Toc47031008"/>
      <w:r>
        <w:t>2、生产计划与物料计划</w:t>
      </w:r>
      <w:bookmarkEnd w:id="10"/>
      <w:bookmarkEnd w:id="11"/>
      <w:bookmarkEnd w:id="12"/>
    </w:p>
    <w:p>
      <w:r>
        <w:t>2.1 招标人将通过系统定时发布</w:t>
      </w:r>
      <w:r>
        <w:rPr>
          <w:rFonts w:hint="eastAsia"/>
        </w:rPr>
        <w:tab/>
      </w:r>
      <w:r>
        <w:rPr>
          <w:rFonts w:hint="eastAsia"/>
        </w:rPr>
        <w:t>T+3</w:t>
      </w:r>
      <w:r>
        <w:t>天滚动计划，投标人需根据生产计划合理安排和调配人员。如对生产计划存在疑问，及时与招标人进行沟通和协调。</w:t>
      </w:r>
    </w:p>
    <w:p>
      <w:r>
        <w:t>2.2 投标人须按要求及时接收招标人发出的各类物料计划，并及时、正确地使用这些物料计划指导实施日常操作。对物料计划中存在的疑问，要及时与招标人相关人员进行沟通和协调。这些计划包括</w:t>
      </w:r>
      <w:r>
        <w:rPr>
          <w:rFonts w:hint="eastAsia"/>
        </w:rPr>
        <w:t>生产计划、改制计划、销售计划、非生产计划、红字退库计划</w:t>
      </w:r>
      <w:r>
        <w:t>等等。</w:t>
      </w:r>
    </w:p>
    <w:p>
      <w:r>
        <w:t>2.3 遇招标人生产计划或物料计划调整时，投标人需要配合同步执行并建立相应预案。</w:t>
      </w:r>
    </w:p>
    <w:p>
      <w:bookmarkStart w:id="13" w:name="_Toc44077692"/>
      <w:bookmarkStart w:id="14" w:name="_Toc44077641"/>
      <w:bookmarkStart w:id="15" w:name="_Toc47031009"/>
      <w:r>
        <w:rPr>
          <w:rFonts w:hint="eastAsia"/>
        </w:rPr>
        <w:t>3</w:t>
      </w:r>
      <w:r>
        <w:t>、翻包及转运</w:t>
      </w:r>
      <w:bookmarkEnd w:id="13"/>
      <w:bookmarkEnd w:id="14"/>
      <w:bookmarkEnd w:id="15"/>
    </w:p>
    <w:p>
      <w:r>
        <w:rPr>
          <w:rFonts w:hint="eastAsia"/>
        </w:rPr>
        <w:t>3</w:t>
      </w:r>
      <w:r>
        <w:t>.1 翻包操作应符合以下要求：</w:t>
      </w:r>
      <w:r>
        <w:fldChar w:fldCharType="begin"/>
      </w:r>
      <w:r>
        <w:rPr>
          <w:rFonts w:hint="eastAsia"/>
        </w:rPr>
        <w:instrText xml:space="preserve">= 1 \* GB3</w:instrText>
      </w:r>
      <w:r>
        <w:fldChar w:fldCharType="separate"/>
      </w:r>
      <w:r>
        <w:rPr>
          <w:rFonts w:hint="eastAsia"/>
        </w:rPr>
        <w:t>①</w:t>
      </w:r>
      <w:r>
        <w:fldChar w:fldCharType="end"/>
      </w:r>
      <w:r>
        <w:t>正确的料箱/料架；</w:t>
      </w:r>
      <w:r>
        <w:fldChar w:fldCharType="begin"/>
      </w:r>
      <w:r>
        <w:rPr>
          <w:rFonts w:hint="eastAsia"/>
        </w:rPr>
        <w:instrText xml:space="preserve">= 2 \* GB3</w:instrText>
      </w:r>
      <w:r>
        <w:fldChar w:fldCharType="separate"/>
      </w:r>
      <w:r>
        <w:rPr>
          <w:rFonts w:hint="eastAsia"/>
        </w:rPr>
        <w:t>②</w:t>
      </w:r>
      <w:r>
        <w:fldChar w:fldCharType="end"/>
      </w:r>
      <w:r>
        <w:t>正确的内衬；</w:t>
      </w:r>
      <w:r>
        <w:fldChar w:fldCharType="begin"/>
      </w:r>
      <w:r>
        <w:rPr>
          <w:rFonts w:hint="eastAsia"/>
        </w:rPr>
        <w:instrText xml:space="preserve">= 3 \* GB3</w:instrText>
      </w:r>
      <w:r>
        <w:fldChar w:fldCharType="separate"/>
      </w:r>
      <w:r>
        <w:rPr>
          <w:rFonts w:hint="eastAsia"/>
        </w:rPr>
        <w:t>③</w:t>
      </w:r>
      <w:r>
        <w:fldChar w:fldCharType="end"/>
      </w:r>
      <w:r>
        <w:t>正确的物料标签；</w:t>
      </w:r>
      <w:r>
        <w:fldChar w:fldCharType="begin"/>
      </w:r>
      <w:r>
        <w:rPr>
          <w:rFonts w:hint="eastAsia"/>
        </w:rPr>
        <w:instrText xml:space="preserve">= 4 \* GB3</w:instrText>
      </w:r>
      <w:r>
        <w:fldChar w:fldCharType="separate"/>
      </w:r>
      <w:r>
        <w:rPr>
          <w:rFonts w:hint="eastAsia"/>
        </w:rPr>
        <w:t>④</w:t>
      </w:r>
      <w:r>
        <w:fldChar w:fldCharType="end"/>
      </w:r>
      <w:r>
        <w:t>翻包的料箱/料架保持良好清洁度；</w:t>
      </w:r>
      <w:r>
        <w:fldChar w:fldCharType="begin"/>
      </w:r>
      <w:r>
        <w:rPr>
          <w:rFonts w:hint="eastAsia"/>
        </w:rPr>
        <w:instrText xml:space="preserve">= 5 \* GB3</w:instrText>
      </w:r>
      <w:r>
        <w:fldChar w:fldCharType="separate"/>
      </w:r>
      <w:r>
        <w:rPr>
          <w:rFonts w:hint="eastAsia"/>
        </w:rPr>
        <w:t>⑤</w:t>
      </w:r>
      <w:r>
        <w:fldChar w:fldCharType="end"/>
      </w:r>
      <w:r>
        <w:t>标准的包装数量。</w:t>
      </w:r>
    </w:p>
    <w:p>
      <w:r>
        <w:rPr>
          <w:rFonts w:hint="eastAsia"/>
        </w:rPr>
        <w:t>3</w:t>
      </w:r>
      <w:r>
        <w:t>.2 投标人在开箱后应清点零件数量，并对其外表进行目视化检查，杜绝短缺和明显的损坏及污垢，确保再包装数量准确。</w:t>
      </w:r>
    </w:p>
    <w:p>
      <w:r>
        <w:rPr>
          <w:rFonts w:hint="eastAsia"/>
        </w:rPr>
        <w:t>3</w:t>
      </w:r>
      <w:r>
        <w:t>.3 翻包装过程中注意轻拿轻放，保护零件质量。在翻包装过程中发现可疑物料应立即隔离，由质量人员到场解决。</w:t>
      </w:r>
    </w:p>
    <w:p>
      <w:r>
        <w:rPr>
          <w:rFonts w:hint="eastAsia"/>
        </w:rPr>
        <w:t>3</w:t>
      </w:r>
      <w:r>
        <w:t>.4 翻包装完成后的零件应及时转移至待发区，避免与原包装物料混放。</w:t>
      </w:r>
    </w:p>
    <w:p>
      <w:r>
        <w:rPr>
          <w:rFonts w:hint="eastAsia"/>
        </w:rPr>
        <w:t>3</w:t>
      </w:r>
      <w:r>
        <w:t>.5 翻包作业应严格遵守</w:t>
      </w:r>
      <w:r>
        <w:rPr>
          <w:rFonts w:hint="eastAsia"/>
        </w:rPr>
        <w:t>作业标准</w:t>
      </w:r>
      <w:r>
        <w:t>，满足招标人对批次管理的要求。</w:t>
      </w:r>
    </w:p>
    <w:p>
      <w:bookmarkStart w:id="16" w:name="_Toc44077642"/>
      <w:bookmarkStart w:id="17" w:name="_Toc47031010"/>
      <w:bookmarkStart w:id="18" w:name="_Toc44077693"/>
      <w:r>
        <w:rPr>
          <w:rFonts w:hint="eastAsia"/>
        </w:rPr>
        <w:t>4</w:t>
      </w:r>
      <w:r>
        <w:t>、分拣、排序及待发</w:t>
      </w:r>
      <w:bookmarkEnd w:id="16"/>
      <w:bookmarkEnd w:id="17"/>
      <w:bookmarkEnd w:id="18"/>
    </w:p>
    <w:p>
      <w:r>
        <w:rPr>
          <w:rFonts w:hint="eastAsia"/>
        </w:rPr>
        <w:t>4</w:t>
      </w:r>
      <w:r>
        <w:t>.1 投标人依据招标人提供的要货指示清单，进行资源配置，确保排序所需的设备和人员满足工厂生产需求。</w:t>
      </w:r>
    </w:p>
    <w:p>
      <w:r>
        <w:rPr>
          <w:rFonts w:hint="eastAsia"/>
        </w:rPr>
        <w:t>4</w:t>
      </w:r>
      <w:r>
        <w:t>.2招标人有权在服务过程中，根据业务需要调整要货指示清单</w:t>
      </w:r>
      <w:r>
        <w:rPr>
          <w:rFonts w:hint="eastAsia"/>
        </w:rPr>
        <w:t>，</w:t>
      </w:r>
      <w:r>
        <w:t>投标人须无条件进行相应的资源配置调整，以满足最新的生产需求。</w:t>
      </w:r>
    </w:p>
    <w:p>
      <w:r>
        <w:rPr>
          <w:rFonts w:hint="eastAsia"/>
        </w:rPr>
        <w:t>4</w:t>
      </w:r>
      <w:r>
        <w:t>.3 投标人人员应在规定的时间内完成备料及排序操作。</w:t>
      </w:r>
    </w:p>
    <w:p>
      <w:r>
        <w:rPr>
          <w:rFonts w:hint="eastAsia"/>
        </w:rPr>
        <w:t>4</w:t>
      </w:r>
      <w:r>
        <w:t>.4 建立备料及排序的</w:t>
      </w:r>
      <w:r>
        <w:rPr>
          <w:rFonts w:hint="eastAsia"/>
        </w:rPr>
        <w:t>“</w:t>
      </w:r>
      <w:r>
        <w:t>自检</w:t>
      </w:r>
      <w:r>
        <w:rPr>
          <w:rFonts w:hint="eastAsia"/>
        </w:rPr>
        <w:t>”</w:t>
      </w:r>
      <w:r>
        <w:t>和</w:t>
      </w:r>
      <w:r>
        <w:rPr>
          <w:rFonts w:hint="eastAsia"/>
        </w:rPr>
        <w:t>“</w:t>
      </w:r>
      <w:r>
        <w:t>互检</w:t>
      </w:r>
      <w:r>
        <w:rPr>
          <w:rFonts w:hint="eastAsia"/>
        </w:rPr>
        <w:t>”</w:t>
      </w:r>
      <w:r>
        <w:t>机制。采取特定的</w:t>
      </w:r>
      <w:r>
        <w:rPr>
          <w:rFonts w:hint="eastAsia"/>
        </w:rPr>
        <w:t>“防呆”</w:t>
      </w:r>
      <w:r>
        <w:t>措施，消除人为因素造成的备料和排序错误。</w:t>
      </w:r>
    </w:p>
    <w:p>
      <w:r>
        <w:rPr>
          <w:rFonts w:hint="eastAsia"/>
        </w:rPr>
        <w:t>4</w:t>
      </w:r>
      <w:r>
        <w:t>.5 投标人对</w:t>
      </w:r>
      <w:r>
        <w:rPr>
          <w:rFonts w:hint="eastAsia"/>
        </w:rPr>
        <w:t>看板类</w:t>
      </w:r>
      <w:r>
        <w:t>物资进行合理的MAX/MIN库存设置，并进行明显的目视。定时检查待发区物料的存量，发现溢出、短缺时及时预警。</w:t>
      </w:r>
    </w:p>
    <w:p>
      <w:bookmarkStart w:id="19" w:name="_Toc44077643"/>
      <w:bookmarkStart w:id="20" w:name="_Toc44077694"/>
      <w:bookmarkStart w:id="21" w:name="_Toc47031011"/>
      <w:r>
        <w:rPr>
          <w:rFonts w:hint="eastAsia"/>
        </w:rPr>
        <w:t>5</w:t>
      </w:r>
      <w:r>
        <w:t>、配送管理</w:t>
      </w:r>
      <w:bookmarkEnd w:id="19"/>
      <w:bookmarkEnd w:id="20"/>
      <w:bookmarkEnd w:id="21"/>
    </w:p>
    <w:p>
      <w:r>
        <w:rPr>
          <w:rFonts w:hint="eastAsia"/>
        </w:rPr>
        <w:t>5</w:t>
      </w:r>
      <w:r>
        <w:t>.1 投标人应根据运输计划合理配备运输资源，如：配送车辆、短驳卡车及司机，保障全部配送计划的达成。</w:t>
      </w:r>
    </w:p>
    <w:p>
      <w:r>
        <w:rPr>
          <w:rFonts w:hint="eastAsia"/>
        </w:rPr>
        <w:t>5</w:t>
      </w:r>
      <w:r>
        <w:t>.2 投标人应按照招标人要求的交付时间（以拉动单、排序单为准），及时、准确地将零件配送至车间PC区，完成单据交接，同时将对应的空器具返回。</w:t>
      </w:r>
    </w:p>
    <w:p>
      <w:r>
        <w:rPr>
          <w:rFonts w:hint="eastAsia"/>
        </w:rPr>
        <w:t>5</w:t>
      </w:r>
      <w:r>
        <w:t>.3 对于短缺和紧急物料，投标人应优先安排车辆和人员进行配送，事后与招标人一起进行原因分析并做出改进。</w:t>
      </w:r>
    </w:p>
    <w:p>
      <w:r>
        <w:rPr>
          <w:rFonts w:hint="eastAsia"/>
        </w:rPr>
        <w:t>5</w:t>
      </w:r>
      <w:r>
        <w:t>.4 投标人应安排人员负责跟踪并记录拉动单据的完成情况，定期对配送及时率和准确率进行统计，分析异常原因并提出改进措施。</w:t>
      </w:r>
    </w:p>
    <w:p>
      <w:bookmarkStart w:id="22" w:name="_Toc44077644"/>
      <w:bookmarkStart w:id="23" w:name="_Toc44077695"/>
      <w:bookmarkStart w:id="24" w:name="_Toc47031012"/>
      <w:r>
        <w:rPr>
          <w:rFonts w:hint="eastAsia"/>
        </w:rPr>
        <w:t>6</w:t>
      </w:r>
      <w:r>
        <w:t>、特殊物料管理</w:t>
      </w:r>
      <w:bookmarkEnd w:id="22"/>
      <w:bookmarkEnd w:id="23"/>
      <w:bookmarkEnd w:id="24"/>
    </w:p>
    <w:p>
      <w:r>
        <w:rPr>
          <w:rFonts w:hint="eastAsia"/>
        </w:rPr>
        <w:t>6</w:t>
      </w:r>
      <w:r>
        <w:t>.1 对于有批次管理要求</w:t>
      </w:r>
      <w:r>
        <w:rPr>
          <w:rFonts w:hint="eastAsia"/>
        </w:rPr>
        <w:t>或特殊状态要求</w:t>
      </w:r>
      <w:r>
        <w:t>的零件，投标人应建立专门的管理文件，做好出入库批次记录，并确定批次准确率达到100%。</w:t>
      </w:r>
    </w:p>
    <w:p>
      <w:r>
        <w:rPr>
          <w:rFonts w:hint="eastAsia"/>
        </w:rPr>
        <w:t>6</w:t>
      </w:r>
      <w:r>
        <w:t>.2 在接收特殊物料验证时，投标人必须检查和督促零件供应商按供货要求悬挂特殊标识，特殊物料包括试装零件、</w:t>
      </w:r>
      <w:r>
        <w:rPr>
          <w:rFonts w:hint="eastAsia"/>
        </w:rPr>
        <w:t>军机</w:t>
      </w:r>
      <w:r>
        <w:t>零件、返修零件、新项目专用件零件、</w:t>
      </w:r>
      <w:r>
        <w:rPr>
          <w:rFonts w:hint="eastAsia"/>
        </w:rPr>
        <w:t>特殊机型</w:t>
      </w:r>
      <w:r>
        <w:t>专用件等。对于不符合供货标识要求的零件，应及时记录并反馈给招标人。</w:t>
      </w:r>
    </w:p>
    <w:p>
      <w:r>
        <w:rPr>
          <w:rFonts w:hint="eastAsia"/>
        </w:rPr>
        <w:t>6</w:t>
      </w:r>
      <w:r>
        <w:t>.3 投标人须安排专人负责断点零件的切换情况，包括按招标人要求控制断点零件的切换、评估断点完成时间、统计断点前旧物料的数量及对断点完成后旧物料的处理。</w:t>
      </w:r>
    </w:p>
    <w:p>
      <w:r>
        <w:rPr>
          <w:rFonts w:hint="eastAsia"/>
        </w:rPr>
        <w:t>6</w:t>
      </w:r>
      <w:r>
        <w:t>.4 有特殊存储要求的零件，应提供特殊的存储环境：如温度、湿度、防尘、防冲击要求等等。</w:t>
      </w:r>
    </w:p>
    <w:p>
      <w:r>
        <w:rPr>
          <w:rFonts w:hint="eastAsia"/>
        </w:rPr>
        <w:t>6</w:t>
      </w:r>
      <w:r>
        <w:t>.5可疑物料应及时隔离至可疑物料区域，定期通知供应商退货或进行返修，严禁将可疑物料二次配送至生产车间。</w:t>
      </w:r>
    </w:p>
    <w:p>
      <w:bookmarkStart w:id="25" w:name="_Toc44077645"/>
      <w:bookmarkStart w:id="26" w:name="_Toc44077696"/>
      <w:bookmarkStart w:id="27" w:name="_Toc47031013"/>
      <w:r>
        <w:rPr>
          <w:rFonts w:hint="eastAsia"/>
        </w:rPr>
        <w:t>7</w:t>
      </w:r>
      <w:r>
        <w:t>、财务管理</w:t>
      </w:r>
      <w:bookmarkEnd w:id="25"/>
      <w:bookmarkEnd w:id="26"/>
      <w:bookmarkEnd w:id="27"/>
    </w:p>
    <w:p>
      <w:r>
        <w:rPr>
          <w:rFonts w:hint="eastAsia"/>
        </w:rPr>
        <w:t>7</w:t>
      </w:r>
      <w:r>
        <w:t>.1 投标人应根据其内部管理并结合招标人的相关要求建立完整的账务管理体系。账务处理方法需满足招标人的账务要求，以便招标人的相关账务控制，如出现偏离，以招标人要求为准。</w:t>
      </w:r>
    </w:p>
    <w:p>
      <w:r>
        <w:rPr>
          <w:rFonts w:hint="eastAsia"/>
        </w:rPr>
        <w:t>7</w:t>
      </w:r>
      <w:r>
        <w:t>.2 投标人各环节单据必须执行日清管理，账务准确率必须100%。</w:t>
      </w:r>
    </w:p>
    <w:p>
      <w:r>
        <w:rPr>
          <w:rFonts w:hint="eastAsia"/>
        </w:rPr>
        <w:t>7</w:t>
      </w:r>
      <w:r>
        <w:t>.3 投标人各环节的相关凭证，需有单独凭证联提供给招标人物流主管部门和财务部门。</w:t>
      </w:r>
    </w:p>
    <w:p>
      <w:r>
        <w:rPr>
          <w:rFonts w:hint="eastAsia"/>
        </w:rPr>
        <w:t>7</w:t>
      </w:r>
      <w:r>
        <w:t>.4 物料接收、出库单据作为物权交接凭证，在投标人同招标人交接双方确认后，投标人应及时进行账务处理。入库单、出库单投标人必须保留三年以上，以备招标人后期进行对账、核查。</w:t>
      </w:r>
    </w:p>
    <w:p>
      <w:bookmarkStart w:id="28" w:name="_Toc47031014"/>
      <w:bookmarkStart w:id="29" w:name="_Toc44077697"/>
      <w:bookmarkStart w:id="30" w:name="_Toc44077646"/>
      <w:r>
        <w:rPr>
          <w:rFonts w:hint="eastAsia"/>
        </w:rPr>
        <w:t>8</w:t>
      </w:r>
      <w:r>
        <w:t>、紧急情况处理</w:t>
      </w:r>
      <w:bookmarkEnd w:id="28"/>
      <w:bookmarkEnd w:id="29"/>
      <w:bookmarkEnd w:id="30"/>
    </w:p>
    <w:p>
      <w:r>
        <w:rPr>
          <w:rFonts w:hint="eastAsia"/>
        </w:rPr>
        <w:t>8</w:t>
      </w:r>
      <w:r>
        <w:t>.1 投标人应对运营过程中出现的异常情况有预警&amp;报警措施，及时通知招标人及供应商。</w:t>
      </w:r>
    </w:p>
    <w:p>
      <w:r>
        <w:rPr>
          <w:rFonts w:hint="eastAsia"/>
        </w:rPr>
        <w:t>8</w:t>
      </w:r>
      <w:r>
        <w:t>.2 建立紧急配送流程及运输方案，具备紧急配送车辆，有紧急配送路线及流程规划。</w:t>
      </w:r>
    </w:p>
    <w:p>
      <w:r>
        <w:rPr>
          <w:rFonts w:hint="eastAsia"/>
        </w:rPr>
        <w:t>8</w:t>
      </w:r>
      <w:r>
        <w:t>.3 有物料报警机制及库存补充预案，有专人负责对报警物料进行处理，物料异常报警包括但限于：库存MIN/MAX报警、批量质量问题报警。</w:t>
      </w:r>
    </w:p>
    <w:p>
      <w:bookmarkStart w:id="31" w:name="_Toc44077698"/>
      <w:bookmarkStart w:id="32" w:name="_Toc47031015"/>
      <w:bookmarkStart w:id="33" w:name="_Toc44077647"/>
      <w:r>
        <w:rPr>
          <w:rFonts w:hint="eastAsia"/>
        </w:rPr>
        <w:t>9</w:t>
      </w:r>
      <w:r>
        <w:t>、运作报告与日常响应</w:t>
      </w:r>
      <w:bookmarkEnd w:id="31"/>
      <w:bookmarkEnd w:id="32"/>
      <w:bookmarkEnd w:id="33"/>
    </w:p>
    <w:p>
      <w:r>
        <w:rPr>
          <w:rFonts w:hint="eastAsia"/>
        </w:rPr>
        <w:t>9</w:t>
      </w:r>
      <w:r>
        <w:t>.1 投标人有义务每周向招标人提供运作报告，报告内容必须涉及以下的信息：投标人每日运作情况、投标人人员变动情况、每日安全、质量等等。在实际情况下，招标人如有其他的信息要求，投标人必须无条件配合。</w:t>
      </w:r>
    </w:p>
    <w:p>
      <w:r>
        <w:rPr>
          <w:rFonts w:hint="eastAsia"/>
        </w:rPr>
        <w:t>9</w:t>
      </w:r>
      <w:r>
        <w:t>.2 除每周运作报告外，投标人还应第一时间汇报其他对招标人造成停线风险的运作问题，积极与招标人人员协调解决，并随时跟踪和更新结果。</w:t>
      </w:r>
    </w:p>
    <w:p>
      <w:pPr>
        <w:pStyle w:val="5"/>
        <w:jc w:val="both"/>
        <w:rPr>
          <w:rFonts w:hAnsi="宋体" w:eastAsia="宋体"/>
          <w:sz w:val="32"/>
        </w:rPr>
      </w:pPr>
      <w:bookmarkStart w:id="34" w:name="_Toc44077648"/>
      <w:bookmarkStart w:id="35" w:name="_Toc44077699"/>
      <w:bookmarkStart w:id="36" w:name="_Toc47031016"/>
      <w:r>
        <w:rPr>
          <w:rFonts w:hint="eastAsia" w:hAnsi="宋体" w:eastAsia="宋体"/>
          <w:sz w:val="32"/>
        </w:rPr>
        <w:t>四</w:t>
      </w:r>
      <w:r>
        <w:rPr>
          <w:rFonts w:hAnsi="宋体" w:eastAsia="宋体"/>
          <w:sz w:val="32"/>
        </w:rPr>
        <w:t>、场地和设备管理要求</w:t>
      </w:r>
      <w:bookmarkEnd w:id="34"/>
      <w:bookmarkEnd w:id="35"/>
      <w:bookmarkEnd w:id="36"/>
    </w:p>
    <w:p>
      <w:pPr>
        <w:numPr>
          <w:ilvl w:val="1"/>
          <w:numId w:val="6"/>
        </w:numPr>
        <w:rPr>
          <w:rFonts w:hint="eastAsia"/>
        </w:rPr>
      </w:pPr>
      <w:bookmarkStart w:id="37" w:name="_Toc44077654"/>
      <w:bookmarkStart w:id="38" w:name="_Toc47031022"/>
      <w:bookmarkStart w:id="39" w:name="_Toc44077705"/>
      <w:r>
        <w:rPr>
          <w:rFonts w:hint="eastAsia"/>
        </w:rPr>
        <w:t>场地要求</w:t>
      </w:r>
    </w:p>
    <w:p>
      <w:r>
        <w:rPr>
          <w:rFonts w:hint="eastAsia"/>
        </w:rPr>
        <w:t>（1）特种车公司提供10000平方的仓库及2000平方的大棚供物流商使用，由中标单位确保仓库的使用安全</w:t>
      </w:r>
      <w:r>
        <w:rPr>
          <w:rFonts w:hint="eastAsia"/>
          <w:lang w:eastAsia="zh-CN"/>
        </w:rPr>
        <w:t>及日常维护</w:t>
      </w:r>
      <w:r>
        <w:rPr>
          <w:rFonts w:hint="eastAsia"/>
        </w:rPr>
        <w:t>。</w:t>
      </w:r>
    </w:p>
    <w:p>
      <w:pPr>
        <w:rPr>
          <w:rFonts w:hint="eastAsia"/>
        </w:rPr>
      </w:pPr>
      <w:r>
        <w:rPr>
          <w:rFonts w:hint="eastAsia"/>
        </w:rPr>
        <w:t>（2）如厂内仓库面积满足不了使用，由投标人在厂外租赁仓库，确保物资的安全。</w:t>
      </w:r>
    </w:p>
    <w:p>
      <w:r>
        <w:t>1.</w:t>
      </w:r>
      <w:r>
        <w:rPr>
          <w:rFonts w:hint="eastAsia"/>
        </w:rPr>
        <w:t>2投标人</w:t>
      </w:r>
      <w:r>
        <w:t>提供场地，需满足如下条件：</w:t>
      </w:r>
    </w:p>
    <w:p>
      <w:r>
        <w:t>（1）库房、地面、门窗、防撞柱、消防设施齐全、完好。</w:t>
      </w:r>
    </w:p>
    <w:p>
      <w:r>
        <w:t>（2）提供仓库所需的水源、电源、照明设施、电话和有线网络接口等库房设施，全仓库无线网络覆盖。</w:t>
      </w:r>
    </w:p>
    <w:p>
      <w:r>
        <w:t>1.</w:t>
      </w:r>
      <w:r>
        <w:rPr>
          <w:rFonts w:hint="eastAsia"/>
        </w:rPr>
        <w:t>3</w:t>
      </w:r>
      <w:r>
        <w:t>投标人的仓库消防等级应符合国家消防法规要求，同时投标人应建立完善的消防、安保措施，保证零部件的存储安全。</w:t>
      </w:r>
    </w:p>
    <w:p>
      <w:r>
        <w:t>1.4厂房内安全管理及定置定位等目视化标识，应与厂内保持一致。</w:t>
      </w:r>
    </w:p>
    <w:p>
      <w:bookmarkStart w:id="40" w:name="_Toc44077650"/>
      <w:bookmarkStart w:id="41" w:name="_Toc47031018"/>
      <w:bookmarkStart w:id="42" w:name="_Toc44077701"/>
      <w:r>
        <w:t>2、器具管理要求</w:t>
      </w:r>
      <w:bookmarkEnd w:id="40"/>
      <w:bookmarkEnd w:id="41"/>
      <w:bookmarkEnd w:id="42"/>
    </w:p>
    <w:p>
      <w:r>
        <w:rPr>
          <w:rFonts w:hint="eastAsia"/>
        </w:rPr>
        <w:t>2.1按照招标人要求设计、投入及管理相应的工位器具，并得到招标人相关部门的认可，确保产品的仓储、配送质量要求。</w:t>
      </w:r>
    </w:p>
    <w:p>
      <w:r>
        <w:rPr>
          <w:rFonts w:hint="eastAsia"/>
        </w:rPr>
        <w:t>2.2厂区内的器具存放区由投标人负责管理，空器具及时清理，器具存放不得超出器具存放区域。</w:t>
      </w:r>
    </w:p>
    <w:p>
      <w:r>
        <w:rPr>
          <w:rFonts w:hint="eastAsia"/>
        </w:rPr>
        <w:t>2.3负责日常的器具维护（含供方器具）、维修和补充。因投标人原因造成器具损坏或缺少器具影响产品质量、生产停线，由投标人承担损失。</w:t>
      </w:r>
    </w:p>
    <w:p>
      <w:bookmarkStart w:id="43" w:name="_Toc47031019"/>
      <w:r>
        <w:t>3、信息系统要求</w:t>
      </w:r>
      <w:bookmarkEnd w:id="43"/>
    </w:p>
    <w:p>
      <w:r>
        <w:t>3.</w:t>
      </w:r>
      <w:r>
        <w:rPr>
          <w:rFonts w:hint="eastAsia"/>
        </w:rPr>
        <w:t>1</w:t>
      </w:r>
      <w:r>
        <w:t>招标人提供</w:t>
      </w:r>
      <w:r>
        <w:rPr>
          <w:rFonts w:hint="eastAsia"/>
        </w:rPr>
        <w:t>ERP</w:t>
      </w:r>
      <w:r>
        <w:t>系统进行仓储管理，</w:t>
      </w:r>
      <w:r>
        <w:rPr>
          <w:rFonts w:hint="eastAsia"/>
        </w:rPr>
        <w:t>与</w:t>
      </w:r>
      <w:r>
        <w:t>供应商协同，</w:t>
      </w:r>
      <w:r>
        <w:rPr>
          <w:rFonts w:hint="eastAsia"/>
        </w:rPr>
        <w:t>下达采购</w:t>
      </w:r>
      <w:r>
        <w:t>计划</w:t>
      </w:r>
      <w:r>
        <w:rPr>
          <w:rFonts w:hint="eastAsia"/>
        </w:rPr>
        <w:t>。</w:t>
      </w:r>
    </w:p>
    <w:p>
      <w:r>
        <w:t>3.</w:t>
      </w:r>
      <w:r>
        <w:rPr>
          <w:rFonts w:hint="eastAsia"/>
        </w:rPr>
        <w:t>2投标</w:t>
      </w:r>
      <w:r>
        <w:t>人</w:t>
      </w:r>
      <w:r>
        <w:rPr>
          <w:rFonts w:hint="eastAsia"/>
        </w:rPr>
        <w:t>提供</w:t>
      </w:r>
      <w:r>
        <w:t>手持/工业PAD/目视化屏等，</w:t>
      </w:r>
      <w:r>
        <w:rPr>
          <w:rFonts w:hint="eastAsia"/>
        </w:rPr>
        <w:t>满足</w:t>
      </w:r>
      <w:r>
        <w:t>招标人目视化管理要求</w:t>
      </w:r>
      <w:r>
        <w:rPr>
          <w:rFonts w:hint="eastAsia"/>
        </w:rPr>
        <w:t>。</w:t>
      </w:r>
    </w:p>
    <w:p>
      <w:r>
        <w:t>3.</w:t>
      </w:r>
      <w:r>
        <w:rPr>
          <w:rFonts w:hint="eastAsia"/>
        </w:rPr>
        <w:t>3</w:t>
      </w:r>
      <w:r>
        <w:t>投标人应设置人员负责系统数据维护工作，所有数据变更都要有变更记录，便于后期追溯。</w:t>
      </w:r>
    </w:p>
    <w:p>
      <w:r>
        <w:t>3.</w:t>
      </w:r>
      <w:r>
        <w:rPr>
          <w:rFonts w:hint="eastAsia"/>
        </w:rPr>
        <w:t>4</w:t>
      </w:r>
      <w:r>
        <w:t>系统中的物流主数据（单车用量、包装信息等）由招标人负责维护</w:t>
      </w:r>
      <w:r>
        <w:rPr>
          <w:rFonts w:hint="eastAsia"/>
        </w:rPr>
        <w:t>。</w:t>
      </w:r>
      <w:r>
        <w:t>如投标人在运营过程中发现物流主数据异常，有义务第一时间通知招标人核实更改。</w:t>
      </w:r>
    </w:p>
    <w:p>
      <w:bookmarkStart w:id="44" w:name="_Toc44077652"/>
      <w:bookmarkStart w:id="45" w:name="_Toc44077703"/>
      <w:bookmarkStart w:id="46" w:name="_Toc47031020"/>
      <w:r>
        <w:t>4、运营设备要求</w:t>
      </w:r>
      <w:bookmarkEnd w:id="44"/>
      <w:bookmarkEnd w:id="45"/>
      <w:bookmarkEnd w:id="46"/>
    </w:p>
    <w:p>
      <w:r>
        <w:rPr>
          <w:rFonts w:hint="eastAsia"/>
        </w:rPr>
        <w:t>4.1装卸设备：3T叉车10辆。5T叉车3台，托盘牵引车6台。</w:t>
      </w:r>
    </w:p>
    <w:p>
      <w:r>
        <w:rPr>
          <w:rFonts w:hint="eastAsia"/>
        </w:rPr>
        <w:t>4.2器具配置：托盘（铁制）1000件，周转工位器具500件。</w:t>
      </w:r>
    </w:p>
    <w:p>
      <w:r>
        <w:rPr>
          <w:rFonts w:hint="eastAsia"/>
        </w:rPr>
        <w:t>4.3标签打印、扫码设备，满足产品件扫描出入库需求。</w:t>
      </w:r>
    </w:p>
    <w:p>
      <w:r>
        <w:rPr>
          <w:rFonts w:hint="eastAsia"/>
        </w:rPr>
        <w:t>4.4定期对设备进行维修维护保养，并可提供相关记录。</w:t>
      </w:r>
    </w:p>
    <w:p>
      <w:r>
        <w:t>4.</w:t>
      </w:r>
      <w:r>
        <w:rPr>
          <w:rFonts w:hint="eastAsia"/>
        </w:rPr>
        <w:t>5</w:t>
      </w:r>
      <w:r>
        <w:t>投标人根据招标人业务运作需要自行购置适量、合格的通讯工具、办公器材及耗材、辅助工具和材料等。</w:t>
      </w:r>
    </w:p>
    <w:p>
      <w:r>
        <w:t>4.</w:t>
      </w:r>
      <w:r>
        <w:rPr>
          <w:rFonts w:hint="eastAsia"/>
        </w:rPr>
        <w:t>6</w:t>
      </w:r>
      <w:r>
        <w:t>招标人有权对投标人的设备性能、投入数量进行审核，当设备无法满足招标人运营需求时，招标人有权要求投标人更换合格设备或追加设备投入。</w:t>
      </w:r>
    </w:p>
    <w:p>
      <w:r>
        <w:t>4.</w:t>
      </w:r>
      <w:r>
        <w:rPr>
          <w:rFonts w:hint="eastAsia"/>
        </w:rPr>
        <w:t>7</w:t>
      </w:r>
      <w:r>
        <w:t>投标人需建立设备点检制度，定期对设备进行检修和保养，及时处理点检发现的问题，以确保设备保持良好的使用性能。</w:t>
      </w:r>
    </w:p>
    <w:p>
      <w:r>
        <w:t>4.</w:t>
      </w:r>
      <w:r>
        <w:rPr>
          <w:rFonts w:hint="eastAsia"/>
        </w:rPr>
        <w:t>8</w:t>
      </w:r>
      <w:r>
        <w:t>设备使用过程中而引起的故障及机械电气损坏，均由投标人维修和置换。</w:t>
      </w:r>
    </w:p>
    <w:p>
      <w:bookmarkStart w:id="47" w:name="_Toc44077653"/>
      <w:bookmarkStart w:id="48" w:name="_Toc44077704"/>
      <w:bookmarkStart w:id="49" w:name="_Toc47031021"/>
      <w:r>
        <w:t>5、配送车辆要求</w:t>
      </w:r>
      <w:bookmarkEnd w:id="47"/>
      <w:bookmarkEnd w:id="48"/>
      <w:bookmarkEnd w:id="49"/>
    </w:p>
    <w:p>
      <w:r>
        <w:t>5.1 所有的运输车辆须满足中国重汽《关于对进入厂区物流车辆实施同意品牌管理的通知》、《关于实施中国重汽物流车辆统一标识颜色和加强管理的通知》相关要求。</w:t>
      </w:r>
    </w:p>
    <w:p>
      <w:r>
        <w:t xml:space="preserve">5.2 </w:t>
      </w:r>
      <w:r>
        <w:rPr>
          <w:rFonts w:hint="eastAsia"/>
        </w:rPr>
        <w:t>运输设备：</w:t>
      </w:r>
      <w:r>
        <w:t>要求为重汽品牌</w:t>
      </w:r>
      <w:r>
        <w:rPr>
          <w:rFonts w:hint="eastAsia"/>
        </w:rPr>
        <w:t>，</w:t>
      </w:r>
      <w:r>
        <w:t>排放标准国</w:t>
      </w:r>
      <w:r>
        <w:fldChar w:fldCharType="begin"/>
      </w:r>
      <w:r>
        <w:rPr>
          <w:rFonts w:hint="eastAsia"/>
        </w:rPr>
        <w:instrText xml:space="preserve">= 5 \* ROMAN</w:instrText>
      </w:r>
      <w:r>
        <w:fldChar w:fldCharType="separate"/>
      </w:r>
      <w:r>
        <w:t>V</w:t>
      </w:r>
      <w:r>
        <w:fldChar w:fldCharType="end"/>
      </w:r>
      <w:r>
        <w:rPr>
          <w:rFonts w:hint="eastAsia"/>
        </w:rPr>
        <w:t>及以上。</w:t>
      </w:r>
    </w:p>
    <w:p>
      <w:r>
        <w:t>5.3车辆安全与环保</w:t>
      </w:r>
    </w:p>
    <w:p>
      <w:r>
        <w:t>（1）投标人应建立车辆安全点检制度，定期对投入运营的车辆状况进行检查并备案；</w:t>
      </w:r>
    </w:p>
    <w:p>
      <w:r>
        <w:t>（2）所有车辆要求随车配备干粉灭火器等灭火设施；</w:t>
      </w:r>
    </w:p>
    <w:p>
      <w:r>
        <w:t>（3）送货司机进入招标人生产场所时，应无条件服从现场人员的管理，按要求穿戴劳保用品。</w:t>
      </w:r>
    </w:p>
    <w:p>
      <w:pPr>
        <w:pStyle w:val="5"/>
        <w:jc w:val="both"/>
        <w:rPr>
          <w:rFonts w:hAnsi="宋体" w:eastAsia="宋体"/>
          <w:sz w:val="32"/>
        </w:rPr>
      </w:pPr>
      <w:r>
        <w:rPr>
          <w:rFonts w:hint="eastAsia" w:hAnsi="宋体" w:eastAsia="宋体"/>
          <w:sz w:val="32"/>
        </w:rPr>
        <w:t>五</w:t>
      </w:r>
      <w:r>
        <w:rPr>
          <w:rFonts w:hAnsi="宋体" w:eastAsia="宋体"/>
          <w:sz w:val="32"/>
        </w:rPr>
        <w:t>、人员管理要求</w:t>
      </w:r>
      <w:bookmarkEnd w:id="37"/>
      <w:bookmarkEnd w:id="38"/>
      <w:bookmarkEnd w:id="39"/>
    </w:p>
    <w:p>
      <w:bookmarkStart w:id="50" w:name="_Toc44077655"/>
      <w:bookmarkStart w:id="51" w:name="_Toc47031023"/>
      <w:bookmarkStart w:id="52" w:name="_Toc44077706"/>
      <w:r>
        <w:t>1、人员测算</w:t>
      </w:r>
      <w:bookmarkEnd w:id="50"/>
      <w:bookmarkEnd w:id="51"/>
      <w:bookmarkEnd w:id="52"/>
    </w:p>
    <w:p>
      <w:r>
        <w:rPr>
          <w:rFonts w:hint="eastAsia"/>
        </w:rPr>
        <w:t>人员配置组织架构设置满足作业需求。</w:t>
      </w:r>
    </w:p>
    <w:p>
      <w:bookmarkStart w:id="53" w:name="_Toc44077656"/>
      <w:bookmarkStart w:id="54" w:name="_Toc47031024"/>
      <w:bookmarkStart w:id="55" w:name="_Toc44077707"/>
      <w:r>
        <w:t>2、组织机构</w:t>
      </w:r>
      <w:bookmarkEnd w:id="53"/>
      <w:bookmarkEnd w:id="54"/>
      <w:bookmarkEnd w:id="55"/>
    </w:p>
    <w:p>
      <w:r>
        <w:t>2.1 投标人项目经理责任人必须具备五年以上团队带领经验，三年以上运营管理及规划经验。投标人项目经理责任人的任用，必须通过招标人对其资质和能力的评审。</w:t>
      </w:r>
    </w:p>
    <w:p>
      <w:r>
        <w:t>2.2 投标人运营组织架构的设置须以招标人的业务设定为基础，与招标人系统的业务框架和运营流程保持一致。</w:t>
      </w:r>
    </w:p>
    <w:p>
      <w:r>
        <w:t>2.3 投标人必须建立合理的薪酬体系及员工激励机制，控制人员流失率，避免对招标人的生产运营造成不良影响。</w:t>
      </w:r>
    </w:p>
    <w:p>
      <w:r>
        <w:t>2.4 各级人员应具备“一岗多能”，在组织机构设置和人员配备上投标人应充分体现这一要求。</w:t>
      </w:r>
    </w:p>
    <w:p>
      <w:r>
        <w:t>2.5 在某些特殊岗位投标人人员必须达到相关岗位要求并且具备相关的操作资格证。</w:t>
      </w:r>
    </w:p>
    <w:p>
      <w:bookmarkStart w:id="56" w:name="_Toc44077708"/>
      <w:bookmarkStart w:id="57" w:name="_Toc47031025"/>
      <w:bookmarkStart w:id="58" w:name="_Toc44077657"/>
      <w:r>
        <w:t>3、人员管理</w:t>
      </w:r>
      <w:bookmarkEnd w:id="56"/>
      <w:bookmarkEnd w:id="57"/>
      <w:bookmarkEnd w:id="58"/>
    </w:p>
    <w:p>
      <w:r>
        <w:t>3.1 投标人专职岗位人员如发生变更，需要在变更前2个工作日内向招标人物流部门备案并获得招标人同意后方可进行人员的变更。</w:t>
      </w:r>
    </w:p>
    <w:p>
      <w:r>
        <w:t>3.2 投标人根据招标人业务定期组织人员培训，保存培训记录，培训费用由投标人自行承担。培训类型包括操作技能及标准化作业培训、安全和消防培训、新业务流程培训等。</w:t>
      </w:r>
    </w:p>
    <w:p>
      <w:pPr>
        <w:pStyle w:val="5"/>
        <w:jc w:val="both"/>
        <w:rPr>
          <w:rFonts w:hAnsi="宋体" w:eastAsia="宋体"/>
          <w:sz w:val="32"/>
        </w:rPr>
      </w:pPr>
      <w:bookmarkStart w:id="59" w:name="_Toc44077709"/>
      <w:bookmarkStart w:id="60" w:name="_Toc44077658"/>
      <w:bookmarkStart w:id="61" w:name="_Toc47031026"/>
      <w:r>
        <w:rPr>
          <w:rFonts w:hint="eastAsia" w:hAnsi="宋体" w:eastAsia="宋体"/>
          <w:sz w:val="32"/>
        </w:rPr>
        <w:t>六</w:t>
      </w:r>
      <w:r>
        <w:rPr>
          <w:rFonts w:hAnsi="宋体" w:eastAsia="宋体"/>
          <w:sz w:val="32"/>
        </w:rPr>
        <w:t>、考核</w:t>
      </w:r>
      <w:bookmarkEnd w:id="59"/>
      <w:bookmarkEnd w:id="60"/>
      <w:bookmarkEnd w:id="61"/>
      <w:bookmarkStart w:id="62" w:name="_Toc44077659"/>
      <w:bookmarkStart w:id="63" w:name="_Toc44077710"/>
      <w:bookmarkStart w:id="64" w:name="_Toc47031027"/>
    </w:p>
    <w:p>
      <w:pPr>
        <w:pStyle w:val="5"/>
        <w:jc w:val="both"/>
        <w:rPr>
          <w:rFonts w:hAnsi="宋体" w:eastAsia="宋体"/>
          <w:sz w:val="32"/>
        </w:rPr>
      </w:pPr>
      <w:r>
        <w:rPr>
          <w:rFonts w:ascii="Times New Roman" w:hAnsi="Times New Roman"/>
          <w:bCs/>
          <w:sz w:val="24"/>
          <w:szCs w:val="24"/>
        </w:rPr>
        <w:t>1、基础管理项目检查考核办法</w:t>
      </w:r>
      <w:bookmarkEnd w:id="62"/>
      <w:bookmarkEnd w:id="63"/>
      <w:bookmarkEnd w:id="64"/>
    </w:p>
    <w:p>
      <w:pPr>
        <w:spacing w:line="480" w:lineRule="exact"/>
        <w:ind w:firstLine="482"/>
        <w:rPr>
          <w:sz w:val="24"/>
        </w:rPr>
      </w:pPr>
      <w:r>
        <w:rPr>
          <w:sz w:val="24"/>
        </w:rPr>
        <w:t>1.1影响生产及配件发交</w:t>
      </w:r>
    </w:p>
    <w:p>
      <w:pPr>
        <w:spacing w:line="480" w:lineRule="exact"/>
        <w:ind w:firstLine="482"/>
        <w:rPr>
          <w:sz w:val="24"/>
        </w:rPr>
      </w:pPr>
      <w:r>
        <w:rPr>
          <w:sz w:val="24"/>
        </w:rPr>
        <w:t>因投标人原因造成配送发交不及时，致使公司生产停线或配件计划未按时完成，造成总装线停线每</w:t>
      </w:r>
      <w:r>
        <w:rPr>
          <w:rFonts w:hint="eastAsia"/>
          <w:sz w:val="24"/>
        </w:rPr>
        <w:t>次</w:t>
      </w:r>
      <w:r>
        <w:rPr>
          <w:sz w:val="24"/>
        </w:rPr>
        <w:t>考核1000元，影响零部件、总成、零部件出产2小时考核1000元，问题处理不及时，影响生产视情节扣款。配件(备件)品种未完成按1000元/种、数量未完成按500元/件扣款。</w:t>
      </w:r>
    </w:p>
    <w:p>
      <w:pPr>
        <w:spacing w:line="480" w:lineRule="exact"/>
        <w:ind w:firstLine="482"/>
        <w:rPr>
          <w:sz w:val="24"/>
        </w:rPr>
      </w:pPr>
      <w:r>
        <w:rPr>
          <w:sz w:val="24"/>
        </w:rPr>
        <w:t>1.2配送差异</w:t>
      </w:r>
    </w:p>
    <w:p>
      <w:pPr>
        <w:spacing w:line="480" w:lineRule="exact"/>
        <w:ind w:firstLine="482"/>
        <w:rPr>
          <w:sz w:val="24"/>
        </w:rPr>
      </w:pPr>
      <w:r>
        <w:rPr>
          <w:sz w:val="24"/>
        </w:rPr>
        <w:t>如投标人人员虚签单据，一经查实，招标人视情况按照差异产品总价值的100%至200%对责任三方物流进行经济考核。</w:t>
      </w:r>
    </w:p>
    <w:p>
      <w:pPr>
        <w:spacing w:line="480" w:lineRule="exact"/>
        <w:ind w:firstLine="482"/>
        <w:rPr>
          <w:sz w:val="24"/>
        </w:rPr>
      </w:pPr>
      <w:r>
        <w:rPr>
          <w:sz w:val="24"/>
        </w:rPr>
        <w:t>1.3账卡物不一致</w:t>
      </w:r>
    </w:p>
    <w:p>
      <w:pPr>
        <w:spacing w:line="480" w:lineRule="exact"/>
        <w:ind w:firstLine="482"/>
        <w:rPr>
          <w:sz w:val="24"/>
        </w:rPr>
      </w:pPr>
      <w:r>
        <w:rPr>
          <w:sz w:val="24"/>
        </w:rPr>
        <w:t>检查中发现投标人产品账卡物不一致，招标人将责成三方物流公司赔偿供应商产品差额损失，并将视情况对责任三方物流公司追加经济考核，情节严重、处理不积极的，招标人将对责任物流公司产品结构进行调整。</w:t>
      </w:r>
    </w:p>
    <w:p>
      <w:pPr>
        <w:spacing w:line="480" w:lineRule="exact"/>
        <w:ind w:firstLine="482"/>
        <w:rPr>
          <w:sz w:val="24"/>
        </w:rPr>
      </w:pPr>
      <w:r>
        <w:rPr>
          <w:sz w:val="24"/>
        </w:rPr>
        <w:t>1.4安全</w:t>
      </w:r>
    </w:p>
    <w:p>
      <w:pPr>
        <w:spacing w:line="480" w:lineRule="exact"/>
        <w:ind w:firstLine="482"/>
        <w:rPr>
          <w:sz w:val="24"/>
        </w:rPr>
      </w:pPr>
      <w:r>
        <w:rPr>
          <w:sz w:val="24"/>
        </w:rPr>
        <w:t>仓储安全不符合招标人要求，对责任物流公司处以1000元/项考核，</w:t>
      </w:r>
      <w:r>
        <w:rPr>
          <w:sz w:val="24"/>
          <w:szCs w:val="24"/>
        </w:rPr>
        <w:t>其中隐患严重，安全风险较大的处以10000元/项</w:t>
      </w:r>
      <w:r>
        <w:rPr>
          <w:sz w:val="24"/>
        </w:rPr>
        <w:t>；车辆安全性能不符合招标人要求，对责任物流公司处以1000元/辆考核，并没收车辆入场通行证。对于安全隐患严重或不符合项重复出现的，处理措施包含但不限于提升经济考核力度、停转相关费用、调整产品结构等。</w:t>
      </w:r>
    </w:p>
    <w:p>
      <w:pPr>
        <w:spacing w:line="480" w:lineRule="exact"/>
        <w:ind w:firstLine="482"/>
        <w:rPr>
          <w:sz w:val="24"/>
        </w:rPr>
      </w:pPr>
      <w:r>
        <w:rPr>
          <w:sz w:val="24"/>
        </w:rPr>
        <w:t>1.5出厂违规</w:t>
      </w:r>
    </w:p>
    <w:p>
      <w:pPr>
        <w:spacing w:line="480" w:lineRule="exact"/>
        <w:ind w:firstLine="482"/>
        <w:rPr>
          <w:sz w:val="24"/>
        </w:rPr>
      </w:pPr>
      <w:r>
        <w:rPr>
          <w:sz w:val="24"/>
        </w:rPr>
        <w:t>a）对于违规携带产品件出厂行为，视情况给予责任单位500至5000元经济考核，情况严重的按照违规携带物品总价值的10-20倍对责任单位进行经济考核。</w:t>
      </w:r>
    </w:p>
    <w:p>
      <w:pPr>
        <w:spacing w:line="480" w:lineRule="exact"/>
        <w:ind w:firstLine="482"/>
        <w:rPr>
          <w:sz w:val="24"/>
        </w:rPr>
      </w:pPr>
      <w:r>
        <w:rPr>
          <w:sz w:val="24"/>
        </w:rPr>
        <w:t>b）对于违规携带废旧物资类（纸包装、塑料包装、木头等）出厂行为，招标人视情况给予责任单位500至2000元经济考核；</w:t>
      </w:r>
    </w:p>
    <w:p>
      <w:pPr>
        <w:spacing w:line="480" w:lineRule="exact"/>
        <w:ind w:firstLine="482"/>
        <w:rPr>
          <w:sz w:val="24"/>
        </w:rPr>
      </w:pPr>
      <w:r>
        <w:rPr>
          <w:sz w:val="24"/>
        </w:rPr>
        <w:t>c）视违规严重程度，可采取限期取消涉事车辆入厂资格，将涉事人列入招标人入厂人员黑名单，禁止从事与招标人相关的物流业务等措施。</w:t>
      </w:r>
    </w:p>
    <w:p>
      <w:pPr>
        <w:spacing w:line="480" w:lineRule="exact"/>
        <w:ind w:firstLine="482"/>
        <w:rPr>
          <w:sz w:val="24"/>
        </w:rPr>
      </w:pPr>
      <w:r>
        <w:rPr>
          <w:sz w:val="24"/>
        </w:rPr>
        <w:t>1.6除严重不合格项外，检查中发现一般不合格项，视情况考核投标人50至500元；一般不合格项包括：</w:t>
      </w:r>
    </w:p>
    <w:p>
      <w:pPr>
        <w:spacing w:line="480" w:lineRule="exact"/>
        <w:ind w:firstLine="482"/>
        <w:rPr>
          <w:sz w:val="24"/>
        </w:rPr>
      </w:pPr>
      <w:r>
        <w:rPr>
          <w:sz w:val="24"/>
        </w:rPr>
        <w:t>a）投标人工作流程中的相关项</w:t>
      </w:r>
    </w:p>
    <w:p>
      <w:pPr>
        <w:spacing w:line="480" w:lineRule="exact"/>
        <w:ind w:firstLine="482"/>
        <w:rPr>
          <w:sz w:val="24"/>
        </w:rPr>
      </w:pPr>
      <w:r>
        <w:rPr>
          <w:sz w:val="24"/>
        </w:rPr>
        <w:t>b）投标人产品质量控制中相关项</w:t>
      </w:r>
    </w:p>
    <w:p>
      <w:pPr>
        <w:spacing w:line="480" w:lineRule="exact"/>
        <w:ind w:firstLine="482"/>
        <w:rPr>
          <w:sz w:val="24"/>
        </w:rPr>
      </w:pPr>
      <w:r>
        <w:rPr>
          <w:sz w:val="24"/>
        </w:rPr>
        <w:t>c）投标人内部管理制度的相关项</w:t>
      </w:r>
    </w:p>
    <w:p>
      <w:pPr>
        <w:spacing w:line="480" w:lineRule="exact"/>
        <w:ind w:firstLine="482"/>
        <w:rPr>
          <w:sz w:val="24"/>
        </w:rPr>
      </w:pPr>
      <w:r>
        <w:rPr>
          <w:sz w:val="24"/>
        </w:rPr>
        <w:t>d）投标人进厂配送的相关项</w:t>
      </w:r>
    </w:p>
    <w:p>
      <w:pPr>
        <w:spacing w:line="480" w:lineRule="exact"/>
        <w:ind w:firstLine="482"/>
        <w:rPr>
          <w:sz w:val="24"/>
        </w:rPr>
      </w:pPr>
      <w:r>
        <w:rPr>
          <w:sz w:val="24"/>
        </w:rPr>
        <w:t>e）投标人投入产出流程的相关项</w:t>
      </w:r>
    </w:p>
    <w:p>
      <w:pPr>
        <w:spacing w:line="480" w:lineRule="exact"/>
        <w:ind w:firstLine="482"/>
        <w:rPr>
          <w:sz w:val="24"/>
        </w:rPr>
      </w:pPr>
      <w:r>
        <w:rPr>
          <w:sz w:val="24"/>
        </w:rPr>
        <w:t>1.7投标人公司被检查出的不合格项，未制订纠正措施或未按期关闭的，经检查落实，每发生一次加扣500元；经加倍考核后仍未制订纠正措施或继续未按期关闭的，每拖延一个工作日再加罚责任公司100元。</w:t>
      </w:r>
      <w:bookmarkStart w:id="65" w:name="_Toc44077660"/>
      <w:bookmarkStart w:id="66" w:name="_Toc44077711"/>
      <w:bookmarkStart w:id="67" w:name="_Toc47031028"/>
    </w:p>
    <w:p>
      <w:pPr>
        <w:spacing w:line="480" w:lineRule="exact"/>
        <w:ind w:firstLine="482"/>
        <w:rPr>
          <w:bCs/>
          <w:sz w:val="24"/>
          <w:szCs w:val="24"/>
        </w:rPr>
      </w:pPr>
      <w:r>
        <w:rPr>
          <w:bCs/>
          <w:sz w:val="24"/>
          <w:szCs w:val="24"/>
        </w:rPr>
        <w:t>2、KPI指标</w:t>
      </w:r>
      <w:bookmarkEnd w:id="65"/>
      <w:bookmarkEnd w:id="66"/>
      <w:bookmarkEnd w:id="67"/>
    </w:p>
    <w:p>
      <w:pPr>
        <w:spacing w:line="480" w:lineRule="exact"/>
        <w:jc w:val="center"/>
        <w:rPr>
          <w:sz w:val="24"/>
        </w:rPr>
      </w:pPr>
      <w:r>
        <w:rPr>
          <w:szCs w:val="21"/>
        </w:rPr>
        <w:t>表</w:t>
      </w:r>
      <w:r>
        <w:rPr>
          <w:rFonts w:hint="eastAsia"/>
          <w:szCs w:val="21"/>
        </w:rPr>
        <w:t>1</w:t>
      </w:r>
      <w:r>
        <w:rPr>
          <w:szCs w:val="21"/>
        </w:rPr>
        <w:t>绩效指标项目</w:t>
      </w:r>
    </w:p>
    <w:tbl>
      <w:tblPr>
        <w:tblStyle w:val="18"/>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099"/>
        <w:gridCol w:w="1361"/>
        <w:gridCol w:w="5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3" w:type="pct"/>
            <w:vAlign w:val="center"/>
          </w:tcPr>
          <w:p>
            <w:pPr>
              <w:jc w:val="center"/>
              <w:rPr>
                <w:b/>
                <w:szCs w:val="21"/>
              </w:rPr>
            </w:pPr>
            <w:r>
              <w:rPr>
                <w:b/>
                <w:szCs w:val="21"/>
              </w:rPr>
              <w:t>序号</w:t>
            </w:r>
          </w:p>
        </w:tc>
        <w:tc>
          <w:tcPr>
            <w:tcW w:w="1144" w:type="pct"/>
            <w:vAlign w:val="center"/>
          </w:tcPr>
          <w:p>
            <w:pPr>
              <w:jc w:val="center"/>
              <w:rPr>
                <w:b/>
                <w:szCs w:val="21"/>
              </w:rPr>
            </w:pPr>
            <w:r>
              <w:rPr>
                <w:b/>
                <w:szCs w:val="21"/>
              </w:rPr>
              <w:t>绩效指标名称</w:t>
            </w:r>
          </w:p>
        </w:tc>
        <w:tc>
          <w:tcPr>
            <w:tcW w:w="742" w:type="pct"/>
            <w:vAlign w:val="center"/>
          </w:tcPr>
          <w:p>
            <w:pPr>
              <w:jc w:val="center"/>
              <w:rPr>
                <w:b/>
                <w:szCs w:val="21"/>
              </w:rPr>
            </w:pPr>
            <w:r>
              <w:rPr>
                <w:b/>
                <w:szCs w:val="21"/>
              </w:rPr>
              <w:t>指标</w:t>
            </w:r>
          </w:p>
        </w:tc>
        <w:tc>
          <w:tcPr>
            <w:tcW w:w="2731" w:type="pct"/>
            <w:vAlign w:val="center"/>
          </w:tcPr>
          <w:p>
            <w:pPr>
              <w:jc w:val="center"/>
              <w:rPr>
                <w:b/>
                <w:szCs w:val="21"/>
              </w:rPr>
            </w:pPr>
            <w:r>
              <w:rPr>
                <w:b/>
                <w:szCs w:val="21"/>
              </w:rPr>
              <w:t>指标测量方法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3" w:type="pct"/>
            <w:vAlign w:val="center"/>
          </w:tcPr>
          <w:p>
            <w:pPr>
              <w:jc w:val="center"/>
              <w:rPr>
                <w:szCs w:val="21"/>
              </w:rPr>
            </w:pPr>
            <w:r>
              <w:rPr>
                <w:szCs w:val="21"/>
              </w:rPr>
              <w:t>1</w:t>
            </w:r>
          </w:p>
        </w:tc>
        <w:tc>
          <w:tcPr>
            <w:tcW w:w="1144" w:type="pct"/>
            <w:vAlign w:val="center"/>
          </w:tcPr>
          <w:p>
            <w:pPr>
              <w:jc w:val="center"/>
              <w:rPr>
                <w:szCs w:val="21"/>
              </w:rPr>
            </w:pPr>
            <w:r>
              <w:rPr>
                <w:szCs w:val="21"/>
              </w:rPr>
              <w:t>不合格项关闭率</w:t>
            </w:r>
          </w:p>
        </w:tc>
        <w:tc>
          <w:tcPr>
            <w:tcW w:w="742" w:type="pct"/>
            <w:vAlign w:val="center"/>
          </w:tcPr>
          <w:p>
            <w:pPr>
              <w:jc w:val="center"/>
              <w:rPr>
                <w:szCs w:val="21"/>
              </w:rPr>
            </w:pPr>
            <w:r>
              <w:rPr>
                <w:szCs w:val="21"/>
              </w:rPr>
              <w:t>≥95%</w:t>
            </w:r>
          </w:p>
        </w:tc>
        <w:tc>
          <w:tcPr>
            <w:tcW w:w="2731" w:type="pct"/>
            <w:vAlign w:val="center"/>
          </w:tcPr>
          <w:p>
            <w:pPr>
              <w:jc w:val="center"/>
              <w:rPr>
                <w:szCs w:val="21"/>
              </w:rPr>
            </w:pPr>
            <w:r>
              <w:rPr>
                <w:szCs w:val="21"/>
              </w:rPr>
              <w:t>考核期内不合格事件关闭项数/考核期内发现不合格事件总项数*100%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3" w:type="pct"/>
            <w:vAlign w:val="center"/>
          </w:tcPr>
          <w:p>
            <w:pPr>
              <w:jc w:val="center"/>
              <w:rPr>
                <w:szCs w:val="21"/>
              </w:rPr>
            </w:pPr>
            <w:r>
              <w:rPr>
                <w:szCs w:val="21"/>
              </w:rPr>
              <w:t>2</w:t>
            </w:r>
          </w:p>
        </w:tc>
        <w:tc>
          <w:tcPr>
            <w:tcW w:w="1144" w:type="pct"/>
            <w:vAlign w:val="center"/>
          </w:tcPr>
          <w:p>
            <w:pPr>
              <w:jc w:val="center"/>
              <w:rPr>
                <w:szCs w:val="21"/>
              </w:rPr>
            </w:pPr>
            <w:r>
              <w:rPr>
                <w:szCs w:val="21"/>
              </w:rPr>
              <w:t>系统账实相符率</w:t>
            </w:r>
          </w:p>
        </w:tc>
        <w:tc>
          <w:tcPr>
            <w:tcW w:w="742" w:type="pct"/>
            <w:vAlign w:val="center"/>
          </w:tcPr>
          <w:p>
            <w:pPr>
              <w:jc w:val="center"/>
              <w:rPr>
                <w:szCs w:val="21"/>
              </w:rPr>
            </w:pPr>
            <w:r>
              <w:rPr>
                <w:szCs w:val="21"/>
              </w:rPr>
              <w:t>100%</w:t>
            </w:r>
          </w:p>
        </w:tc>
        <w:tc>
          <w:tcPr>
            <w:tcW w:w="2731" w:type="pct"/>
            <w:vAlign w:val="center"/>
          </w:tcPr>
          <w:p>
            <w:pPr>
              <w:jc w:val="center"/>
              <w:rPr>
                <w:szCs w:val="21"/>
              </w:rPr>
            </w:pPr>
            <w:r>
              <w:rPr>
                <w:szCs w:val="21"/>
              </w:rPr>
              <w:t>考核期内抽查账实一致的产品件品种数/考核期内抽查产品件总品种数*100%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3" w:type="pct"/>
            <w:vAlign w:val="center"/>
          </w:tcPr>
          <w:p>
            <w:pPr>
              <w:jc w:val="center"/>
              <w:rPr>
                <w:szCs w:val="21"/>
              </w:rPr>
            </w:pPr>
            <w:r>
              <w:rPr>
                <w:szCs w:val="21"/>
              </w:rPr>
              <w:t>3</w:t>
            </w:r>
          </w:p>
        </w:tc>
        <w:tc>
          <w:tcPr>
            <w:tcW w:w="1144" w:type="pct"/>
            <w:vAlign w:val="center"/>
          </w:tcPr>
          <w:p>
            <w:pPr>
              <w:jc w:val="center"/>
              <w:rPr>
                <w:szCs w:val="21"/>
              </w:rPr>
            </w:pPr>
            <w:r>
              <w:rPr>
                <w:szCs w:val="21"/>
              </w:rPr>
              <w:t>物流原因停线率</w:t>
            </w:r>
          </w:p>
        </w:tc>
        <w:tc>
          <w:tcPr>
            <w:tcW w:w="742" w:type="pct"/>
            <w:vAlign w:val="center"/>
          </w:tcPr>
          <w:p>
            <w:pPr>
              <w:jc w:val="center"/>
              <w:rPr>
                <w:szCs w:val="21"/>
              </w:rPr>
            </w:pPr>
            <w:r>
              <w:rPr>
                <w:szCs w:val="21"/>
              </w:rPr>
              <w:t>0%</w:t>
            </w:r>
          </w:p>
        </w:tc>
        <w:tc>
          <w:tcPr>
            <w:tcW w:w="2731" w:type="pct"/>
            <w:vAlign w:val="center"/>
          </w:tcPr>
          <w:p>
            <w:pPr>
              <w:jc w:val="center"/>
              <w:rPr>
                <w:szCs w:val="21"/>
              </w:rPr>
            </w:pPr>
            <w:r>
              <w:rPr>
                <w:rFonts w:hint="eastAsia"/>
                <w:szCs w:val="21"/>
              </w:rPr>
              <w:t>因配送不准确或不及时导致生产调产、缓产及停线次数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3" w:type="pct"/>
            <w:vAlign w:val="center"/>
          </w:tcPr>
          <w:p>
            <w:pPr>
              <w:jc w:val="center"/>
              <w:rPr>
                <w:szCs w:val="21"/>
              </w:rPr>
            </w:pPr>
            <w:r>
              <w:rPr>
                <w:szCs w:val="21"/>
              </w:rPr>
              <w:t>4</w:t>
            </w:r>
          </w:p>
        </w:tc>
        <w:tc>
          <w:tcPr>
            <w:tcW w:w="1144" w:type="pct"/>
            <w:vAlign w:val="center"/>
          </w:tcPr>
          <w:p>
            <w:pPr>
              <w:jc w:val="center"/>
              <w:rPr>
                <w:szCs w:val="21"/>
              </w:rPr>
            </w:pPr>
            <w:r>
              <w:rPr>
                <w:szCs w:val="21"/>
              </w:rPr>
              <w:t>设备完好率</w:t>
            </w:r>
          </w:p>
        </w:tc>
        <w:tc>
          <w:tcPr>
            <w:tcW w:w="742" w:type="pct"/>
            <w:vAlign w:val="center"/>
          </w:tcPr>
          <w:p>
            <w:pPr>
              <w:jc w:val="center"/>
              <w:rPr>
                <w:szCs w:val="21"/>
              </w:rPr>
            </w:pPr>
            <w:r>
              <w:rPr>
                <w:szCs w:val="21"/>
              </w:rPr>
              <w:t>≥95%</w:t>
            </w:r>
          </w:p>
        </w:tc>
        <w:tc>
          <w:tcPr>
            <w:tcW w:w="2731" w:type="pct"/>
            <w:vAlign w:val="center"/>
          </w:tcPr>
          <w:p>
            <w:pPr>
              <w:jc w:val="center"/>
              <w:rPr>
                <w:szCs w:val="21"/>
              </w:rPr>
            </w:pPr>
            <w:r>
              <w:rPr>
                <w:szCs w:val="21"/>
              </w:rPr>
              <w:t>设备故障数量占总设备数量的比例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3" w:type="pct"/>
            <w:vAlign w:val="center"/>
          </w:tcPr>
          <w:p>
            <w:pPr>
              <w:jc w:val="center"/>
              <w:rPr>
                <w:szCs w:val="21"/>
              </w:rPr>
            </w:pPr>
            <w:r>
              <w:rPr>
                <w:rFonts w:hint="eastAsia"/>
                <w:szCs w:val="21"/>
              </w:rPr>
              <w:t>5</w:t>
            </w:r>
          </w:p>
        </w:tc>
        <w:tc>
          <w:tcPr>
            <w:tcW w:w="1144" w:type="pct"/>
            <w:vAlign w:val="center"/>
          </w:tcPr>
          <w:p>
            <w:pPr>
              <w:jc w:val="center"/>
              <w:rPr>
                <w:szCs w:val="21"/>
              </w:rPr>
            </w:pPr>
            <w:r>
              <w:rPr>
                <w:szCs w:val="21"/>
              </w:rPr>
              <w:t>收货卸车时间</w:t>
            </w:r>
          </w:p>
        </w:tc>
        <w:tc>
          <w:tcPr>
            <w:tcW w:w="742" w:type="pct"/>
            <w:vAlign w:val="center"/>
          </w:tcPr>
          <w:p>
            <w:pPr>
              <w:jc w:val="center"/>
              <w:rPr>
                <w:szCs w:val="21"/>
              </w:rPr>
            </w:pPr>
            <w:r>
              <w:rPr>
                <w:szCs w:val="21"/>
              </w:rPr>
              <w:t>≤</w:t>
            </w:r>
            <w:r>
              <w:rPr>
                <w:rFonts w:hint="eastAsia"/>
                <w:szCs w:val="21"/>
              </w:rPr>
              <w:t>30分钟/车</w:t>
            </w:r>
          </w:p>
        </w:tc>
        <w:tc>
          <w:tcPr>
            <w:tcW w:w="2731"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3" w:type="pct"/>
            <w:vAlign w:val="center"/>
          </w:tcPr>
          <w:p>
            <w:pPr>
              <w:jc w:val="center"/>
              <w:rPr>
                <w:szCs w:val="21"/>
              </w:rPr>
            </w:pPr>
            <w:r>
              <w:rPr>
                <w:rFonts w:hint="eastAsia"/>
                <w:szCs w:val="21"/>
              </w:rPr>
              <w:t>6</w:t>
            </w:r>
          </w:p>
        </w:tc>
        <w:tc>
          <w:tcPr>
            <w:tcW w:w="1144" w:type="pct"/>
            <w:vAlign w:val="center"/>
          </w:tcPr>
          <w:p>
            <w:pPr>
              <w:jc w:val="center"/>
              <w:rPr>
                <w:szCs w:val="21"/>
              </w:rPr>
            </w:pPr>
            <w:r>
              <w:rPr>
                <w:szCs w:val="21"/>
              </w:rPr>
              <w:t>应急响应时间</w:t>
            </w:r>
          </w:p>
        </w:tc>
        <w:tc>
          <w:tcPr>
            <w:tcW w:w="742" w:type="pct"/>
            <w:vAlign w:val="center"/>
          </w:tcPr>
          <w:p>
            <w:pPr>
              <w:jc w:val="center"/>
              <w:rPr>
                <w:szCs w:val="21"/>
              </w:rPr>
            </w:pPr>
            <w:r>
              <w:rPr>
                <w:szCs w:val="21"/>
              </w:rPr>
              <w:t>≤</w:t>
            </w:r>
            <w:r>
              <w:rPr>
                <w:rFonts w:hint="eastAsia"/>
                <w:szCs w:val="21"/>
              </w:rPr>
              <w:t>30分钟</w:t>
            </w:r>
          </w:p>
        </w:tc>
        <w:tc>
          <w:tcPr>
            <w:tcW w:w="2731" w:type="pct"/>
            <w:vAlign w:val="center"/>
          </w:tcPr>
          <w:p>
            <w:pPr>
              <w:jc w:val="center"/>
              <w:rPr>
                <w:szCs w:val="21"/>
              </w:rPr>
            </w:pPr>
          </w:p>
        </w:tc>
      </w:tr>
    </w:tbl>
    <w:p>
      <w:r>
        <w:rPr>
          <w:rFonts w:hint="eastAsia"/>
        </w:rPr>
        <w:t>※3、物流管理</w:t>
      </w:r>
    </w:p>
    <w:p>
      <w:r>
        <w:rPr>
          <w:rFonts w:hint="eastAsia"/>
        </w:rPr>
        <w:t>投标人应承诺</w:t>
      </w:r>
      <w:r>
        <w:t>严格遵守</w:t>
      </w:r>
      <w:r>
        <w:rPr>
          <w:rFonts w:hint="eastAsia"/>
        </w:rPr>
        <w:t>中国重汽</w:t>
      </w:r>
      <w:r>
        <w:t>集团公司发布的《</w:t>
      </w:r>
      <w:r>
        <w:rPr>
          <w:rFonts w:hint="eastAsia"/>
        </w:rPr>
        <w:t>关于物流服务商的管理规定（19条）</w:t>
      </w:r>
      <w:r>
        <w:t>》</w:t>
      </w:r>
      <w:r>
        <w:rPr>
          <w:rFonts w:hint="eastAsia"/>
        </w:rPr>
        <w:t>（标的额200万以下的项目不受营业收入及员工人数要求的限制），</w:t>
      </w:r>
      <w:r>
        <w:t>此项是中标及授予合同的前提</w:t>
      </w:r>
      <w:r>
        <w:rPr>
          <w:rFonts w:hint="eastAsia"/>
        </w:rPr>
        <w:t>，</w:t>
      </w:r>
      <w:r>
        <w:t>不允许偏离。</w:t>
      </w:r>
    </w:p>
    <w:tbl>
      <w:tblPr>
        <w:tblStyle w:val="18"/>
        <w:tblW w:w="14656" w:type="dxa"/>
        <w:jc w:val="center"/>
        <w:tblLayout w:type="fixed"/>
        <w:tblCellMar>
          <w:top w:w="0" w:type="dxa"/>
          <w:left w:w="0" w:type="dxa"/>
          <w:bottom w:w="0" w:type="dxa"/>
          <w:right w:w="0" w:type="dxa"/>
        </w:tblCellMar>
      </w:tblPr>
      <w:tblGrid>
        <w:gridCol w:w="14656"/>
      </w:tblGrid>
      <w:tr>
        <w:trPr>
          <w:trHeight w:val="389" w:hRule="atLeast"/>
          <w:jc w:val="center"/>
        </w:trPr>
        <w:tc>
          <w:tcPr>
            <w:tcW w:w="14656" w:type="dxa"/>
            <w:tcBorders>
              <w:top w:val="nil"/>
              <w:left w:val="nil"/>
              <w:bottom w:val="nil"/>
              <w:right w:val="nil"/>
            </w:tcBorders>
            <w:tcMar>
              <w:top w:w="15" w:type="dxa"/>
              <w:left w:w="15" w:type="dxa"/>
              <w:right w:w="15" w:type="dxa"/>
            </w:tcMar>
            <w:vAlign w:val="bottom"/>
          </w:tcPr>
          <w:p/>
        </w:tc>
      </w:tr>
    </w:tbl>
    <w:p>
      <w:pPr>
        <w:pStyle w:val="9"/>
        <w:spacing w:line="360" w:lineRule="auto"/>
        <w:rPr>
          <w:rFonts w:ascii="黑体" w:eastAsia="黑体"/>
          <w:b/>
          <w:bCs/>
          <w:sz w:val="36"/>
          <w:szCs w:val="36"/>
        </w:rPr>
      </w:pPr>
      <w:r>
        <w:br w:type="page"/>
      </w:r>
    </w:p>
    <w:p>
      <w:pPr>
        <w:pStyle w:val="9"/>
        <w:spacing w:line="360" w:lineRule="auto"/>
        <w:jc w:val="center"/>
        <w:rPr>
          <w:rFonts w:ascii="黑体" w:eastAsia="黑体"/>
          <w:b/>
          <w:bCs/>
          <w:sz w:val="36"/>
          <w:szCs w:val="36"/>
        </w:rPr>
      </w:pPr>
      <w:r>
        <w:rPr>
          <w:rFonts w:hint="eastAsia" w:ascii="黑体" w:eastAsia="黑体"/>
          <w:b/>
          <w:bCs/>
          <w:sz w:val="36"/>
          <w:szCs w:val="36"/>
        </w:rPr>
        <w:t xml:space="preserve">第四章 </w:t>
      </w:r>
    </w:p>
    <w:p>
      <w:pPr>
        <w:jc w:val="center"/>
        <w:rPr>
          <w:rFonts w:ascii="黑体" w:eastAsia="黑体"/>
          <w:b/>
          <w:bCs/>
          <w:sz w:val="36"/>
          <w:szCs w:val="36"/>
        </w:rPr>
      </w:pPr>
      <w:r>
        <w:rPr>
          <w:rFonts w:hint="eastAsia" w:ascii="黑体" w:eastAsia="黑体"/>
          <w:b/>
          <w:bCs/>
          <w:sz w:val="36"/>
          <w:szCs w:val="36"/>
        </w:rPr>
        <w:t>物流服务合同</w:t>
      </w:r>
    </w:p>
    <w:p>
      <w:pPr>
        <w:ind w:firstLine="420" w:firstLineChars="200"/>
        <w:jc w:val="center"/>
        <w:rPr>
          <w:rFonts w:ascii="宋体" w:hAnsi="宋体" w:cs="宋体"/>
          <w:bCs/>
          <w:szCs w:val="21"/>
        </w:rPr>
      </w:pPr>
      <w:r>
        <w:rPr>
          <w:rFonts w:hint="eastAsia" w:ascii="宋体" w:hAnsi="宋体" w:cs="宋体"/>
          <w:bCs/>
          <w:szCs w:val="21"/>
        </w:rPr>
        <w:t>以双方最终签署的版本为准</w:t>
      </w:r>
    </w:p>
    <w:p>
      <w:pPr>
        <w:jc w:val="center"/>
        <w:rPr>
          <w:rFonts w:ascii="黑体" w:eastAsia="黑体"/>
          <w:szCs w:val="24"/>
        </w:rPr>
      </w:pPr>
    </w:p>
    <w:p>
      <w:pPr>
        <w:ind w:firstLine="420" w:firstLineChars="200"/>
        <w:rPr>
          <w:szCs w:val="24"/>
        </w:rPr>
      </w:pPr>
      <w:r>
        <w:rPr>
          <w:rFonts w:hint="eastAsia"/>
          <w:szCs w:val="24"/>
        </w:rPr>
        <w:t>甲方：</w:t>
      </w:r>
      <w:r>
        <w:rPr>
          <w:rFonts w:hint="eastAsia" w:hAnsi="宋体"/>
          <w:szCs w:val="24"/>
          <w:u w:val="single"/>
        </w:rPr>
        <w:t>中国重汽集团济南特种车有限公司</w:t>
      </w:r>
      <w:r>
        <w:rPr>
          <w:rFonts w:hint="eastAsia" w:hAnsi="宋体"/>
          <w:szCs w:val="24"/>
        </w:rPr>
        <w:t>（以下简称甲方）</w:t>
      </w:r>
    </w:p>
    <w:p>
      <w:pPr>
        <w:ind w:firstLine="420" w:firstLineChars="200"/>
        <w:rPr>
          <w:rFonts w:hAnsi="宋体"/>
          <w:szCs w:val="24"/>
        </w:rPr>
      </w:pPr>
      <w:r>
        <w:rPr>
          <w:rFonts w:hint="eastAsia"/>
          <w:szCs w:val="24"/>
        </w:rPr>
        <w:t>乙方：</w:t>
      </w:r>
      <w:r>
        <w:rPr>
          <w:rFonts w:hint="eastAsia" w:hAnsi="宋体"/>
          <w:szCs w:val="24"/>
        </w:rPr>
        <w:t>（以下简称乙方）</w:t>
      </w:r>
    </w:p>
    <w:p>
      <w:pPr>
        <w:ind w:firstLine="420" w:firstLineChars="200"/>
        <w:rPr>
          <w:rFonts w:ascii="宋体" w:hAnsi="宋体"/>
          <w:szCs w:val="24"/>
        </w:rPr>
      </w:pPr>
    </w:p>
    <w:p>
      <w:pPr>
        <w:ind w:firstLine="420" w:firstLineChars="200"/>
        <w:rPr>
          <w:rFonts w:ascii="宋体" w:hAnsi="宋体"/>
          <w:szCs w:val="24"/>
        </w:rPr>
      </w:pPr>
      <w:r>
        <w:rPr>
          <w:rFonts w:hint="eastAsia" w:ascii="宋体" w:hAnsi="宋体"/>
          <w:szCs w:val="24"/>
        </w:rPr>
        <w:t>根据甲乙双方合作框架协议，双方依照《中华人民共和国合同法》等有关法律法规及国家有关运输、仓储等有关物流服务的规定，经充分协商，在自愿、平等、互利的基础上，就甲方委托乙方提供循环取货、分拣、配送物流服务的相关事宜，订立本合同，双方同意共同遵守。</w:t>
      </w:r>
    </w:p>
    <w:p>
      <w:pPr>
        <w:ind w:firstLine="422" w:firstLineChars="200"/>
        <w:outlineLvl w:val="0"/>
        <w:rPr>
          <w:rFonts w:ascii="宋体" w:hAnsi="宋体"/>
          <w:b/>
          <w:szCs w:val="24"/>
        </w:rPr>
      </w:pPr>
      <w:bookmarkStart w:id="68" w:name="_Toc47106919"/>
      <w:r>
        <w:rPr>
          <w:rFonts w:hint="eastAsia" w:ascii="宋体" w:hAnsi="宋体"/>
          <w:b/>
          <w:szCs w:val="24"/>
        </w:rPr>
        <w:t>一、服务内容</w:t>
      </w:r>
      <w:bookmarkEnd w:id="68"/>
    </w:p>
    <w:p>
      <w:pPr>
        <w:ind w:firstLine="420" w:firstLineChars="200"/>
        <w:rPr>
          <w:rFonts w:ascii="宋体" w:hAnsi="宋体"/>
          <w:szCs w:val="24"/>
        </w:rPr>
      </w:pPr>
      <w:r>
        <w:rPr>
          <w:rFonts w:hint="eastAsia" w:ascii="宋体" w:hAnsi="宋体"/>
          <w:szCs w:val="24"/>
        </w:rPr>
        <w:t>1、乙方为甲方提供</w:t>
      </w:r>
      <w:r>
        <w:rPr>
          <w:rFonts w:hint="eastAsia" w:ascii="宋体" w:hAnsi="宋体"/>
          <w:szCs w:val="24"/>
          <w:u w:val="single"/>
        </w:rPr>
        <w:t>入厂物流</w:t>
      </w:r>
      <w:r>
        <w:rPr>
          <w:rFonts w:hint="eastAsia" w:ascii="宋体" w:hAnsi="宋体"/>
          <w:szCs w:val="24"/>
        </w:rPr>
        <w:t>服务，并配备必要的用于运输、仓储、配送等环节的人员、设备、器具等资源。</w:t>
      </w:r>
    </w:p>
    <w:p>
      <w:pPr>
        <w:ind w:firstLine="420" w:firstLineChars="200"/>
        <w:rPr>
          <w:rFonts w:ascii="宋体" w:hAnsi="宋体"/>
          <w:szCs w:val="24"/>
        </w:rPr>
      </w:pPr>
      <w:r>
        <w:rPr>
          <w:rFonts w:hint="eastAsia" w:ascii="宋体" w:hAnsi="宋体"/>
          <w:szCs w:val="24"/>
        </w:rPr>
        <w:t>2、乙方按甲方要求配备相应的工位器具，确保产品的仓储、配送质量要求；乙方对甲方供方提供的工位器具提供管理与维护。</w:t>
      </w:r>
    </w:p>
    <w:p>
      <w:pPr>
        <w:ind w:firstLine="422" w:firstLineChars="200"/>
        <w:outlineLvl w:val="0"/>
        <w:rPr>
          <w:rFonts w:ascii="宋体" w:hAnsi="宋体"/>
          <w:b/>
          <w:szCs w:val="24"/>
        </w:rPr>
      </w:pPr>
      <w:bookmarkStart w:id="69" w:name="_Toc47106920"/>
      <w:r>
        <w:rPr>
          <w:rFonts w:hint="eastAsia" w:ascii="宋体" w:hAnsi="宋体"/>
          <w:b/>
          <w:szCs w:val="24"/>
        </w:rPr>
        <w:t>二、甲方权利及义务</w:t>
      </w:r>
      <w:bookmarkEnd w:id="69"/>
    </w:p>
    <w:p>
      <w:pPr>
        <w:ind w:firstLine="420" w:firstLineChars="200"/>
        <w:rPr>
          <w:rFonts w:ascii="宋体" w:hAnsi="宋体"/>
          <w:szCs w:val="24"/>
        </w:rPr>
      </w:pPr>
      <w:r>
        <w:rPr>
          <w:rFonts w:hint="eastAsia" w:ascii="宋体" w:hAnsi="宋体"/>
          <w:szCs w:val="24"/>
        </w:rPr>
        <w:t>1、甲方应为乙方入厂物流业务的正常实施提供相关的配合及支持。</w:t>
      </w:r>
    </w:p>
    <w:p>
      <w:pPr>
        <w:ind w:firstLine="420" w:firstLineChars="200"/>
        <w:rPr>
          <w:rFonts w:ascii="宋体" w:hAnsi="宋体"/>
          <w:szCs w:val="24"/>
        </w:rPr>
      </w:pPr>
      <w:r>
        <w:rPr>
          <w:rFonts w:hint="eastAsia" w:ascii="宋体" w:hAnsi="宋体"/>
          <w:szCs w:val="24"/>
        </w:rPr>
        <w:t>2、甲方应根据业务要求，对乙方服务人员进行安全生产及各种流程、规章制度的培训。</w:t>
      </w:r>
    </w:p>
    <w:p>
      <w:pPr>
        <w:ind w:firstLine="420" w:firstLineChars="200"/>
        <w:rPr>
          <w:rFonts w:ascii="宋体" w:hAnsi="宋体"/>
          <w:szCs w:val="24"/>
        </w:rPr>
      </w:pPr>
      <w:r>
        <w:rPr>
          <w:rFonts w:hint="eastAsia" w:ascii="宋体" w:hAnsi="宋体"/>
          <w:szCs w:val="24"/>
        </w:rPr>
        <w:t>3、甲方有权按中国重汽物流商管理规定及其他管理办法对乙方进行检查、评价、考核。</w:t>
      </w:r>
    </w:p>
    <w:p>
      <w:pPr>
        <w:ind w:firstLine="420" w:firstLineChars="200"/>
        <w:rPr>
          <w:rFonts w:ascii="宋体" w:hAnsi="宋体"/>
          <w:szCs w:val="24"/>
        </w:rPr>
      </w:pPr>
      <w:r>
        <w:rPr>
          <w:rFonts w:hint="eastAsia" w:ascii="宋体" w:hAnsi="宋体"/>
          <w:szCs w:val="24"/>
        </w:rPr>
        <w:t>4、甲方根据生产计划，在物料上线前将物料配送计划下达给乙方。甲方应尽量确保生产计划锁定之后不再变动，如变动需提前通知乙方，保证乙方的收货分拣排序及配送时间。</w:t>
      </w:r>
    </w:p>
    <w:p>
      <w:pPr>
        <w:ind w:firstLine="420" w:firstLineChars="200"/>
        <w:rPr>
          <w:rFonts w:ascii="宋体" w:hAnsi="宋体"/>
          <w:szCs w:val="24"/>
        </w:rPr>
      </w:pPr>
      <w:r>
        <w:rPr>
          <w:rFonts w:hint="eastAsia" w:ascii="宋体" w:hAnsi="宋体"/>
          <w:szCs w:val="24"/>
        </w:rPr>
        <w:t>5、甲方收货人员与乙方人员共同对产品数量及外观质量进行清点、检查，核查无误后签字确认并完成单据交接和系统确认。</w:t>
      </w:r>
    </w:p>
    <w:p>
      <w:pPr>
        <w:ind w:firstLine="420" w:firstLineChars="200"/>
        <w:rPr>
          <w:rFonts w:ascii="宋体" w:hAnsi="宋体"/>
          <w:szCs w:val="24"/>
        </w:rPr>
      </w:pPr>
      <w:r>
        <w:rPr>
          <w:rFonts w:hint="eastAsia" w:ascii="宋体" w:hAnsi="宋体"/>
          <w:szCs w:val="24"/>
        </w:rPr>
        <w:t>6、甲方按约定的时间支付本合同发生的各项物流服务费用（扣除相关款项后）。</w:t>
      </w:r>
    </w:p>
    <w:p>
      <w:pPr>
        <w:ind w:firstLine="420" w:firstLineChars="200"/>
        <w:rPr>
          <w:rFonts w:ascii="宋体" w:hAnsi="宋体"/>
          <w:szCs w:val="24"/>
        </w:rPr>
      </w:pPr>
      <w:r>
        <w:rPr>
          <w:rFonts w:hint="eastAsia" w:ascii="宋体" w:hAnsi="宋体"/>
          <w:szCs w:val="24"/>
        </w:rPr>
        <w:t>7、甲方负责提出、验证、审核乙方新投入的器具，无法满足甲方器具规范及其他专项要求的，甲方有权予以驳回。</w:t>
      </w:r>
    </w:p>
    <w:p>
      <w:pPr>
        <w:ind w:firstLine="420" w:firstLineChars="200"/>
        <w:rPr>
          <w:rFonts w:ascii="宋体" w:hAnsi="宋体"/>
          <w:szCs w:val="24"/>
        </w:rPr>
      </w:pPr>
      <w:r>
        <w:rPr>
          <w:rFonts w:hint="eastAsia" w:ascii="宋体" w:hAnsi="宋体"/>
          <w:szCs w:val="24"/>
        </w:rPr>
        <w:t>8、甲方根据相关管理规定及要求对乙方该业务各环节及资源配备进行检查，并有考核权利。</w:t>
      </w:r>
    </w:p>
    <w:p>
      <w:pPr>
        <w:ind w:firstLine="422" w:firstLineChars="200"/>
        <w:outlineLvl w:val="0"/>
        <w:rPr>
          <w:rFonts w:ascii="宋体" w:hAnsi="宋体"/>
          <w:b/>
          <w:szCs w:val="24"/>
        </w:rPr>
      </w:pPr>
      <w:bookmarkStart w:id="70" w:name="_Toc47106921"/>
      <w:r>
        <w:rPr>
          <w:rFonts w:hint="eastAsia" w:ascii="宋体" w:hAnsi="宋体"/>
          <w:b/>
          <w:szCs w:val="24"/>
        </w:rPr>
        <w:t>三、乙方权利及义务</w:t>
      </w:r>
      <w:bookmarkEnd w:id="70"/>
    </w:p>
    <w:p>
      <w:pPr>
        <w:ind w:firstLine="420" w:firstLineChars="200"/>
        <w:rPr>
          <w:rFonts w:ascii="宋体" w:hAnsi="宋体"/>
          <w:szCs w:val="24"/>
        </w:rPr>
      </w:pPr>
      <w:r>
        <w:rPr>
          <w:rFonts w:hint="eastAsia" w:ascii="宋体" w:hAnsi="宋体"/>
          <w:szCs w:val="24"/>
        </w:rPr>
        <w:t>1、乙方应为确保该业务的顺利实施，提供必要的技术，IT服务支持。</w:t>
      </w:r>
    </w:p>
    <w:p>
      <w:pPr>
        <w:ind w:firstLine="420" w:firstLineChars="200"/>
        <w:rPr>
          <w:rFonts w:ascii="宋体" w:hAnsi="宋体"/>
          <w:szCs w:val="24"/>
        </w:rPr>
      </w:pPr>
      <w:r>
        <w:rPr>
          <w:rFonts w:hint="eastAsia" w:ascii="宋体" w:hAnsi="宋体"/>
          <w:szCs w:val="24"/>
        </w:rPr>
        <w:t>2、乙方应为确保入厂物流业务顺利实施配备必要的用于运输、仓储、配送等环节的人员、设备、器具等资源，该资源符合相关法律法规及甲方的相关规定。</w:t>
      </w:r>
    </w:p>
    <w:p>
      <w:pPr>
        <w:ind w:firstLine="420" w:firstLineChars="200"/>
        <w:rPr>
          <w:rFonts w:ascii="宋体" w:hAnsi="宋体"/>
          <w:szCs w:val="24"/>
        </w:rPr>
      </w:pPr>
      <w:r>
        <w:rPr>
          <w:rFonts w:hint="eastAsia" w:ascii="宋体" w:hAnsi="宋体"/>
          <w:szCs w:val="24"/>
        </w:rPr>
        <w:t>3、乙方应根据与甲方的合作模式及甲方现有的流程、规章制度等建立规范标准的物流服务流程及相关管理制度并得到甲方认可。</w:t>
      </w:r>
    </w:p>
    <w:p>
      <w:pPr>
        <w:ind w:firstLine="420" w:firstLineChars="200"/>
        <w:rPr>
          <w:rFonts w:ascii="宋体" w:hAnsi="宋体"/>
          <w:szCs w:val="24"/>
        </w:rPr>
      </w:pPr>
      <w:r>
        <w:rPr>
          <w:rFonts w:hint="eastAsia" w:ascii="宋体" w:hAnsi="宋体"/>
          <w:szCs w:val="24"/>
        </w:rPr>
        <w:t>4、乙方承担物资在乙方权责范围内的资产安全及质量保障，并为此购置相应保险及添置消防、防盗设备等。</w:t>
      </w:r>
    </w:p>
    <w:p>
      <w:pPr>
        <w:ind w:firstLine="420" w:firstLineChars="200"/>
        <w:rPr>
          <w:rFonts w:ascii="宋体" w:hAnsi="宋体"/>
          <w:szCs w:val="24"/>
        </w:rPr>
      </w:pPr>
      <w:r>
        <w:rPr>
          <w:rFonts w:hint="eastAsia" w:ascii="宋体" w:hAnsi="宋体"/>
          <w:szCs w:val="24"/>
        </w:rPr>
        <w:t>5、乙方保证在甲方规定时间内完成入厂物流业务，因乙方送货不及时或品种送错而影响甲方生产，由乙方负责。因甲方计划调整或要货指令错误而影响生产由甲方负责。</w:t>
      </w:r>
    </w:p>
    <w:p>
      <w:pPr>
        <w:ind w:firstLine="420" w:firstLineChars="200"/>
        <w:rPr>
          <w:rFonts w:ascii="宋体" w:hAnsi="宋体"/>
          <w:szCs w:val="24"/>
        </w:rPr>
      </w:pPr>
      <w:r>
        <w:rPr>
          <w:rFonts w:hint="eastAsia" w:ascii="宋体" w:hAnsi="宋体"/>
          <w:szCs w:val="24"/>
        </w:rPr>
        <w:t>6、乙方设计、投入器具，需得到甲方相关部门的认可。对于运行中出现的器具损坏、丢失，追偿责任方，乙方负责日常的器具维修、维护和补充，因器具损坏或缺少器具造成产品的损坏、生产停线，由责任方承担损失。</w:t>
      </w:r>
    </w:p>
    <w:p>
      <w:pPr>
        <w:ind w:firstLine="420" w:firstLineChars="200"/>
        <w:rPr>
          <w:rFonts w:ascii="宋体" w:hAnsi="宋体"/>
          <w:szCs w:val="24"/>
        </w:rPr>
      </w:pPr>
      <w:r>
        <w:rPr>
          <w:rFonts w:hint="eastAsia" w:ascii="宋体" w:hAnsi="宋体"/>
          <w:szCs w:val="24"/>
        </w:rPr>
        <w:t>7、乙方应确保器具返空、循环取货、收货、分拣排序、运输等各环节的操作满足产品上线的时间及质量要求。</w:t>
      </w:r>
    </w:p>
    <w:p>
      <w:pPr>
        <w:ind w:firstLine="420" w:firstLineChars="200"/>
        <w:rPr>
          <w:rFonts w:ascii="宋体" w:hAnsi="宋体"/>
          <w:szCs w:val="24"/>
        </w:rPr>
      </w:pPr>
      <w:r>
        <w:rPr>
          <w:rFonts w:hint="eastAsia" w:ascii="宋体" w:hAnsi="宋体"/>
          <w:szCs w:val="24"/>
        </w:rPr>
        <w:t>8、产品仓储配送，乙方要做到日清日结，并进行月度盘点，盘点表按要求上报甲方制造部，在仓储、运输过程中发生的产品丢失、损坏由乙方负责全额赔偿。</w:t>
      </w:r>
    </w:p>
    <w:p>
      <w:pPr>
        <w:ind w:firstLine="420" w:firstLineChars="200"/>
        <w:rPr>
          <w:rFonts w:ascii="宋体" w:hAnsi="宋体"/>
          <w:szCs w:val="24"/>
        </w:rPr>
      </w:pPr>
      <w:r>
        <w:rPr>
          <w:rFonts w:hint="eastAsia" w:ascii="宋体" w:hAnsi="宋体"/>
          <w:szCs w:val="24"/>
        </w:rPr>
        <w:t>9、乙方与相关供方每季度至少完成一次对账，并积极主动的与供方完成差异处理，必要时可申请甲方协助。差异处理未完成，甲方有权对乙方进行索赔。</w:t>
      </w:r>
    </w:p>
    <w:p>
      <w:pPr>
        <w:ind w:firstLine="420" w:firstLineChars="200"/>
        <w:rPr>
          <w:rFonts w:ascii="宋体" w:hAnsi="宋体"/>
          <w:szCs w:val="24"/>
        </w:rPr>
      </w:pPr>
      <w:r>
        <w:rPr>
          <w:rFonts w:hint="eastAsia" w:ascii="宋体" w:hAnsi="宋体"/>
          <w:szCs w:val="24"/>
        </w:rPr>
        <w:t>10、乙方人员及车辆在甲方场地作业时应遵守其管理制度，因未遵守管理制度造成的损失由乙方负责赔偿，乙方提供服务过程中人员及其它发生安全生产事故均由乙方承担责任，与甲方无涉。</w:t>
      </w:r>
    </w:p>
    <w:p>
      <w:pPr>
        <w:ind w:firstLine="420" w:firstLineChars="200"/>
        <w:rPr>
          <w:rFonts w:ascii="宋体" w:hAnsi="宋体"/>
          <w:szCs w:val="24"/>
        </w:rPr>
      </w:pPr>
      <w:r>
        <w:rPr>
          <w:rFonts w:hint="eastAsia" w:ascii="宋体" w:hAnsi="宋体"/>
          <w:szCs w:val="24"/>
        </w:rPr>
        <w:t>11、凡在乙方提供的服务范围内发生的如盗窃、抢劫、货物减损、灭失等事件造成的全部经济损失由乙方负责赔偿。</w:t>
      </w:r>
    </w:p>
    <w:p>
      <w:pPr>
        <w:ind w:firstLine="420" w:firstLineChars="200"/>
        <w:rPr>
          <w:rFonts w:ascii="宋体" w:hAnsi="宋体"/>
          <w:szCs w:val="24"/>
        </w:rPr>
      </w:pPr>
      <w:r>
        <w:rPr>
          <w:rFonts w:hint="eastAsia" w:ascii="宋体" w:hAnsi="宋体"/>
          <w:szCs w:val="24"/>
        </w:rPr>
        <w:t>12、为应对突发情况，乙方应建立合理、可行的应急预案，以确保物资安全及甲方生产稳定。</w:t>
      </w:r>
    </w:p>
    <w:p>
      <w:pPr>
        <w:ind w:firstLine="420" w:firstLineChars="200"/>
        <w:rPr>
          <w:rFonts w:ascii="宋体" w:hAnsi="宋体"/>
          <w:szCs w:val="24"/>
        </w:rPr>
      </w:pPr>
      <w:r>
        <w:rPr>
          <w:rFonts w:hint="eastAsia" w:ascii="宋体" w:hAnsi="宋体"/>
          <w:szCs w:val="24"/>
        </w:rPr>
        <w:t>13、乙方确保所有进入甲方厂区作业的重卡、中卡及轻卡车辆全部为中国重汽品牌。</w:t>
      </w:r>
    </w:p>
    <w:p>
      <w:pPr>
        <w:ind w:firstLine="420" w:firstLineChars="200"/>
        <w:rPr>
          <w:rFonts w:ascii="宋体" w:hAnsi="宋体"/>
          <w:szCs w:val="24"/>
        </w:rPr>
      </w:pPr>
      <w:r>
        <w:rPr>
          <w:rFonts w:hint="eastAsia" w:ascii="宋体" w:hAnsi="宋体"/>
          <w:szCs w:val="24"/>
        </w:rPr>
        <w:t>14、乙方承诺响应甲方随时中断项目运作，且不追究甲方相关责任。</w:t>
      </w:r>
    </w:p>
    <w:p>
      <w:pPr>
        <w:ind w:firstLine="422" w:firstLineChars="200"/>
        <w:outlineLvl w:val="0"/>
        <w:rPr>
          <w:rFonts w:ascii="宋体" w:hAnsi="宋体"/>
          <w:b/>
          <w:szCs w:val="24"/>
        </w:rPr>
      </w:pPr>
      <w:bookmarkStart w:id="71" w:name="_Toc47106922"/>
      <w:r>
        <w:rPr>
          <w:rFonts w:hint="eastAsia" w:ascii="宋体" w:hAnsi="宋体"/>
          <w:b/>
          <w:szCs w:val="24"/>
        </w:rPr>
        <w:t>四、绩效指标</w:t>
      </w:r>
      <w:bookmarkEnd w:id="71"/>
    </w:p>
    <w:p>
      <w:pPr>
        <w:ind w:firstLine="420" w:firstLineChars="200"/>
        <w:rPr>
          <w:rFonts w:ascii="宋体" w:hAnsi="宋体"/>
          <w:szCs w:val="24"/>
        </w:rPr>
      </w:pPr>
      <w:r>
        <w:rPr>
          <w:rFonts w:hint="eastAsia" w:ascii="宋体" w:hAnsi="宋体"/>
          <w:szCs w:val="24"/>
        </w:rPr>
        <w:t>为确保合同所涉业务的有效执行，双方协商制定如下绩效指标，据此对乙方的服务情况进行监控并按月统计，甲方有权根据乙方绩效指标完成情况扣除部分费用作为考核款(此考核款不作为赔偿款)。</w:t>
      </w:r>
    </w:p>
    <w:p>
      <w:pPr>
        <w:ind w:firstLine="420" w:firstLineChars="200"/>
        <w:rPr>
          <w:rFonts w:ascii="宋体" w:hAnsi="宋体"/>
          <w:szCs w:val="24"/>
        </w:rPr>
      </w:pPr>
      <w:r>
        <w:rPr>
          <w:rFonts w:hint="eastAsia" w:ascii="宋体" w:hAnsi="宋体"/>
          <w:szCs w:val="24"/>
        </w:rPr>
        <w:t xml:space="preserve">1、物流储存、配送造成产品件损坏次数0次，若出现产品损坏视情节轻重按照500-5000元/种扣款； </w:t>
      </w:r>
    </w:p>
    <w:p>
      <w:pPr>
        <w:ind w:firstLine="420" w:firstLineChars="200"/>
        <w:rPr>
          <w:rFonts w:ascii="宋体" w:hAnsi="宋体"/>
          <w:szCs w:val="24"/>
        </w:rPr>
      </w:pPr>
      <w:r>
        <w:rPr>
          <w:rFonts w:hint="eastAsia" w:ascii="宋体" w:hAnsi="宋体"/>
          <w:szCs w:val="24"/>
        </w:rPr>
        <w:t>2、库房内贮存过程产品无丢失，账物一致率100%，若出现差异视情节轻重按照按照丢失产品件价值的150%进行赔偿：</w:t>
      </w:r>
    </w:p>
    <w:p>
      <w:pPr>
        <w:ind w:firstLine="420" w:firstLineChars="200"/>
        <w:rPr>
          <w:rFonts w:ascii="宋体" w:hAnsi="宋体"/>
          <w:szCs w:val="24"/>
        </w:rPr>
      </w:pPr>
      <w:r>
        <w:rPr>
          <w:rFonts w:hint="eastAsia" w:ascii="宋体" w:hAnsi="宋体"/>
          <w:szCs w:val="24"/>
        </w:rPr>
        <w:t>3、按照甲方下发的资金占用指标有效控制库存量，若因乙方仓储管理原因超出资金占用标准每超1%扣款500元；</w:t>
      </w:r>
    </w:p>
    <w:p>
      <w:pPr>
        <w:ind w:firstLine="420" w:firstLineChars="200"/>
        <w:rPr>
          <w:rFonts w:ascii="宋体" w:hAnsi="宋体"/>
          <w:szCs w:val="24"/>
        </w:rPr>
      </w:pPr>
      <w:r>
        <w:rPr>
          <w:rFonts w:hint="eastAsia" w:ascii="宋体" w:hAnsi="宋体"/>
          <w:szCs w:val="24"/>
        </w:rPr>
        <w:t>4、超</w:t>
      </w:r>
      <w:r>
        <w:rPr>
          <w:rFonts w:hint="eastAsia" w:ascii="宋体" w:hAnsi="宋体"/>
          <w:szCs w:val="24"/>
          <w:u w:val="single"/>
        </w:rPr>
        <w:t xml:space="preserve"> 48 </w:t>
      </w:r>
      <w:r>
        <w:rPr>
          <w:rFonts w:hint="eastAsia" w:ascii="宋体" w:hAnsi="宋体"/>
          <w:szCs w:val="24"/>
        </w:rPr>
        <w:t>小时未返回单据或跨月单据0张，每出现一次按照100元/张扣款；</w:t>
      </w:r>
    </w:p>
    <w:p>
      <w:pPr>
        <w:ind w:firstLine="420" w:firstLineChars="200"/>
        <w:rPr>
          <w:rFonts w:ascii="宋体" w:hAnsi="宋体"/>
          <w:szCs w:val="24"/>
        </w:rPr>
      </w:pPr>
      <w:r>
        <w:rPr>
          <w:rFonts w:hint="eastAsia" w:ascii="宋体" w:hAnsi="宋体"/>
          <w:szCs w:val="24"/>
        </w:rPr>
        <w:t>5、配送不准确或不及时导致生产停线次数0次，若造成停线按照10000元/h扣款；</w:t>
      </w:r>
    </w:p>
    <w:p>
      <w:pPr>
        <w:ind w:firstLine="420" w:firstLineChars="200"/>
        <w:rPr>
          <w:rFonts w:ascii="宋体" w:hAnsi="宋体"/>
          <w:szCs w:val="24"/>
        </w:rPr>
      </w:pPr>
      <w:r>
        <w:rPr>
          <w:rFonts w:hint="eastAsia" w:ascii="宋体" w:hAnsi="宋体"/>
          <w:szCs w:val="24"/>
        </w:rPr>
        <w:t>6、超速、超载、人货混装等运输违章次数0次，每发生一次扣款500元；</w:t>
      </w:r>
    </w:p>
    <w:p>
      <w:pPr>
        <w:ind w:firstLine="420" w:firstLineChars="200"/>
        <w:rPr>
          <w:rFonts w:ascii="宋体" w:hAnsi="宋体"/>
          <w:szCs w:val="24"/>
        </w:rPr>
      </w:pPr>
      <w:r>
        <w:rPr>
          <w:rFonts w:hint="eastAsia" w:ascii="宋体" w:hAnsi="宋体"/>
          <w:szCs w:val="24"/>
        </w:rPr>
        <w:t>7、产品标识不符合项次0次，每出现一项扣款100元。</w:t>
      </w:r>
    </w:p>
    <w:p>
      <w:pPr>
        <w:ind w:firstLine="422" w:firstLineChars="200"/>
        <w:outlineLvl w:val="0"/>
        <w:rPr>
          <w:rFonts w:ascii="宋体" w:hAnsi="宋体"/>
          <w:b/>
          <w:szCs w:val="24"/>
        </w:rPr>
      </w:pPr>
      <w:bookmarkStart w:id="72" w:name="_Toc47106923"/>
      <w:r>
        <w:rPr>
          <w:rFonts w:hint="eastAsia" w:ascii="宋体" w:hAnsi="宋体"/>
          <w:b/>
          <w:szCs w:val="24"/>
        </w:rPr>
        <w:t>五、费用及结算模式</w:t>
      </w:r>
      <w:bookmarkEnd w:id="72"/>
    </w:p>
    <w:p>
      <w:pPr>
        <w:ind w:firstLine="420" w:firstLineChars="200"/>
        <w:rPr>
          <w:rFonts w:ascii="宋体" w:hAnsi="宋体"/>
          <w:szCs w:val="24"/>
        </w:rPr>
      </w:pPr>
      <w:r>
        <w:rPr>
          <w:rFonts w:hint="eastAsia" w:ascii="宋体" w:hAnsi="宋体"/>
          <w:szCs w:val="24"/>
        </w:rPr>
        <w:t>1、乙方</w:t>
      </w:r>
      <w:r>
        <w:rPr>
          <w:rFonts w:ascii="宋体" w:hAnsi="宋体"/>
          <w:szCs w:val="24"/>
        </w:rPr>
        <w:t>从事物流服务过程中的费用由甲方及甲方供应商承担，</w:t>
      </w:r>
      <w:r>
        <w:rPr>
          <w:rFonts w:hint="eastAsia" w:ascii="宋体" w:hAnsi="宋体"/>
          <w:szCs w:val="24"/>
        </w:rPr>
        <w:t>费用</w:t>
      </w:r>
      <w:r>
        <w:rPr>
          <w:rFonts w:ascii="宋体" w:hAnsi="宋体"/>
          <w:szCs w:val="24"/>
        </w:rPr>
        <w:t>结算标准</w:t>
      </w:r>
      <w:r>
        <w:rPr>
          <w:rFonts w:hint="eastAsia" w:ascii="宋体" w:hAnsi="宋体"/>
          <w:szCs w:val="24"/>
        </w:rPr>
        <w:t>约</w:t>
      </w:r>
      <w:r>
        <w:rPr>
          <w:rFonts w:ascii="宋体" w:hAnsi="宋体"/>
          <w:szCs w:val="24"/>
        </w:rPr>
        <w:t>为</w:t>
      </w:r>
      <w:r>
        <w:rPr>
          <w:rFonts w:hint="eastAsia" w:ascii="宋体" w:hAnsi="宋体"/>
          <w:szCs w:val="24"/>
        </w:rPr>
        <w:t>13</w:t>
      </w:r>
      <w:r>
        <w:rPr>
          <w:rFonts w:ascii="宋体" w:hAnsi="宋体"/>
          <w:szCs w:val="24"/>
        </w:rPr>
        <w:t>00</w:t>
      </w:r>
      <w:r>
        <w:rPr>
          <w:rFonts w:hint="eastAsia" w:ascii="宋体" w:hAnsi="宋体"/>
          <w:szCs w:val="24"/>
        </w:rPr>
        <w:t>元/辆份</w:t>
      </w:r>
      <w:r>
        <w:rPr>
          <w:rFonts w:ascii="宋体" w:hAnsi="宋体"/>
          <w:szCs w:val="24"/>
        </w:rPr>
        <w:t>，</w:t>
      </w:r>
      <w:r>
        <w:rPr>
          <w:rFonts w:hint="eastAsia" w:ascii="宋体" w:hAnsi="宋体"/>
          <w:szCs w:val="24"/>
        </w:rPr>
        <w:t>实际结算按</w:t>
      </w:r>
      <w:r>
        <w:rPr>
          <w:rFonts w:ascii="宋体" w:hAnsi="宋体"/>
          <w:szCs w:val="24"/>
        </w:rPr>
        <w:t>甲方</w:t>
      </w:r>
      <w:r>
        <w:rPr>
          <w:rFonts w:hint="eastAsia" w:ascii="宋体" w:hAnsi="宋体"/>
          <w:szCs w:val="24"/>
        </w:rPr>
        <w:t>及甲方供应商上线产品物流费比例计算。</w:t>
      </w:r>
      <w:r>
        <w:rPr>
          <w:rFonts w:ascii="宋体" w:hAnsi="宋体"/>
          <w:szCs w:val="24"/>
        </w:rPr>
        <w:t>由甲方主导乙方及甲方供应商共同签订三方物流服务协议，</w:t>
      </w:r>
      <w:r>
        <w:rPr>
          <w:rFonts w:hint="eastAsia" w:ascii="宋体" w:hAnsi="宋体"/>
          <w:szCs w:val="24"/>
        </w:rPr>
        <w:t>甲方供应商向乙方支付物流服务费（由</w:t>
      </w:r>
      <w:r>
        <w:rPr>
          <w:rFonts w:ascii="宋体" w:hAnsi="宋体"/>
          <w:szCs w:val="24"/>
        </w:rPr>
        <w:t>甲方代扣、代转</w:t>
      </w:r>
      <w:r>
        <w:rPr>
          <w:rFonts w:hint="eastAsia" w:ascii="宋体" w:hAnsi="宋体"/>
          <w:szCs w:val="24"/>
        </w:rPr>
        <w:t>），由乙方</w:t>
      </w:r>
      <w:r>
        <w:rPr>
          <w:rFonts w:ascii="宋体" w:hAnsi="宋体"/>
          <w:szCs w:val="24"/>
        </w:rPr>
        <w:t>根据业务类型为相关供应商提供增值税专用发</w:t>
      </w:r>
      <w:r>
        <w:rPr>
          <w:rFonts w:hint="eastAsia" w:ascii="宋体" w:hAnsi="宋体"/>
          <w:szCs w:val="24"/>
        </w:rPr>
        <w:t>票。</w:t>
      </w:r>
    </w:p>
    <w:p>
      <w:pPr>
        <w:ind w:firstLine="420" w:firstLineChars="200"/>
        <w:rPr>
          <w:rFonts w:ascii="宋体" w:hAnsi="宋体"/>
          <w:szCs w:val="24"/>
        </w:rPr>
      </w:pPr>
      <w:r>
        <w:rPr>
          <w:rFonts w:hint="eastAsia" w:ascii="宋体" w:hAnsi="宋体"/>
          <w:szCs w:val="24"/>
        </w:rPr>
        <w:t>2、甲方各车间为乙方确认整车下线数量及其服务质量情况，乙方据此核算结算费用，并将书面确认函转交至甲方制造部。</w:t>
      </w:r>
    </w:p>
    <w:p>
      <w:pPr>
        <w:ind w:firstLine="420" w:firstLineChars="200"/>
        <w:rPr>
          <w:rFonts w:ascii="宋体" w:hAnsi="宋体"/>
          <w:szCs w:val="24"/>
        </w:rPr>
      </w:pPr>
      <w:r>
        <w:rPr>
          <w:rFonts w:hint="eastAsia" w:ascii="宋体" w:hAnsi="宋体"/>
          <w:szCs w:val="24"/>
        </w:rPr>
        <w:t>3、乙方为甲方开具仓储类增值税专用发票，增值税税率按照结算时国家规定税率执行。</w:t>
      </w:r>
    </w:p>
    <w:p>
      <w:pPr>
        <w:ind w:firstLine="420" w:firstLineChars="200"/>
        <w:rPr>
          <w:rFonts w:ascii="宋体" w:hAnsi="宋体"/>
          <w:szCs w:val="24"/>
        </w:rPr>
      </w:pPr>
      <w:r>
        <w:rPr>
          <w:rFonts w:hint="eastAsia" w:ascii="宋体" w:hAnsi="宋体"/>
          <w:szCs w:val="24"/>
        </w:rPr>
        <w:t>4、乙方应配合甲方开展物流优化提升，且该项目经优化提升后产生利润的50%，经甲乙双方确认后从甲方应支付的费用中抵减。</w:t>
      </w:r>
    </w:p>
    <w:p>
      <w:pPr>
        <w:ind w:firstLine="420" w:firstLineChars="200"/>
        <w:rPr>
          <w:rFonts w:ascii="宋体" w:hAnsi="宋体"/>
          <w:szCs w:val="24"/>
        </w:rPr>
      </w:pPr>
      <w:r>
        <w:rPr>
          <w:rFonts w:hint="eastAsia" w:ascii="宋体" w:hAnsi="宋体"/>
          <w:szCs w:val="24"/>
        </w:rPr>
        <w:t>5、乙方从甲方非托管转托管产品及二级公司分摊物流费用后获得的新增收益的50%，经甲乙双方确认后从甲方应支付的费用中抵减。</w:t>
      </w:r>
    </w:p>
    <w:p>
      <w:pPr>
        <w:ind w:firstLine="422" w:firstLineChars="200"/>
        <w:outlineLvl w:val="0"/>
        <w:rPr>
          <w:rFonts w:ascii="宋体" w:hAnsi="宋体"/>
          <w:b/>
          <w:szCs w:val="24"/>
        </w:rPr>
      </w:pPr>
      <w:bookmarkStart w:id="73" w:name="_Toc47106924"/>
      <w:r>
        <w:rPr>
          <w:rFonts w:hint="eastAsia" w:ascii="宋体" w:hAnsi="宋体"/>
          <w:b/>
          <w:szCs w:val="24"/>
        </w:rPr>
        <w:t>六、保密条款</w:t>
      </w:r>
      <w:bookmarkEnd w:id="73"/>
    </w:p>
    <w:p>
      <w:pPr>
        <w:ind w:firstLine="420" w:firstLineChars="200"/>
        <w:rPr>
          <w:rFonts w:ascii="宋体" w:hAnsi="宋体"/>
          <w:szCs w:val="24"/>
        </w:rPr>
      </w:pPr>
      <w:r>
        <w:rPr>
          <w:rFonts w:hint="eastAsia" w:ascii="宋体" w:hAnsi="宋体"/>
          <w:szCs w:val="24"/>
        </w:rPr>
        <w:t>1、双方必须保守本合同内各方的商业秘密（包括但不限于本合同内容、双方的规章制度及生产经营状况等）。</w:t>
      </w:r>
    </w:p>
    <w:p>
      <w:pPr>
        <w:ind w:firstLine="420" w:firstLineChars="200"/>
        <w:rPr>
          <w:rFonts w:ascii="宋体" w:hAnsi="宋体"/>
          <w:szCs w:val="24"/>
        </w:rPr>
      </w:pPr>
      <w:r>
        <w:rPr>
          <w:rFonts w:hint="eastAsia" w:ascii="宋体" w:hAnsi="宋体"/>
          <w:szCs w:val="24"/>
        </w:rPr>
        <w:t>2、乙方承诺，在为甲方上线服务过程中，所获得的有关甲方的一切资料和信息包括每个月份甲方需求的产品件的数量、产品件的质量要求以及可由此推导出的甲方的月度产量、汽车型号及其他信息均为甲方的商业机密，乙方保证任何时候都不向第三方泄露。如果一旦发现乙方有泄露或利用甲方的商业秘密行为，甲方有权对乙方5-30万元的经济处罚及终止合同履行。</w:t>
      </w:r>
    </w:p>
    <w:p>
      <w:pPr>
        <w:ind w:firstLine="422" w:firstLineChars="200"/>
        <w:outlineLvl w:val="0"/>
        <w:rPr>
          <w:rFonts w:ascii="宋体" w:hAnsi="宋体"/>
          <w:b/>
          <w:szCs w:val="24"/>
        </w:rPr>
      </w:pPr>
      <w:bookmarkStart w:id="74" w:name="_Toc47106925"/>
      <w:r>
        <w:rPr>
          <w:rFonts w:hint="eastAsia" w:ascii="宋体" w:hAnsi="宋体"/>
          <w:b/>
          <w:szCs w:val="24"/>
        </w:rPr>
        <w:t>七、违约责任</w:t>
      </w:r>
      <w:bookmarkEnd w:id="74"/>
    </w:p>
    <w:p>
      <w:pPr>
        <w:ind w:firstLine="420" w:firstLineChars="200"/>
        <w:rPr>
          <w:rFonts w:ascii="宋体" w:hAnsi="宋体"/>
          <w:szCs w:val="24"/>
        </w:rPr>
      </w:pPr>
      <w:r>
        <w:rPr>
          <w:rFonts w:hint="eastAsia" w:ascii="宋体" w:hAnsi="宋体"/>
          <w:szCs w:val="24"/>
        </w:rPr>
        <w:t>合同中任何一方违约，另一方有权根据《中华人民共和国</w:t>
      </w:r>
      <w:r>
        <w:rPr>
          <w:rFonts w:hint="eastAsia" w:ascii="宋体" w:hAnsi="宋体"/>
          <w:szCs w:val="24"/>
          <w:lang w:eastAsia="zh-CN"/>
        </w:rPr>
        <w:t>民法典</w:t>
      </w:r>
      <w:r>
        <w:rPr>
          <w:rFonts w:hint="eastAsia" w:ascii="宋体" w:hAnsi="宋体"/>
          <w:szCs w:val="24"/>
        </w:rPr>
        <w:t>》及其他的相关法律法规的规定，要求违约方承担相应的违约责任。</w:t>
      </w:r>
    </w:p>
    <w:p>
      <w:pPr>
        <w:ind w:firstLine="422" w:firstLineChars="200"/>
        <w:outlineLvl w:val="0"/>
        <w:rPr>
          <w:rFonts w:ascii="宋体" w:hAnsi="宋体"/>
          <w:b/>
          <w:szCs w:val="24"/>
        </w:rPr>
      </w:pPr>
      <w:bookmarkStart w:id="75" w:name="_Toc47106926"/>
      <w:r>
        <w:rPr>
          <w:rFonts w:hint="eastAsia" w:ascii="宋体" w:hAnsi="宋体"/>
          <w:b/>
          <w:szCs w:val="24"/>
        </w:rPr>
        <w:t>八、合同有效期</w:t>
      </w:r>
      <w:bookmarkEnd w:id="75"/>
    </w:p>
    <w:p>
      <w:pPr>
        <w:ind w:firstLine="420" w:firstLineChars="200"/>
        <w:rPr>
          <w:rFonts w:ascii="宋体" w:hAnsi="宋体"/>
          <w:szCs w:val="24"/>
        </w:rPr>
      </w:pPr>
      <w:bookmarkStart w:id="76" w:name="_Toc47106927"/>
      <w:r>
        <w:rPr>
          <w:rFonts w:hint="eastAsia" w:ascii="宋体" w:hAnsi="宋体"/>
          <w:szCs w:val="24"/>
        </w:rPr>
        <w:t>自</w:t>
      </w:r>
      <w:r>
        <w:rPr>
          <w:rFonts w:hint="eastAsia" w:ascii="宋体" w:hAnsi="宋体"/>
          <w:szCs w:val="24"/>
          <w:lang w:eastAsia="zh-CN"/>
        </w:rPr>
        <w:t>2023</w:t>
      </w:r>
      <w:r>
        <w:rPr>
          <w:rFonts w:hint="eastAsia" w:ascii="宋体" w:hAnsi="宋体"/>
          <w:szCs w:val="24"/>
        </w:rPr>
        <w:t>年</w:t>
      </w:r>
      <w:r>
        <w:rPr>
          <w:rFonts w:hint="eastAsia" w:ascii="宋体" w:hAnsi="宋体"/>
          <w:szCs w:val="24"/>
          <w:lang w:val="en-US" w:eastAsia="zh-CN"/>
        </w:rPr>
        <w:t>7</w:t>
      </w:r>
      <w:r>
        <w:rPr>
          <w:rFonts w:hint="eastAsia" w:ascii="宋体" w:hAnsi="宋体"/>
          <w:szCs w:val="24"/>
        </w:rPr>
        <w:t>月</w:t>
      </w:r>
      <w:r>
        <w:rPr>
          <w:rFonts w:hint="eastAsia" w:ascii="宋体" w:hAnsi="宋体"/>
          <w:szCs w:val="24"/>
          <w:lang w:val="en-US" w:eastAsia="zh-CN"/>
        </w:rPr>
        <w:t>1</w:t>
      </w:r>
      <w:r>
        <w:rPr>
          <w:rFonts w:hint="eastAsia" w:ascii="宋体" w:hAnsi="宋体"/>
          <w:szCs w:val="24"/>
        </w:rPr>
        <w:t>日起至202</w:t>
      </w:r>
      <w:r>
        <w:rPr>
          <w:rFonts w:hint="eastAsia" w:ascii="宋体" w:hAnsi="宋体"/>
          <w:szCs w:val="24"/>
          <w:lang w:val="en-US" w:eastAsia="zh-CN"/>
        </w:rPr>
        <w:t>4</w:t>
      </w:r>
      <w:r>
        <w:rPr>
          <w:rFonts w:hint="eastAsia" w:ascii="宋体" w:hAnsi="宋体"/>
          <w:szCs w:val="24"/>
        </w:rPr>
        <w:t>年6月30日止。甲方有权随时终止合同。</w:t>
      </w:r>
    </w:p>
    <w:p>
      <w:pPr>
        <w:ind w:firstLine="422" w:firstLineChars="200"/>
        <w:outlineLvl w:val="0"/>
        <w:rPr>
          <w:rFonts w:ascii="宋体" w:hAnsi="宋体"/>
          <w:b/>
          <w:szCs w:val="24"/>
        </w:rPr>
      </w:pPr>
      <w:r>
        <w:rPr>
          <w:rFonts w:hint="eastAsia" w:ascii="宋体" w:hAnsi="宋体"/>
          <w:b/>
          <w:szCs w:val="24"/>
        </w:rPr>
        <w:t>九、其它条款</w:t>
      </w:r>
      <w:bookmarkEnd w:id="76"/>
    </w:p>
    <w:p>
      <w:pPr>
        <w:ind w:firstLine="420" w:firstLineChars="200"/>
        <w:rPr>
          <w:rFonts w:ascii="宋体" w:hAnsi="宋体"/>
          <w:szCs w:val="24"/>
        </w:rPr>
      </w:pPr>
      <w:r>
        <w:rPr>
          <w:rFonts w:hint="eastAsia" w:ascii="宋体" w:hAnsi="宋体"/>
          <w:szCs w:val="24"/>
        </w:rPr>
        <w:t xml:space="preserve">1、本合同未尽事宜，经双方协商一致后，可另行签订补充协议。 </w:t>
      </w:r>
    </w:p>
    <w:p>
      <w:pPr>
        <w:ind w:firstLine="420" w:firstLineChars="200"/>
        <w:rPr>
          <w:rFonts w:ascii="宋体" w:hAnsi="宋体"/>
          <w:szCs w:val="24"/>
        </w:rPr>
      </w:pPr>
      <w:r>
        <w:rPr>
          <w:rFonts w:hint="eastAsia" w:ascii="宋体" w:hAnsi="宋体"/>
          <w:szCs w:val="24"/>
        </w:rPr>
        <w:t xml:space="preserve">2、本合同一式伍份，甲方叁份，乙方贰份，具有同等法律效力。 </w:t>
      </w:r>
    </w:p>
    <w:p>
      <w:pPr>
        <w:ind w:firstLine="420" w:firstLineChars="200"/>
        <w:rPr>
          <w:rFonts w:ascii="宋体" w:hAnsi="宋体"/>
          <w:szCs w:val="24"/>
        </w:rPr>
      </w:pPr>
      <w:r>
        <w:rPr>
          <w:rFonts w:hint="eastAsia" w:ascii="宋体" w:hAnsi="宋体"/>
          <w:szCs w:val="24"/>
        </w:rPr>
        <w:t>3、本合同自签字盖章之日起生效，在本协议履行过程中，甲乙双方如发生争议，应通过友好协商协商解决。经协商仍不解决的，提由甲方所属地方法院裁决。</w:t>
      </w:r>
    </w:p>
    <w:p>
      <w:pPr>
        <w:ind w:firstLine="420" w:firstLineChars="200"/>
        <w:rPr>
          <w:rFonts w:ascii="宋体" w:hAnsi="宋体"/>
          <w:szCs w:val="24"/>
        </w:rPr>
      </w:pPr>
    </w:p>
    <w:p>
      <w:pPr>
        <w:ind w:firstLine="210" w:firstLineChars="100"/>
        <w:rPr>
          <w:szCs w:val="24"/>
          <w:u w:val="single"/>
        </w:rPr>
      </w:pPr>
      <w:r>
        <w:rPr>
          <w:rFonts w:hint="eastAsia" w:ascii="宋体" w:hAnsi="宋体"/>
          <w:szCs w:val="24"/>
        </w:rPr>
        <w:t>甲方（盖章）：</w:t>
      </w:r>
      <w:r>
        <w:rPr>
          <w:rFonts w:hint="eastAsia" w:hAnsi="宋体"/>
          <w:szCs w:val="24"/>
          <w:u w:val="single"/>
        </w:rPr>
        <w:t>中国重汽集团济南特种车有限公司</w:t>
      </w:r>
    </w:p>
    <w:p>
      <w:pPr>
        <w:ind w:firstLine="210" w:firstLineChars="100"/>
        <w:rPr>
          <w:rFonts w:ascii="宋体" w:hAnsi="宋体"/>
          <w:szCs w:val="24"/>
        </w:rPr>
      </w:pPr>
    </w:p>
    <w:p>
      <w:pPr>
        <w:ind w:firstLine="210" w:firstLineChars="100"/>
        <w:rPr>
          <w:rFonts w:ascii="宋体" w:hAnsi="宋体"/>
          <w:szCs w:val="24"/>
        </w:rPr>
      </w:pPr>
      <w:r>
        <w:rPr>
          <w:rFonts w:hint="eastAsia" w:ascii="宋体" w:hAnsi="宋体"/>
          <w:szCs w:val="24"/>
        </w:rPr>
        <w:t xml:space="preserve">代表人（签字）：＿＿＿＿＿＿＿         </w:t>
      </w:r>
    </w:p>
    <w:p>
      <w:pPr>
        <w:ind w:firstLine="210" w:firstLineChars="100"/>
        <w:rPr>
          <w:rFonts w:ascii="宋体" w:hAnsi="宋体"/>
          <w:szCs w:val="24"/>
        </w:rPr>
      </w:pPr>
      <w:r>
        <w:rPr>
          <w:rFonts w:hint="eastAsia" w:ascii="宋体" w:hAnsi="宋体"/>
          <w:szCs w:val="24"/>
        </w:rPr>
        <w:t>日期：年月日</w:t>
      </w:r>
    </w:p>
    <w:p>
      <w:pPr>
        <w:ind w:firstLine="210" w:firstLineChars="100"/>
        <w:rPr>
          <w:rFonts w:ascii="宋体" w:hAnsi="宋体"/>
          <w:szCs w:val="24"/>
        </w:rPr>
      </w:pPr>
    </w:p>
    <w:p>
      <w:pPr>
        <w:ind w:firstLine="210" w:firstLineChars="100"/>
        <w:rPr>
          <w:rFonts w:hAnsi="宋体"/>
          <w:szCs w:val="24"/>
          <w:u w:val="single"/>
        </w:rPr>
      </w:pPr>
      <w:r>
        <w:rPr>
          <w:rFonts w:hint="eastAsia"/>
          <w:szCs w:val="24"/>
        </w:rPr>
        <w:t>乙方</w:t>
      </w:r>
      <w:r>
        <w:rPr>
          <w:rFonts w:hint="eastAsia" w:ascii="宋体" w:hAnsi="宋体"/>
          <w:szCs w:val="24"/>
        </w:rPr>
        <w:t>（盖章）</w:t>
      </w:r>
      <w:r>
        <w:rPr>
          <w:rFonts w:hint="eastAsia"/>
          <w:szCs w:val="24"/>
        </w:rPr>
        <w:t>：</w:t>
      </w:r>
    </w:p>
    <w:p>
      <w:pPr>
        <w:ind w:firstLine="210" w:firstLineChars="100"/>
        <w:rPr>
          <w:rFonts w:ascii="宋体" w:hAnsi="宋体"/>
          <w:szCs w:val="24"/>
        </w:rPr>
      </w:pPr>
    </w:p>
    <w:p>
      <w:pPr>
        <w:ind w:firstLine="210" w:firstLineChars="100"/>
        <w:rPr>
          <w:rFonts w:ascii="宋体" w:hAnsi="宋体"/>
          <w:szCs w:val="24"/>
        </w:rPr>
      </w:pPr>
      <w:r>
        <w:rPr>
          <w:rFonts w:hint="eastAsia" w:ascii="宋体" w:hAnsi="宋体"/>
          <w:szCs w:val="24"/>
        </w:rPr>
        <w:t>代表人（签字）：＿＿＿＿＿＿＿</w:t>
      </w:r>
    </w:p>
    <w:p>
      <w:pPr>
        <w:ind w:firstLine="210" w:firstLineChars="100"/>
        <w:rPr>
          <w:rFonts w:ascii="宋体" w:hAnsi="宋体"/>
          <w:szCs w:val="24"/>
        </w:rPr>
      </w:pPr>
      <w:r>
        <w:rPr>
          <w:rFonts w:hint="eastAsia" w:ascii="宋体" w:hAnsi="宋体"/>
          <w:szCs w:val="24"/>
        </w:rPr>
        <w:t xml:space="preserve">日期：年月日         </w:t>
      </w:r>
    </w:p>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ascii="黑体" w:eastAsia="黑体"/>
          <w:b/>
          <w:bCs/>
          <w:sz w:val="36"/>
          <w:szCs w:val="36"/>
        </w:rPr>
      </w:pPr>
    </w:p>
    <w:p>
      <w:pPr>
        <w:pStyle w:val="9"/>
        <w:spacing w:line="360" w:lineRule="auto"/>
        <w:jc w:val="center"/>
        <w:rPr>
          <w:rFonts w:hint="eastAsia" w:ascii="黑体" w:eastAsia="黑体"/>
          <w:b/>
          <w:bCs/>
          <w:sz w:val="36"/>
          <w:szCs w:val="36"/>
        </w:rPr>
      </w:pPr>
    </w:p>
    <w:p>
      <w:pPr>
        <w:pStyle w:val="9"/>
        <w:spacing w:line="360" w:lineRule="auto"/>
        <w:jc w:val="center"/>
        <w:rPr>
          <w:rFonts w:ascii="黑体" w:eastAsia="黑体"/>
          <w:b/>
          <w:bCs/>
          <w:sz w:val="36"/>
          <w:szCs w:val="36"/>
        </w:rPr>
      </w:pPr>
      <w:r>
        <w:rPr>
          <w:rFonts w:hint="eastAsia" w:ascii="黑体" w:eastAsia="黑体"/>
          <w:b/>
          <w:bCs/>
          <w:sz w:val="36"/>
          <w:szCs w:val="36"/>
        </w:rPr>
        <w:t>第五章</w:t>
      </w:r>
    </w:p>
    <w:p>
      <w:pPr>
        <w:jc w:val="center"/>
        <w:rPr>
          <w:rFonts w:ascii="黑体" w:hAnsi="黑体" w:eastAsia="黑体" w:cs="黑体"/>
          <w:sz w:val="44"/>
          <w:szCs w:val="44"/>
        </w:rPr>
      </w:pPr>
      <w:r>
        <w:rPr>
          <w:rFonts w:hint="eastAsia" w:ascii="黑体" w:hAnsi="黑体" w:eastAsia="黑体" w:cs="黑体"/>
          <w:sz w:val="44"/>
          <w:szCs w:val="44"/>
        </w:rPr>
        <w:t>第三方物流服务商管理规定</w:t>
      </w:r>
    </w:p>
    <w:p>
      <w:pPr>
        <w:jc w:val="center"/>
        <w:rPr>
          <w:rFonts w:ascii="黑体" w:hAnsi="黑体" w:eastAsia="黑体" w:cs="黑体"/>
          <w:sz w:val="44"/>
          <w:szCs w:val="44"/>
        </w:rPr>
      </w:pPr>
      <w:r>
        <w:rPr>
          <w:rFonts w:hint="eastAsia" w:ascii="黑体" w:hAnsi="黑体" w:eastAsia="黑体" w:cs="黑体"/>
          <w:sz w:val="44"/>
          <w:szCs w:val="44"/>
        </w:rPr>
        <w:t>（18条）</w:t>
      </w:r>
    </w:p>
    <w:p>
      <w:pPr>
        <w:ind w:firstLine="482" w:firstLineChars="200"/>
        <w:rPr>
          <w:rFonts w:eastAsia="仿宋_GB2312"/>
          <w:b/>
          <w:bCs/>
          <w:sz w:val="24"/>
          <w:szCs w:val="24"/>
        </w:rPr>
      </w:pPr>
      <w:r>
        <w:rPr>
          <w:rFonts w:hint="eastAsia" w:eastAsia="仿宋_GB2312"/>
          <w:b/>
          <w:bCs/>
          <w:sz w:val="24"/>
          <w:szCs w:val="24"/>
        </w:rPr>
        <w:t>一、物流商资质</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作为中国重汽及/或中国重汽下属关联单位（以下称：中国重汽）的物流业务服务商，必须具有独立法人资格和国家综合服务型物流企业认证资质，注册资本金3000万元以上（已进入中国重汽物流商目录的不受该条件限制）；</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2.有3年以上汽车行业物流服务经验，有经验丰富的从事物流业务的员工团队，有为客户提供一体化物流服务的硬件资源和运营能力。</w:t>
      </w:r>
    </w:p>
    <w:p>
      <w:pPr>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二、物流商进入</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3.所有物流商进入均须经过中国重汽招标程序，进入物流服务商目录，中标物流商在合同签订时须缴纳标的额5%（最高200万）的履约保证金；</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物流商在合同签订后，按照合同时间节点，投入相应的设施设备（仓库、车辆、工位器具等），并组织人员培训（知识培训、作业培训、软件培训）。物流商投入的设施设备，招标会须由中国重汽确认是否参加，培训结果须中国重汽审核确认通过，确保提供满足节拍产能需求的专业物流服务。</w:t>
      </w:r>
    </w:p>
    <w:p>
      <w:pPr>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三、物流商管理</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物流商在提供物流服务时，要无条件接受中国重汽的日常管理和制度流程，实施等级管理：每年6月份开展一次物流商服务能力评价和竞争性谈判，按照评价等级，接受相应的奖励与考核，调增或调减物流业务量，并适用物流商末位淘汰机制。物流商服务合同签订周期统一为当年7月1日至次年6月30日；</w:t>
      </w:r>
    </w:p>
    <w:p>
      <w:pPr>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物流商在提供服务过程中对所配送的产品负有保管义务，因物流商原因造成的产品损坏、丢失，物流商承担全部赔偿责任。物流商须按月度对托管和非托管物资进行盘点对账，按照中国重汽相关管理制度进行差异处置，差异处置由物流商与供应商进行协商，协商不一致时，由中国重汽进行调解；</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7.物流商须遵守100%满足生产需求这一红线指标，因物流商原因造成生产线停线的，按照中国重汽物流商管理细则进行考核，严肃追责，由物流商承担因此带来的所有损失；</w:t>
      </w:r>
    </w:p>
    <w:p>
      <w:pPr>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8.物流商须无条件配合中国重汽的物流管理提升和优化工作。对于提升过程中新增物流业务（如分拣、排序等作业）产生的用工增加、费用增加等问题，由中国重汽相关部门与物流商商谈，进行相应的价格调整；</w:t>
      </w:r>
    </w:p>
    <w:p>
      <w:pPr>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物流商须每年自主开展2次以上流程化优和管理创新工作，对于物流商提出的管理创新项目，需要中国重汽配合推动的，由中国重汽物流管理部门确认合理的，由双方共同推进，对于创新项目为中国重汽或供应商创造的、可测量的经济效益，按照50%比例返还物流商；</w:t>
      </w:r>
    </w:p>
    <w:p>
      <w:pPr>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10.物流商对提供服务过程中知悉的中国重汽的商业秘密（包括但不限于物流信息、生产信息、财务信息等），负有保密责任，不得向任何第三方披露，否则中国重汽有权追究物流商的违约责任，物流商就中国重汽因此造成的损失承担赔偿责任。</w:t>
      </w:r>
    </w:p>
    <w:p>
      <w:pPr>
        <w:ind w:firstLine="482" w:firstLineChars="20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四、物流商退出</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对于恶意中标、不能提供标书约定服务能力、不能满足中国重汽业务需要、年度能力评价不合格的物流商，由中国重汽物流专家评审委员会进行评审，情况属实的，处理完毕债权债务后，该物流商立即退出物流服务商目录，并列入中国重汽物流商黑名单，禁止参加后续中国重汽集团范围内的所有物流业务招标；</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在中标后的运营过程中，因物流商投入设施设备不足，不能满足业务需求的，由物流商自行拆除设备，终止合同，一切损失由物流商承担。经中国重汽同意后，物流商可以新增、更换设施设备，直至满足业务需求，一切损失由物流商承担；</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13.物流商因自身经营原因主动提出退出的，需提前6个月提出退出申请，物流商在服务期间所投入的物流设施（如仓库、分装线等），按照折旧年限净值的90%进行返还；提前3个月提出退出申请的，物流商在服务期间所投入的物流设施，按照折旧年限净值的80%进行返还；提出申请时间不足3个月的，物流商在服务期间所投入的物流设施净值不予返还并扣除履约保证金；</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14.因物流商管理水平不足、服务评价连续2年较差的，中国重汽有权随时终止合同，经中国重汽物流专家评审委员会审核后，根据日常服务水平和等级评价，对物流商在服务期间所投入的物流设施按照折旧年限净值的10%-60%进行返还；</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15.经中国重汽物流专家评审委员会评审后，同意物流商退出的，由中国重汽立即组织新物流商的招标和引入。在招标期间和业务交接期间（交接期为3个月），原物流商须本着友好协商原则，无条件配合业务交接工作，确保业务正常运转。对于交接期间出现影响生产的情况，交接期第1个月由原物流商承担70%责任，新物流商承担30%责任；交接期第2个月，由原物流商承担</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0%责任，新物流商承担</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0%责任；交接期第</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个月，由原物流商承担</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0%责任，新物流商承担</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0%责任；</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16.新物流商须无条件承接原物流商在中国重汽厂区内建设的、能够满足业务需求的固定类设施设备（如仓库等）；对于因时间变迁等原因不能满足业务需求的固定类设施设备，由原物流商负责拆除；对于叉车、车辆、器具等非固定类设备，按照设备折旧年限核算设备净值，由双方协商承接，新物流商在同等条件下有优先购买权；</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17.对物流商提供物流服务产生的物流费，按照财务结算制度进行挂账结算；在物流商切换期间，因双方业务交接产生的物流费，由双方协商解决；双方协商不一致时，由中国重汽物流管理部门进行仲裁，直至双方交接完毕，结清物流费；</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18.对新老物流商顺利完成交接、业务正常开展的，经中国重汽物流专家评审委员会审核同意后，由中国重汽物流管理部门组织签订物流合同终止协议，确认供应商与物流商资产账务一致无异议，或物流合同到期后不再续签，一次性100%无息返还保证金；对于在交接过程中出现影响生产的情况，由中国重汽物流管理部门提出证据判定物流商责任，损失从保证金中扣除，扣除后的保证金一次性无息100%返还物流商；对于在交接过程中，出现物流商与供应商物资对账差异的情况，先由双方协商，协调不一致的，由中国重汽物流管理部门进行调解；根据仲裁结果由中国重汽、供应商、原物流商、新物流商签订相关协议。</w:t>
      </w:r>
    </w:p>
    <w:p>
      <w:pPr>
        <w:rPr>
          <w:rFonts w:ascii="黑体" w:hAnsi="宋体" w:eastAsia="黑体" w:cs="黑体"/>
          <w:color w:val="000000"/>
          <w:kern w:val="0"/>
          <w:sz w:val="24"/>
          <w:szCs w:val="24"/>
        </w:rPr>
      </w:pPr>
    </w:p>
    <w:p>
      <w:pPr>
        <w:rPr>
          <w:rFonts w:ascii="仿宋_GB2312" w:hAnsi="仿宋_GB2312" w:eastAsia="仿宋_GB2312" w:cs="仿宋_GB2312"/>
          <w:sz w:val="24"/>
          <w:szCs w:val="24"/>
        </w:rPr>
      </w:pPr>
      <w:r>
        <w:rPr>
          <w:rFonts w:hint="eastAsia" w:ascii="黑体" w:hAnsi="宋体" w:eastAsia="黑体" w:cs="黑体"/>
          <w:color w:val="000000"/>
          <w:kern w:val="0"/>
          <w:sz w:val="24"/>
          <w:szCs w:val="24"/>
        </w:rPr>
        <w:t>附表：中国重汽物流商投入资产折旧年限表</w:t>
      </w:r>
    </w:p>
    <w:tbl>
      <w:tblPr>
        <w:tblStyle w:val="18"/>
        <w:tblW w:w="7609" w:type="dxa"/>
        <w:jc w:val="center"/>
        <w:tblLayout w:type="fixed"/>
        <w:tblCellMar>
          <w:top w:w="0" w:type="dxa"/>
          <w:left w:w="0" w:type="dxa"/>
          <w:bottom w:w="0" w:type="dxa"/>
          <w:right w:w="0" w:type="dxa"/>
        </w:tblCellMar>
      </w:tblPr>
      <w:tblGrid>
        <w:gridCol w:w="708"/>
        <w:gridCol w:w="1277"/>
        <w:gridCol w:w="3337"/>
        <w:gridCol w:w="1276"/>
        <w:gridCol w:w="1011"/>
      </w:tblGrid>
      <w:tr>
        <w:tblPrEx>
          <w:tblCellMar>
            <w:top w:w="0" w:type="dxa"/>
            <w:left w:w="0" w:type="dxa"/>
            <w:bottom w:w="0" w:type="dxa"/>
            <w:right w:w="0" w:type="dxa"/>
          </w:tblCellMar>
        </w:tblPrEx>
        <w:trPr>
          <w:trHeight w:val="4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序号</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资产类别</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主要内容</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折旧年限</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rPr>
              <w:t>备注</w:t>
            </w:r>
          </w:p>
        </w:tc>
      </w:tr>
      <w:tr>
        <w:tblPrEx>
          <w:tblCellMar>
            <w:top w:w="0" w:type="dxa"/>
            <w:left w:w="0" w:type="dxa"/>
            <w:bottom w:w="0" w:type="dxa"/>
            <w:right w:w="0" w:type="dxa"/>
          </w:tblCellMar>
        </w:tblPrEx>
        <w:trPr>
          <w:trHeight w:val="4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1</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仓储类</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仓库、多层货架、高层立体库</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10年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b/>
                <w:color w:val="000000"/>
                <w:sz w:val="24"/>
                <w:szCs w:val="24"/>
              </w:rPr>
            </w:pPr>
          </w:p>
        </w:tc>
      </w:tr>
      <w:tr>
        <w:tblPrEx>
          <w:tblCellMar>
            <w:top w:w="0" w:type="dxa"/>
            <w:left w:w="0" w:type="dxa"/>
            <w:bottom w:w="0" w:type="dxa"/>
            <w:right w:w="0" w:type="dxa"/>
          </w:tblCellMar>
        </w:tblPrEx>
        <w:trPr>
          <w:trHeight w:val="4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2</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运输类</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运输车辆、电动牵引车、AGV</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sz w:val="24"/>
                <w:szCs w:val="24"/>
              </w:rPr>
            </w:pPr>
            <w:r>
              <w:rPr>
                <w:rFonts w:ascii="宋体" w:hAnsi="宋体" w:cs="宋体"/>
                <w:b/>
                <w:kern w:val="0"/>
                <w:sz w:val="24"/>
                <w:szCs w:val="24"/>
              </w:rPr>
              <w:t>8</w:t>
            </w:r>
            <w:r>
              <w:rPr>
                <w:rFonts w:hint="eastAsia" w:ascii="宋体" w:hAnsi="宋体" w:cs="宋体"/>
                <w:b/>
                <w:kern w:val="0"/>
                <w:sz w:val="24"/>
                <w:szCs w:val="24"/>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b/>
                <w:color w:val="000000"/>
                <w:sz w:val="24"/>
                <w:szCs w:val="24"/>
              </w:rPr>
            </w:pPr>
          </w:p>
        </w:tc>
      </w:tr>
      <w:tr>
        <w:tblPrEx>
          <w:tblCellMar>
            <w:top w:w="0" w:type="dxa"/>
            <w:left w:w="0" w:type="dxa"/>
            <w:bottom w:w="0" w:type="dxa"/>
            <w:right w:w="0" w:type="dxa"/>
          </w:tblCellMar>
        </w:tblPrEx>
        <w:trPr>
          <w:trHeight w:val="4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3</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器具类</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专用器具、金属料箱</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5年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b/>
                <w:color w:val="000000"/>
                <w:sz w:val="24"/>
                <w:szCs w:val="24"/>
              </w:rPr>
            </w:pPr>
          </w:p>
        </w:tc>
      </w:tr>
    </w:tbl>
    <w:p/>
    <w:sectPr>
      <w:footerReference r:id="rId7" w:type="first"/>
      <w:pgSz w:w="11906" w:h="16838"/>
      <w:pgMar w:top="1701" w:right="1418" w:bottom="1134" w:left="141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A10006FF" w:usb1="4000205B" w:usb2="00000010" w:usb3="00000000" w:csb0="2000019F" w:csb1="00000000"/>
  </w:font>
  <w:font w:name="Microsoft YaHei 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844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284480"/>
                      </a:xfrm>
                      <a:prstGeom prst="rect">
                        <a:avLst/>
                      </a:prstGeom>
                      <a:noFill/>
                      <a:ln>
                        <a:noFill/>
                      </a:ln>
                    </wps:spPr>
                    <wps:txbx>
                      <w:txbxContent>
                        <w:p>
                          <w:pPr>
                            <w:pStyle w:val="11"/>
                            <w:rPr>
                              <w:rStyle w:val="22"/>
                            </w:rPr>
                          </w:pPr>
                          <w:r>
                            <w:fldChar w:fldCharType="begin"/>
                          </w:r>
                          <w:r>
                            <w:rPr>
                              <w:rStyle w:val="22"/>
                            </w:rPr>
                            <w:instrText xml:space="preserve">PAGE  </w:instrText>
                          </w:r>
                          <w:r>
                            <w:fldChar w:fldCharType="separate"/>
                          </w:r>
                          <w:r>
                            <w:rPr>
                              <w:rStyle w:val="22"/>
                            </w:rPr>
                            <w:t>- 2 -</w:t>
                          </w:r>
                          <w: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2.4pt;width:19.5pt;mso-position-horizontal:center;mso-position-horizontal-relative:margin;mso-wrap-style:none;z-index:251660288;mso-width-relative:page;mso-height-relative:page;" filled="f" stroked="f" coordsize="21600,21600" o:gfxdata="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bJBxvRAAAAAwEAAA8AAAAAAAAAAQAgAAAAIgAAAGRycy9k&#10;b3ducmV2LnhtbFBLAQIUABQAAAAIAIdO4kC+jk+dCQIAAAIEAAAOAAAAAAAAAAEAIAAAACABAABk&#10;cnMvZTJvRG9jLnhtbFBLBQYAAAAABgAGAFkBAACbBQAAAAA=&#10;">
              <v:fill on="f" focussize="0,0"/>
              <v:stroke on="f"/>
              <v:imagedata o:title=""/>
              <o:lock v:ext="edit" aspectratio="f"/>
              <v:textbox inset="0mm,0mm,0mm,0mm" style="mso-fit-shape-to-text:t;">
                <w:txbxContent>
                  <w:p>
                    <w:pPr>
                      <w:pStyle w:val="11"/>
                      <w:rPr>
                        <w:rStyle w:val="22"/>
                      </w:rPr>
                    </w:pPr>
                    <w:r>
                      <w:fldChar w:fldCharType="begin"/>
                    </w:r>
                    <w:r>
                      <w:rPr>
                        <w:rStyle w:val="22"/>
                      </w:rPr>
                      <w:instrText xml:space="preserve">PAGE  </w:instrText>
                    </w:r>
                    <w:r>
                      <w:fldChar w:fldCharType="separate"/>
                    </w:r>
                    <w:r>
                      <w:rPr>
                        <w:rStyle w:val="22"/>
                      </w:rPr>
                      <w:t>- 2 -</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0 -</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15 -</w:t>
    </w:r>
    <w:r>
      <w:fldChar w:fldCharType="end"/>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36011"/>
    <w:multiLevelType w:val="multilevel"/>
    <w:tmpl w:val="A893601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7A21AC1"/>
    <w:multiLevelType w:val="singleLevel"/>
    <w:tmpl w:val="07A21AC1"/>
    <w:lvl w:ilvl="0" w:tentative="0">
      <w:start w:val="2"/>
      <w:numFmt w:val="decimal"/>
      <w:suff w:val="nothing"/>
      <w:lvlText w:val="%1、"/>
      <w:lvlJc w:val="left"/>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3E423036"/>
    <w:multiLevelType w:val="multilevel"/>
    <w:tmpl w:val="3E42303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05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765291"/>
    <w:multiLevelType w:val="multilevel"/>
    <w:tmpl w:val="3F7652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073D8E1"/>
    <w:multiLevelType w:val="singleLevel"/>
    <w:tmpl w:val="5073D8E1"/>
    <w:lvl w:ilvl="0" w:tentative="0">
      <w:start w:val="4"/>
      <w:numFmt w:val="decimal"/>
      <w:lvlText w:val="%1."/>
      <w:lvlJc w:val="left"/>
      <w:pPr>
        <w:tabs>
          <w:tab w:val="left" w:pos="312"/>
        </w:tabs>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ZmMwNTYwYWM3NjZjOGZjY2ZlY2VhMjBhNWY2MzMifQ=="/>
  </w:docVars>
  <w:rsids>
    <w:rsidRoot w:val="00040E61"/>
    <w:rsid w:val="00040E61"/>
    <w:rsid w:val="000B6306"/>
    <w:rsid w:val="002127A0"/>
    <w:rsid w:val="002446FC"/>
    <w:rsid w:val="0027208A"/>
    <w:rsid w:val="003B0877"/>
    <w:rsid w:val="003C137A"/>
    <w:rsid w:val="004F5BB6"/>
    <w:rsid w:val="00986DFE"/>
    <w:rsid w:val="00BB0375"/>
    <w:rsid w:val="00F37916"/>
    <w:rsid w:val="02B47F8A"/>
    <w:rsid w:val="04F90584"/>
    <w:rsid w:val="099E0166"/>
    <w:rsid w:val="0A58419C"/>
    <w:rsid w:val="0CB90E13"/>
    <w:rsid w:val="141C6FE6"/>
    <w:rsid w:val="1A02019C"/>
    <w:rsid w:val="1D691539"/>
    <w:rsid w:val="1D9A0C1C"/>
    <w:rsid w:val="27B81A32"/>
    <w:rsid w:val="288D3E74"/>
    <w:rsid w:val="297F714E"/>
    <w:rsid w:val="3B6169C8"/>
    <w:rsid w:val="3D4D1B4F"/>
    <w:rsid w:val="45D76405"/>
    <w:rsid w:val="56617F91"/>
    <w:rsid w:val="59746089"/>
    <w:rsid w:val="5CFC4A46"/>
    <w:rsid w:val="5D2B49E2"/>
    <w:rsid w:val="6397622C"/>
    <w:rsid w:val="655A23A2"/>
    <w:rsid w:val="66916375"/>
    <w:rsid w:val="670F14E6"/>
    <w:rsid w:val="72C9287B"/>
    <w:rsid w:val="74961DD9"/>
    <w:rsid w:val="7E80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0"/>
    <w:qFormat/>
    <w:uiPriority w:val="9"/>
    <w:pPr>
      <w:keepNext/>
      <w:keepLines/>
      <w:spacing w:line="416" w:lineRule="auto"/>
      <w:outlineLvl w:val="2"/>
    </w:pPr>
    <w:rPr>
      <w:b/>
      <w:bCs/>
      <w:sz w:val="32"/>
      <w:szCs w:val="32"/>
    </w:rPr>
  </w:style>
  <w:style w:type="paragraph" w:styleId="4">
    <w:name w:val="heading 4"/>
    <w:basedOn w:val="1"/>
    <w:next w:val="1"/>
    <w:link w:val="31"/>
    <w:qFormat/>
    <w:uiPriority w:val="0"/>
    <w:pPr>
      <w:keepNext/>
      <w:keepLines/>
      <w:spacing w:line="360" w:lineRule="auto"/>
      <w:outlineLvl w:val="3"/>
    </w:pPr>
    <w:rPr>
      <w:rFonts w:ascii="Arial" w:hAnsi="Arial"/>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pPr>
      <w:adjustRightInd w:val="0"/>
      <w:jc w:val="center"/>
      <w:textAlignment w:val="baseline"/>
    </w:pPr>
    <w:rPr>
      <w:rFonts w:ascii="仿宋体" w:hAnsi="Arial" w:eastAsia="仿宋体"/>
      <w:kern w:val="0"/>
      <w:sz w:val="28"/>
    </w:rPr>
  </w:style>
  <w:style w:type="paragraph" w:styleId="6">
    <w:name w:val="annotation text"/>
    <w:basedOn w:val="1"/>
    <w:link w:val="45"/>
    <w:qFormat/>
    <w:uiPriority w:val="99"/>
    <w:pPr>
      <w:jc w:val="left"/>
    </w:pPr>
    <w:rPr>
      <w:rFonts w:asciiTheme="minorHAnsi" w:hAnsiTheme="minorHAnsi" w:eastAsiaTheme="minorEastAsia" w:cstheme="minorBidi"/>
      <w:szCs w:val="22"/>
    </w:rPr>
  </w:style>
  <w:style w:type="paragraph" w:styleId="7">
    <w:name w:val="Body Text"/>
    <w:basedOn w:val="1"/>
    <w:link w:val="49"/>
    <w:qFormat/>
    <w:uiPriority w:val="0"/>
    <w:rPr>
      <w:rFonts w:ascii="仿宋_GB2312" w:eastAsia="仿宋_GB2312" w:hAnsiTheme="minorHAnsi" w:cstheme="minorBidi"/>
      <w:sz w:val="32"/>
      <w:szCs w:val="22"/>
    </w:rPr>
  </w:style>
  <w:style w:type="paragraph" w:styleId="8">
    <w:name w:val="Body Text Indent"/>
    <w:basedOn w:val="1"/>
    <w:link w:val="50"/>
    <w:unhideWhenUsed/>
    <w:qFormat/>
    <w:uiPriority w:val="99"/>
    <w:pPr>
      <w:spacing w:after="120"/>
      <w:ind w:left="420" w:leftChars="200"/>
    </w:pPr>
    <w:rPr>
      <w:rFonts w:ascii="Calibri" w:hAnsi="Calibri"/>
      <w:szCs w:val="22"/>
    </w:rPr>
  </w:style>
  <w:style w:type="paragraph" w:styleId="9">
    <w:name w:val="Plain Text"/>
    <w:basedOn w:val="1"/>
    <w:link w:val="37"/>
    <w:qFormat/>
    <w:uiPriority w:val="0"/>
    <w:rPr>
      <w:rFonts w:ascii="宋体" w:hAnsi="Courier New" w:cstheme="minorBidi"/>
      <w:szCs w:val="22"/>
    </w:rPr>
  </w:style>
  <w:style w:type="paragraph" w:styleId="10">
    <w:name w:val="Balloon Text"/>
    <w:basedOn w:val="1"/>
    <w:link w:val="47"/>
    <w:qFormat/>
    <w:uiPriority w:val="99"/>
    <w:rPr>
      <w:rFonts w:asciiTheme="minorHAnsi" w:hAnsiTheme="minorHAnsi" w:eastAsiaTheme="minorEastAsia" w:cstheme="minorBidi"/>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14">
    <w:name w:val="List"/>
    <w:basedOn w:val="1"/>
    <w:qFormat/>
    <w:uiPriority w:val="0"/>
    <w:pPr>
      <w:ind w:left="200" w:hanging="200" w:hangingChars="200"/>
    </w:pPr>
  </w:style>
  <w:style w:type="paragraph" w:styleId="15">
    <w:name w:val="toc 2"/>
    <w:basedOn w:val="1"/>
    <w:next w:val="1"/>
    <w:unhideWhenUsed/>
    <w:qFormat/>
    <w:uiPriority w:val="0"/>
    <w:pPr>
      <w:ind w:left="420" w:leftChars="200"/>
    </w:pPr>
  </w:style>
  <w:style w:type="paragraph" w:styleId="16">
    <w:name w:val="Title"/>
    <w:basedOn w:val="1"/>
    <w:next w:val="1"/>
    <w:link w:val="40"/>
    <w:qFormat/>
    <w:uiPriority w:val="0"/>
    <w:pPr>
      <w:adjustRightInd w:val="0"/>
      <w:spacing w:line="360" w:lineRule="auto"/>
      <w:textAlignment w:val="baseline"/>
      <w:outlineLvl w:val="0"/>
    </w:pPr>
    <w:rPr>
      <w:rFonts w:ascii="宋体" w:hAnsi="宋体" w:eastAsiaTheme="minorEastAsia" w:cstheme="minorBidi"/>
      <w:b/>
      <w:bCs/>
      <w:sz w:val="24"/>
      <w:szCs w:val="32"/>
    </w:rPr>
  </w:style>
  <w:style w:type="paragraph" w:styleId="17">
    <w:name w:val="annotation subject"/>
    <w:basedOn w:val="6"/>
    <w:next w:val="6"/>
    <w:link w:val="39"/>
    <w:qFormat/>
    <w:uiPriority w:val="0"/>
    <w:rPr>
      <w:b/>
      <w:bCs/>
    </w:rPr>
  </w:style>
  <w:style w:type="table" w:styleId="19">
    <w:name w:val="Table Grid"/>
    <w:basedOn w:val="1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rPr>
  </w:style>
  <w:style w:type="character" w:styleId="22">
    <w:name w:val="page number"/>
    <w:basedOn w:val="20"/>
    <w:qFormat/>
    <w:uiPriority w:val="0"/>
  </w:style>
  <w:style w:type="character" w:styleId="23">
    <w:name w:val="FollowedHyperlink"/>
    <w:qFormat/>
    <w:uiPriority w:val="99"/>
    <w:rPr>
      <w:color w:val="800080"/>
      <w:u w:val="single"/>
    </w:rPr>
  </w:style>
  <w:style w:type="character" w:styleId="24">
    <w:name w:val="Emphasis"/>
    <w:qFormat/>
    <w:uiPriority w:val="20"/>
    <w:rPr>
      <w:i/>
      <w:iCs/>
    </w:rPr>
  </w:style>
  <w:style w:type="character" w:styleId="25">
    <w:name w:val="Hyperlink"/>
    <w:semiHidden/>
    <w:qFormat/>
    <w:uiPriority w:val="99"/>
    <w:rPr>
      <w:rFonts w:cs="Times New Roman"/>
      <w:color w:val="1F4F88"/>
      <w:u w:val="none"/>
    </w:rPr>
  </w:style>
  <w:style w:type="character" w:styleId="26">
    <w:name w:val="annotation reference"/>
    <w:qFormat/>
    <w:uiPriority w:val="99"/>
    <w:rPr>
      <w:sz w:val="21"/>
      <w:szCs w:val="21"/>
    </w:rPr>
  </w:style>
  <w:style w:type="character" w:customStyle="1" w:styleId="27">
    <w:name w:val="页眉 Char"/>
    <w:basedOn w:val="20"/>
    <w:link w:val="12"/>
    <w:qFormat/>
    <w:uiPriority w:val="99"/>
    <w:rPr>
      <w:sz w:val="18"/>
      <w:szCs w:val="18"/>
    </w:rPr>
  </w:style>
  <w:style w:type="character" w:customStyle="1" w:styleId="28">
    <w:name w:val="页脚 Char"/>
    <w:basedOn w:val="20"/>
    <w:link w:val="11"/>
    <w:qFormat/>
    <w:uiPriority w:val="99"/>
    <w:rPr>
      <w:sz w:val="18"/>
      <w:szCs w:val="18"/>
    </w:rPr>
  </w:style>
  <w:style w:type="character" w:customStyle="1" w:styleId="29">
    <w:name w:val="标题 1 Char"/>
    <w:basedOn w:val="20"/>
    <w:link w:val="2"/>
    <w:qFormat/>
    <w:uiPriority w:val="0"/>
    <w:rPr>
      <w:rFonts w:ascii="Times New Roman" w:hAnsi="Times New Roman" w:eastAsia="宋体" w:cs="Times New Roman"/>
      <w:b/>
      <w:bCs/>
      <w:kern w:val="44"/>
      <w:sz w:val="44"/>
      <w:szCs w:val="44"/>
    </w:rPr>
  </w:style>
  <w:style w:type="character" w:customStyle="1" w:styleId="30">
    <w:name w:val="标题 3 Char"/>
    <w:basedOn w:val="20"/>
    <w:link w:val="3"/>
    <w:qFormat/>
    <w:uiPriority w:val="9"/>
    <w:rPr>
      <w:rFonts w:ascii="Times New Roman" w:hAnsi="Times New Roman" w:eastAsia="宋体" w:cs="Times New Roman"/>
      <w:b/>
      <w:bCs/>
      <w:sz w:val="32"/>
      <w:szCs w:val="32"/>
    </w:rPr>
  </w:style>
  <w:style w:type="character" w:customStyle="1" w:styleId="31">
    <w:name w:val="标题 4 Char"/>
    <w:basedOn w:val="20"/>
    <w:link w:val="4"/>
    <w:qFormat/>
    <w:uiPriority w:val="0"/>
    <w:rPr>
      <w:rFonts w:ascii="Arial" w:hAnsi="Arial" w:eastAsia="宋体" w:cs="Times New Roman"/>
      <w:bCs/>
      <w:szCs w:val="28"/>
    </w:rPr>
  </w:style>
  <w:style w:type="character" w:customStyle="1" w:styleId="32">
    <w:name w:val="font31"/>
    <w:qFormat/>
    <w:uiPriority w:val="0"/>
    <w:rPr>
      <w:rFonts w:hint="default" w:ascii="Times New Roman" w:hAnsi="Times New Roman" w:cs="Times New Roman"/>
      <w:color w:val="000000"/>
      <w:sz w:val="18"/>
      <w:szCs w:val="18"/>
      <w:u w:val="none"/>
    </w:rPr>
  </w:style>
  <w:style w:type="character" w:customStyle="1" w:styleId="33">
    <w:name w:val="纯文本 Char"/>
    <w:qFormat/>
    <w:uiPriority w:val="0"/>
    <w:rPr>
      <w:rFonts w:ascii="宋体" w:hAnsi="Courier New" w:eastAsia="宋体"/>
      <w:kern w:val="2"/>
      <w:sz w:val="21"/>
      <w:lang w:val="en-US" w:eastAsia="zh-CN" w:bidi="ar-SA"/>
    </w:rPr>
  </w:style>
  <w:style w:type="character" w:customStyle="1" w:styleId="34">
    <w:name w:val="apple-converted-space"/>
    <w:basedOn w:val="20"/>
    <w:qFormat/>
    <w:uiPriority w:val="0"/>
  </w:style>
  <w:style w:type="character" w:customStyle="1" w:styleId="35">
    <w:name w:val="正文文本 Char"/>
    <w:qFormat/>
    <w:uiPriority w:val="0"/>
    <w:rPr>
      <w:rFonts w:ascii="仿宋_GB2312" w:eastAsia="仿宋_GB2312"/>
      <w:kern w:val="2"/>
      <w:sz w:val="32"/>
    </w:rPr>
  </w:style>
  <w:style w:type="character" w:customStyle="1" w:styleId="36">
    <w:name w:val="标题 Char1"/>
    <w:qFormat/>
    <w:uiPriority w:val="0"/>
    <w:rPr>
      <w:rFonts w:ascii="Cambria" w:hAnsi="Cambria" w:cs="Times New Roman"/>
      <w:b/>
      <w:bCs/>
      <w:kern w:val="2"/>
      <w:sz w:val="32"/>
      <w:szCs w:val="32"/>
    </w:rPr>
  </w:style>
  <w:style w:type="character" w:customStyle="1" w:styleId="37">
    <w:name w:val="纯文本 Char1"/>
    <w:link w:val="9"/>
    <w:qFormat/>
    <w:uiPriority w:val="0"/>
    <w:rPr>
      <w:rFonts w:ascii="宋体" w:hAnsi="Courier New" w:eastAsia="宋体"/>
    </w:rPr>
  </w:style>
  <w:style w:type="character" w:customStyle="1" w:styleId="38">
    <w:name w:val="Char Char2"/>
    <w:qFormat/>
    <w:uiPriority w:val="0"/>
    <w:rPr>
      <w:rFonts w:ascii="宋体" w:hAnsi="Courier New" w:cs="宋体"/>
      <w:kern w:val="2"/>
      <w:sz w:val="21"/>
      <w:szCs w:val="21"/>
    </w:rPr>
  </w:style>
  <w:style w:type="character" w:customStyle="1" w:styleId="39">
    <w:name w:val="批注主题 Char"/>
    <w:link w:val="17"/>
    <w:qFormat/>
    <w:uiPriority w:val="0"/>
    <w:rPr>
      <w:b/>
      <w:bCs/>
    </w:rPr>
  </w:style>
  <w:style w:type="character" w:customStyle="1" w:styleId="40">
    <w:name w:val="标题 Char"/>
    <w:link w:val="16"/>
    <w:qFormat/>
    <w:uiPriority w:val="0"/>
    <w:rPr>
      <w:rFonts w:ascii="宋体" w:hAnsi="宋体"/>
      <w:b/>
      <w:bCs/>
      <w:sz w:val="24"/>
      <w:szCs w:val="32"/>
    </w:rPr>
  </w:style>
  <w:style w:type="character" w:customStyle="1" w:styleId="41">
    <w:name w:val="Char Char3"/>
    <w:qFormat/>
    <w:uiPriority w:val="0"/>
    <w:rPr>
      <w:rFonts w:ascii="宋体" w:hAnsi="Courier New" w:eastAsia="宋体"/>
      <w:kern w:val="2"/>
      <w:sz w:val="21"/>
      <w:lang w:val="en-US" w:eastAsia="zh-CN" w:bidi="ar-SA"/>
    </w:rPr>
  </w:style>
  <w:style w:type="character" w:customStyle="1" w:styleId="42">
    <w:name w:val="HTML Markup"/>
    <w:qFormat/>
    <w:uiPriority w:val="0"/>
    <w:rPr>
      <w:vanish/>
      <w:color w:val="FF0000"/>
    </w:rPr>
  </w:style>
  <w:style w:type="character" w:customStyle="1" w:styleId="43">
    <w:name w:val="正文文本缩进 Char"/>
    <w:link w:val="44"/>
    <w:qFormat/>
    <w:uiPriority w:val="0"/>
  </w:style>
  <w:style w:type="paragraph" w:customStyle="1" w:styleId="44">
    <w:name w:val="正文文本缩进1"/>
    <w:basedOn w:val="1"/>
    <w:link w:val="43"/>
    <w:qFormat/>
    <w:uiPriority w:val="0"/>
    <w:pPr>
      <w:spacing w:after="120"/>
      <w:ind w:left="420" w:leftChars="200"/>
    </w:pPr>
    <w:rPr>
      <w:rFonts w:asciiTheme="minorHAnsi" w:hAnsiTheme="minorHAnsi" w:eastAsiaTheme="minorEastAsia" w:cstheme="minorBidi"/>
      <w:szCs w:val="22"/>
    </w:rPr>
  </w:style>
  <w:style w:type="character" w:customStyle="1" w:styleId="45">
    <w:name w:val="批注文字 Char"/>
    <w:link w:val="6"/>
    <w:qFormat/>
    <w:uiPriority w:val="99"/>
  </w:style>
  <w:style w:type="character" w:customStyle="1" w:styleId="46">
    <w:name w:val="font41"/>
    <w:qFormat/>
    <w:uiPriority w:val="0"/>
    <w:rPr>
      <w:rFonts w:hint="eastAsia" w:ascii="宋体" w:hAnsi="宋体" w:eastAsia="宋体" w:cs="宋体"/>
      <w:color w:val="000000"/>
      <w:sz w:val="18"/>
      <w:szCs w:val="18"/>
      <w:u w:val="none"/>
    </w:rPr>
  </w:style>
  <w:style w:type="character" w:customStyle="1" w:styleId="47">
    <w:name w:val="批注框文本 Char"/>
    <w:link w:val="10"/>
    <w:qFormat/>
    <w:uiPriority w:val="99"/>
    <w:rPr>
      <w:sz w:val="18"/>
      <w:szCs w:val="18"/>
    </w:rPr>
  </w:style>
  <w:style w:type="character" w:customStyle="1" w:styleId="48">
    <w:name w:val="Char Char5"/>
    <w:qFormat/>
    <w:uiPriority w:val="0"/>
    <w:rPr>
      <w:rFonts w:ascii="宋体" w:hAnsi="Courier New" w:eastAsia="宋体"/>
      <w:kern w:val="2"/>
      <w:sz w:val="21"/>
      <w:lang w:val="en-US" w:eastAsia="zh-CN" w:bidi="ar-SA"/>
    </w:rPr>
  </w:style>
  <w:style w:type="character" w:customStyle="1" w:styleId="49">
    <w:name w:val="正文文本 Char1"/>
    <w:link w:val="7"/>
    <w:qFormat/>
    <w:uiPriority w:val="0"/>
    <w:rPr>
      <w:rFonts w:ascii="仿宋_GB2312" w:eastAsia="仿宋_GB2312"/>
      <w:sz w:val="32"/>
    </w:rPr>
  </w:style>
  <w:style w:type="character" w:customStyle="1" w:styleId="50">
    <w:name w:val="正文文本缩进 Char1"/>
    <w:link w:val="8"/>
    <w:qFormat/>
    <w:uiPriority w:val="99"/>
    <w:rPr>
      <w:rFonts w:ascii="Calibri" w:hAnsi="Calibri" w:eastAsia="宋体" w:cs="Times New Roman"/>
    </w:rPr>
  </w:style>
  <w:style w:type="paragraph" w:customStyle="1" w:styleId="51">
    <w:name w:val="1"/>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52">
    <w:name w:val="标题 Char2"/>
    <w:basedOn w:val="20"/>
    <w:qFormat/>
    <w:uiPriority w:val="10"/>
    <w:rPr>
      <w:rFonts w:eastAsia="宋体" w:asciiTheme="majorHAnsi" w:hAnsiTheme="majorHAnsi" w:cstheme="majorBidi"/>
      <w:b/>
      <w:bCs/>
      <w:sz w:val="32"/>
      <w:szCs w:val="32"/>
    </w:rPr>
  </w:style>
  <w:style w:type="character" w:customStyle="1" w:styleId="53">
    <w:name w:val="纯文本 Char2"/>
    <w:basedOn w:val="20"/>
    <w:semiHidden/>
    <w:qFormat/>
    <w:uiPriority w:val="99"/>
    <w:rPr>
      <w:rFonts w:ascii="宋体" w:hAnsi="Courier New" w:eastAsia="宋体" w:cs="Courier New"/>
      <w:szCs w:val="21"/>
    </w:rPr>
  </w:style>
  <w:style w:type="paragraph" w:customStyle="1" w:styleId="54">
    <w:name w:val="二级列表 Char"/>
    <w:basedOn w:val="1"/>
    <w:qFormat/>
    <w:uiPriority w:val="0"/>
    <w:rPr>
      <w:rFonts w:ascii="Calibri" w:hAnsi="Calibri"/>
    </w:rPr>
  </w:style>
  <w:style w:type="paragraph" w:customStyle="1" w:styleId="55">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56">
    <w:name w:val="正文文本缩进 Char2"/>
    <w:basedOn w:val="20"/>
    <w:semiHidden/>
    <w:qFormat/>
    <w:uiPriority w:val="99"/>
    <w:rPr>
      <w:rFonts w:ascii="Times New Roman" w:hAnsi="Times New Roman" w:eastAsia="宋体" w:cs="Times New Roman"/>
      <w:szCs w:val="20"/>
    </w:rPr>
  </w:style>
  <w:style w:type="paragraph" w:customStyle="1" w:styleId="5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character" w:customStyle="1" w:styleId="58">
    <w:name w:val="正文文本 Char2"/>
    <w:basedOn w:val="20"/>
    <w:semiHidden/>
    <w:qFormat/>
    <w:uiPriority w:val="99"/>
    <w:rPr>
      <w:rFonts w:ascii="Times New Roman" w:hAnsi="Times New Roman" w:eastAsia="宋体" w:cs="Times New Roman"/>
      <w:szCs w:val="20"/>
    </w:rPr>
  </w:style>
  <w:style w:type="character" w:customStyle="1" w:styleId="59">
    <w:name w:val="批注框文本 Char1"/>
    <w:basedOn w:val="20"/>
    <w:semiHidden/>
    <w:qFormat/>
    <w:uiPriority w:val="99"/>
    <w:rPr>
      <w:rFonts w:ascii="Times New Roman" w:hAnsi="Times New Roman" w:eastAsia="宋体" w:cs="Times New Roman"/>
      <w:sz w:val="18"/>
      <w:szCs w:val="18"/>
    </w:rPr>
  </w:style>
  <w:style w:type="character" w:customStyle="1" w:styleId="60">
    <w:name w:val="批注文字 Char1"/>
    <w:basedOn w:val="20"/>
    <w:semiHidden/>
    <w:qFormat/>
    <w:uiPriority w:val="99"/>
    <w:rPr>
      <w:rFonts w:ascii="Times New Roman" w:hAnsi="Times New Roman" w:eastAsia="宋体" w:cs="Times New Roman"/>
      <w:szCs w:val="20"/>
    </w:rPr>
  </w:style>
  <w:style w:type="paragraph" w:styleId="61">
    <w:name w:val="List Paragraph"/>
    <w:basedOn w:val="1"/>
    <w:qFormat/>
    <w:uiPriority w:val="34"/>
    <w:pPr>
      <w:ind w:firstLine="420" w:firstLineChars="200"/>
    </w:pPr>
    <w:rPr>
      <w:rFonts w:ascii="Calibri" w:hAnsi="Calibri"/>
      <w:szCs w:val="22"/>
    </w:rPr>
  </w:style>
  <w:style w:type="character" w:customStyle="1" w:styleId="62">
    <w:name w:val="批注主题 Char1"/>
    <w:basedOn w:val="60"/>
    <w:semiHidden/>
    <w:qFormat/>
    <w:uiPriority w:val="99"/>
    <w:rPr>
      <w:rFonts w:ascii="Times New Roman" w:hAnsi="Times New Roman" w:eastAsia="宋体" w:cs="Times New Roman"/>
      <w:b/>
      <w:bCs/>
      <w:szCs w:val="20"/>
    </w:rPr>
  </w:style>
  <w:style w:type="paragraph" w:customStyle="1" w:styleId="63">
    <w:name w:val="列出段落1"/>
    <w:basedOn w:val="1"/>
    <w:qFormat/>
    <w:uiPriority w:val="34"/>
    <w:pPr>
      <w:ind w:firstLine="420" w:firstLineChars="200"/>
    </w:pPr>
    <w:rPr>
      <w:rFonts w:ascii="Calibri" w:hAnsi="Calibri"/>
      <w:szCs w:val="22"/>
    </w:rPr>
  </w:style>
  <w:style w:type="paragraph" w:customStyle="1" w:styleId="6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character" w:customStyle="1" w:styleId="65">
    <w:name w:val="font01"/>
    <w:basedOn w:val="20"/>
    <w:qFormat/>
    <w:uiPriority w:val="0"/>
    <w:rPr>
      <w:rFonts w:hint="default" w:ascii="Microsoft YaHei Light" w:hAnsi="Microsoft YaHei Light" w:eastAsia="Microsoft YaHei Light" w:cs="Microsoft YaHei Light"/>
      <w:color w:val="000000"/>
      <w:sz w:val="22"/>
      <w:szCs w:val="22"/>
      <w:u w:val="none"/>
    </w:rPr>
  </w:style>
  <w:style w:type="character" w:customStyle="1" w:styleId="66">
    <w:name w:val="font11"/>
    <w:basedOn w:val="20"/>
    <w:qFormat/>
    <w:uiPriority w:val="0"/>
    <w:rPr>
      <w:rFonts w:hint="eastAsia" w:ascii="宋体" w:hAnsi="宋体" w:eastAsia="宋体" w:cs="宋体"/>
      <w:color w:val="000000"/>
      <w:sz w:val="22"/>
      <w:szCs w:val="22"/>
      <w:u w:val="none"/>
    </w:rPr>
  </w:style>
  <w:style w:type="character" w:customStyle="1" w:styleId="67">
    <w:name w:val="font5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20938</Words>
  <Characters>21816</Characters>
  <Lines>169</Lines>
  <Paragraphs>47</Paragraphs>
  <TotalTime>226</TotalTime>
  <ScaleCrop>false</ScaleCrop>
  <LinksUpToDate>false</LinksUpToDate>
  <CharactersWithSpaces>22620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2021-09-02T04:35:00Z</dcterms:created>
  <dc:creator>Administrator</dc:creator>
  <cp:lastModifiedBy>WPS_1682658489</cp:lastModifiedBy>
  <dcterms:modified xsi:type="dcterms:W3CDTF">2023-06-09T02:00:33Z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EF30531576124A33AFA8133084D1AA55</vt:lpwstr>
  </property>
</Properties>
</file>