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spacing w:line="276" w:lineRule="auto"/>
        <w:jc w:val="center"/>
        <w:rPr>
          <w:rFonts w:hint="eastAsia" w:ascii="Calibri" w:hAnsi="宋体" w:eastAsia="宋体" w:cs="Times New Roman"/>
          <w:b/>
          <w:bCs/>
          <w:color w:val="000000"/>
          <w:spacing w:val="-8"/>
          <w:sz w:val="52"/>
          <w:szCs w:val="52"/>
          <w:lang w:eastAsia="zh-CN"/>
        </w:rPr>
      </w:pPr>
      <w:r>
        <w:rPr>
          <w:rFonts w:hint="eastAsia" w:ascii="Calibri" w:hAnsi="宋体" w:eastAsia="宋体" w:cs="Times New Roman"/>
          <w:b/>
          <w:bCs/>
          <w:color w:val="000000"/>
          <w:spacing w:val="-8"/>
          <w:sz w:val="52"/>
          <w:szCs w:val="52"/>
          <w:lang w:eastAsia="zh-CN"/>
        </w:rPr>
        <w:t>中国重汽集团</w:t>
      </w:r>
      <w:bookmarkStart w:id="168" w:name="_GoBack"/>
      <w:bookmarkEnd w:id="168"/>
      <w:r>
        <w:rPr>
          <w:rFonts w:hint="eastAsia" w:ascii="Calibri" w:hAnsi="宋体" w:eastAsia="宋体" w:cs="Times New Roman"/>
          <w:b/>
          <w:bCs/>
          <w:color w:val="000000"/>
          <w:spacing w:val="-8"/>
          <w:sz w:val="52"/>
          <w:szCs w:val="52"/>
          <w:lang w:eastAsia="zh-CN"/>
        </w:rPr>
        <w:t>济南商用车有限公司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52"/>
          <w:szCs w:val="52"/>
          <w:lang w:val="en-US" w:eastAsia="zh-CN"/>
        </w:rPr>
        <w:t>皮卡装配优化</w:t>
      </w:r>
      <w:r>
        <w:rPr>
          <w:rFonts w:hint="eastAsia" w:ascii="Calibri" w:hAnsi="宋体" w:eastAsia="宋体" w:cs="Times New Roman"/>
          <w:b/>
          <w:bCs/>
          <w:color w:val="000000"/>
          <w:spacing w:val="-8"/>
          <w:sz w:val="52"/>
          <w:szCs w:val="52"/>
          <w:highlight w:val="none"/>
          <w:lang w:eastAsia="zh-CN"/>
        </w:rPr>
        <w:t>项目</w:t>
      </w:r>
    </w:p>
    <w:p>
      <w:pPr>
        <w:spacing w:line="276" w:lineRule="auto"/>
        <w:jc w:val="center"/>
        <w:rPr>
          <w:rFonts w:hint="default" w:ascii="Calibri" w:hAnsi="宋体" w:eastAsia="宋体" w:cs="Times New Roman"/>
          <w:b/>
          <w:bCs/>
          <w:color w:val="000000"/>
          <w:spacing w:val="-8"/>
          <w:kern w:val="2"/>
          <w:sz w:val="72"/>
          <w:szCs w:val="72"/>
          <w:lang w:val="en-US" w:eastAsia="zh-CN" w:bidi="ar-SA"/>
        </w:rPr>
      </w:pPr>
    </w:p>
    <w:p>
      <w:pPr>
        <w:pStyle w:val="17"/>
        <w:rPr>
          <w:rFonts w:hint="eastAsia"/>
          <w:lang w:eastAsia="zh-CN"/>
        </w:rPr>
      </w:pPr>
    </w:p>
    <w:p>
      <w:pPr>
        <w:pStyle w:val="17"/>
        <w:rPr>
          <w:rFonts w:hint="eastAsia"/>
          <w:lang w:eastAsia="zh-CN"/>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17"/>
        <w:rPr>
          <w:b/>
          <w:bCs/>
        </w:rPr>
      </w:pPr>
    </w:p>
    <w:p>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中国重汽集团济南商用车有限公司</w:t>
      </w:r>
    </w:p>
    <w:p>
      <w:pPr>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202</w:t>
      </w: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000000"/>
          <w:sz w:val="28"/>
          <w:szCs w:val="28"/>
          <w:highlight w:val="none"/>
        </w:rPr>
        <w:t>年</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月</w:t>
      </w:r>
    </w:p>
    <w:p>
      <w:pPr>
        <w:keepNext/>
        <w:keepLines/>
        <w:jc w:val="center"/>
        <w:rPr>
          <w:rFonts w:hint="eastAsia" w:ascii="宋体" w:hAnsi="宋体" w:eastAsia="宋体" w:cs="宋体"/>
          <w:b/>
          <w:bCs/>
          <w:kern w:val="44"/>
          <w:sz w:val="36"/>
          <w:szCs w:val="44"/>
          <w:highlight w:val="none"/>
        </w:rPr>
        <w:sectPr>
          <w:footerReference r:id="rId4" w:type="first"/>
          <w:footerReference r:id="rId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48</w:t>
          </w:r>
        </w:p>
        <w:p>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Calibri" w:hAnsi="Calibri" w:eastAsia="宋体" w:cs="Times New Roman"/>
              <w:bCs/>
              <w:kern w:val="44"/>
              <w:szCs w:val="44"/>
            </w:rPr>
            <w:fldChar w:fldCharType="end"/>
          </w:r>
        </w:p>
      </w:sdtContent>
    </w:sdt>
    <w:p>
      <w:pPr>
        <w:pStyle w:val="17"/>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6"/>
                <w:rFonts w:ascii="宋体" w:hAnsi="宋体" w:eastAsia="宋体" w:cs="宋体"/>
                <w:b/>
                <w:sz w:val="28"/>
                <w:szCs w:val="28"/>
              </w:rPr>
            </w:pPr>
            <w:bookmarkStart w:id="3" w:name="_Toc346372875"/>
            <w:r>
              <w:rPr>
                <w:rStyle w:val="136"/>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6"/>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项目名称：</w:t>
            </w:r>
            <w:r>
              <w:rPr>
                <w:rFonts w:hint="eastAsia" w:ascii="宋体" w:hAnsi="宋体" w:eastAsia="宋体" w:cs="宋体"/>
                <w:b/>
                <w:bCs/>
                <w:sz w:val="24"/>
                <w:szCs w:val="24"/>
                <w:lang w:val="en-US" w:eastAsia="zh-CN"/>
              </w:rPr>
              <w:t>皮卡装配优化项目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b/>
                <w:bCs/>
                <w:sz w:val="24"/>
                <w:szCs w:val="24"/>
                <w:highlight w:val="yellow"/>
              </w:rPr>
              <w:t>CGZX202310027</w:t>
            </w:r>
            <w:r>
              <w:rPr>
                <w:rFonts w:hint="eastAsia" w:ascii="宋体" w:hAnsi="宋体" w:eastAsia="宋体" w:cs="宋体"/>
                <w:b/>
                <w:bCs/>
                <w:sz w:val="24"/>
                <w:szCs w:val="24"/>
                <w:highlight w:val="yellow"/>
                <w:lang w:val="en-US" w:eastAsia="zh-CN"/>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shd w:val="clear" w:color="auto" w:fill="auto"/>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w:t>
            </w:r>
            <w:r>
              <w:rPr>
                <w:rFonts w:hint="eastAsia" w:ascii="宋体" w:hAnsi="宋体" w:eastAsia="宋体" w:cs="宋体"/>
                <w:b/>
                <w:bCs/>
                <w:sz w:val="24"/>
                <w:szCs w:val="24"/>
                <w:highlight w:val="none"/>
                <w:lang w:val="en-US" w:eastAsia="zh-CN"/>
              </w:rPr>
              <w:t>采购一批皮卡整车零部件装配工装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shd w:val="clear" w:color="auto" w:fill="auto"/>
            <w:vAlign w:val="center"/>
          </w:tcPr>
          <w:p>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shd w:val="clear" w:fill="FFFF00"/>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中国重汽集团济南商用车有限公司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山东省济南市章丘区圣井街道潘王路</w:t>
            </w:r>
            <w:r>
              <w:rPr>
                <w:rFonts w:hint="eastAsia" w:ascii="宋体" w:hAnsi="宋体" w:eastAsia="宋体" w:cs="宋体"/>
                <w:sz w:val="24"/>
                <w:szCs w:val="24"/>
                <w:highlight w:val="none"/>
                <w:u w:val="single"/>
                <w:lang w:val="en-US" w:eastAsia="zh-CN"/>
              </w:rPr>
              <w:t>东园区十一号路北</w:t>
            </w:r>
            <w:r>
              <w:rPr>
                <w:rFonts w:hint="eastAsia" w:ascii="宋体" w:hAnsi="宋体" w:eastAsia="宋体" w:cs="宋体"/>
                <w:sz w:val="24"/>
                <w:szCs w:val="24"/>
                <w:highlight w:val="none"/>
                <w:u w:val="single"/>
              </w:rPr>
              <w:t xml:space="preserve"> </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喻新</w:t>
            </w:r>
          </w:p>
          <w:p>
            <w:pPr>
              <w:pStyle w:val="17"/>
              <w:ind w:firstLine="482" w:firstLineChars="200"/>
              <w:rPr>
                <w:rFonts w:hint="default" w:eastAsia="宋体"/>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
                <w:snapToGrid w:val="0"/>
                <w:kern w:val="0"/>
                <w:sz w:val="24"/>
                <w:szCs w:val="24"/>
                <w:highlight w:val="none"/>
                <w:lang w:val="en-US" w:eastAsia="zh-CN"/>
              </w:rPr>
              <w:t>17853167618</w:t>
            </w:r>
          </w:p>
          <w:p>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
                <w:snapToGrid w:val="0"/>
                <w:kern w:val="0"/>
                <w:sz w:val="24"/>
                <w:szCs w:val="24"/>
                <w:highlight w:val="none"/>
                <w:lang w:val="en-US" w:eastAsia="zh-CN"/>
              </w:rPr>
              <w:t>qkbyuxin@sinotruk.com</w:t>
            </w:r>
          </w:p>
          <w:p>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技术</w:t>
            </w:r>
            <w:r>
              <w:rPr>
                <w:rFonts w:hint="eastAsia" w:ascii="宋体" w:hAnsi="宋体" w:eastAsia="宋体" w:cs="宋体"/>
                <w:b/>
                <w:bCs/>
                <w:sz w:val="24"/>
                <w:szCs w:val="24"/>
              </w:rPr>
              <w:t>联系人：</w:t>
            </w:r>
            <w:r>
              <w:rPr>
                <w:rFonts w:hint="eastAsia" w:ascii="宋体" w:hAnsi="宋体" w:eastAsia="宋体" w:cs="宋体"/>
                <w:b/>
                <w:bCs/>
                <w:sz w:val="24"/>
                <w:szCs w:val="24"/>
                <w:lang w:val="en-US" w:eastAsia="zh-CN"/>
              </w:rPr>
              <w:t>董阳</w:t>
            </w:r>
          </w:p>
          <w:p>
            <w:pPr>
              <w:ind w:firstLine="482" w:firstLineChars="200"/>
              <w:rPr>
                <w:rFonts w:hint="eastAsia" w:ascii="宋体" w:hAnsi="宋体" w:eastAsia="宋体" w:cs="宋体"/>
                <w:bCs/>
                <w:snapToGrid w:val="0"/>
                <w:kern w:val="0"/>
                <w:sz w:val="24"/>
                <w:szCs w:val="24"/>
                <w:highlight w:val="none"/>
                <w:lang w:val="en-US" w:eastAsia="zh-CN" w:bidi="ar-SA"/>
              </w:rPr>
            </w:pPr>
            <w:r>
              <w:rPr>
                <w:rFonts w:hint="eastAsia" w:ascii="宋体" w:hAnsi="宋体" w:eastAsia="宋体" w:cs="宋体"/>
                <w:b/>
                <w:bCs/>
                <w:sz w:val="24"/>
                <w:szCs w:val="24"/>
              </w:rPr>
              <w:t>电话：16653177520</w:t>
            </w:r>
          </w:p>
          <w:p>
            <w:pPr>
              <w:keepNext w:val="0"/>
              <w:keepLines w:val="0"/>
              <w:widowControl w:val="0"/>
              <w:suppressLineNumbers w:val="0"/>
              <w:spacing w:before="0" w:beforeAutospacing="0" w:after="0" w:afterAutospacing="0"/>
              <w:ind w:left="0" w:right="0" w:firstLine="482" w:firstLineChars="200"/>
              <w:jc w:val="both"/>
              <w:rPr>
                <w:rFonts w:hint="default"/>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：dongyang@sinotruk.com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表面处理费用、运杂费（包括现场卸车费）、设计、制造、安装、调试（含现场调试）、调试板料费，样件生产及包装运输费、验收、技术及售后服务费、技术资料费、备品备件费、随机资料、保险、税费、运杂、安装调试、与其他专业配合及可预见的风险以及其它不可预见等全部费。</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24"/>
              <w:ind w:firstLine="482" w:firstLineChars="200"/>
              <w:rPr>
                <w:rFonts w:hint="default" w:eastAsia="宋体"/>
                <w:lang w:val="en-US" w:eastAsia="zh-CN"/>
              </w:rPr>
            </w:pPr>
            <w:r>
              <w:rPr>
                <w:rFonts w:hint="eastAsia" w:ascii="宋体" w:hAnsi="宋体" w:eastAsia="宋体" w:cs="宋体"/>
                <w:b/>
                <w:bCs/>
                <w:caps w:val="0"/>
                <w:color w:val="auto"/>
                <w:kern w:val="2"/>
                <w:sz w:val="24"/>
                <w:szCs w:val="24"/>
                <w:lang w:val="en-US" w:eastAsia="zh-CN" w:bidi="ar-SA"/>
              </w:rPr>
              <w:t>投标限价：</w:t>
            </w:r>
            <w:r>
              <w:rPr>
                <w:rFonts w:hint="eastAsia" w:cs="宋体"/>
                <w:b/>
                <w:bCs/>
                <w:caps w:val="0"/>
                <w:color w:val="auto"/>
                <w:kern w:val="2"/>
                <w:sz w:val="24"/>
                <w:szCs w:val="24"/>
                <w:highlight w:val="yellow"/>
                <w:lang w:val="en-US" w:eastAsia="zh-CN" w:bidi="ar-SA"/>
              </w:rPr>
              <w:t>50</w:t>
            </w:r>
            <w:r>
              <w:rPr>
                <w:rFonts w:hint="eastAsia" w:ascii="宋体" w:hAnsi="宋体" w:eastAsia="宋体" w:cs="宋体"/>
                <w:b/>
                <w:bCs/>
                <w:caps w:val="0"/>
                <w:color w:val="auto"/>
                <w:kern w:val="2"/>
                <w:sz w:val="24"/>
                <w:szCs w:val="24"/>
                <w:lang w:val="en-US" w:eastAsia="zh-CN" w:bidi="ar-SA"/>
              </w:rPr>
              <w:t>万（含税），超过投标限价无法投标。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500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lang w:val="en-US" w:eastAsia="zh-CN"/>
              </w:rPr>
              <w:t>三</w:t>
            </w:r>
            <w:r>
              <w:rPr>
                <w:rFonts w:hint="eastAsia" w:ascii="宋体" w:hAnsi="宋体" w:eastAsia="宋体" w:cs="宋体"/>
                <w:b/>
                <w:color w:val="000000"/>
                <w:sz w:val="24"/>
                <w:szCs w:val="24"/>
                <w:highlight w:val="yellow"/>
                <w:u w:val="single"/>
              </w:rPr>
              <w:t>年以上</w:t>
            </w:r>
            <w:r>
              <w:rPr>
                <w:rFonts w:hint="eastAsia" w:ascii="宋体" w:hAnsi="宋体" w:eastAsia="宋体" w:cs="宋体"/>
                <w:color w:val="000000"/>
                <w:sz w:val="24"/>
                <w:szCs w:val="24"/>
              </w:rPr>
              <w:t>（以营业执照成立日期到开标当日满</w:t>
            </w:r>
            <w:r>
              <w:rPr>
                <w:rFonts w:hint="eastAsia" w:hAnsi="宋体" w:eastAsia="宋体" w:cs="宋体"/>
                <w:color w:val="000000"/>
                <w:sz w:val="24"/>
                <w:szCs w:val="24"/>
                <w:lang w:val="en-US" w:eastAsia="zh-CN"/>
              </w:rPr>
              <w:t>三</w:t>
            </w:r>
            <w:r>
              <w:rPr>
                <w:rFonts w:hint="eastAsia" w:ascii="宋体" w:hAnsi="宋体" w:eastAsia="宋体" w:cs="宋体"/>
                <w:color w:val="000000"/>
                <w:sz w:val="24"/>
                <w:szCs w:val="24"/>
              </w:rPr>
              <w:t>年为准），且经营范围满足招标人需求；并在人员、设备、资金等方面具有承担本项目的能力；</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4.拟投标人在“国家企业信用信息公示系统”、“中国执行信息公开网”、“信用中国”、“天眼查”“裁判文书网”等信息平台中，无行政处罚及失信记录等信息；</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w:t>
            </w:r>
            <w:r>
              <w:rPr>
                <w:rFonts w:hint="eastAsia" w:hAnsi="宋体" w:eastAsia="宋体" w:cs="宋体"/>
                <w:color w:val="000000"/>
                <w:sz w:val="24"/>
                <w:szCs w:val="24"/>
              </w:rPr>
              <w:t>拟投标人</w:t>
            </w:r>
            <w:r>
              <w:rPr>
                <w:rFonts w:hint="eastAsia" w:hAnsi="宋体" w:eastAsia="宋体" w:cs="宋体"/>
                <w:sz w:val="24"/>
                <w:szCs w:val="24"/>
                <w:highlight w:val="yellow"/>
                <w:lang w:eastAsia="zh-CN"/>
              </w:rPr>
              <w:t>2020年1月1日</w:t>
            </w:r>
            <w:r>
              <w:rPr>
                <w:rFonts w:hint="eastAsia" w:hAnsi="宋体" w:eastAsia="宋体" w:cs="宋体"/>
                <w:sz w:val="24"/>
                <w:szCs w:val="24"/>
              </w:rPr>
              <w:t>至今</w:t>
            </w:r>
            <w:r>
              <w:rPr>
                <w:rFonts w:hint="eastAsia" w:ascii="宋体" w:hAnsi="宋体" w:eastAsia="宋体" w:cs="宋体"/>
                <w:color w:val="000000"/>
                <w:sz w:val="24"/>
                <w:szCs w:val="24"/>
                <w:highlight w:val="none"/>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p>
          <w:p>
            <w:pPr>
              <w:pStyle w:val="17"/>
              <w:ind w:firstLine="480" w:firstLineChars="200"/>
              <w:rPr>
                <w:rFonts w:hint="eastAsia" w:hAnsi="宋体" w:eastAsia="宋体" w:cs="宋体"/>
                <w:kern w:val="0"/>
                <w:sz w:val="24"/>
                <w:szCs w:val="24"/>
                <w:highlight w:val="yellow"/>
                <w:lang w:eastAsia="zh-CN" w:bidi="ar"/>
              </w:rPr>
            </w:pPr>
            <w:r>
              <w:rPr>
                <w:rFonts w:hint="eastAsia" w:hAnsi="宋体" w:eastAsia="宋体" w:cs="宋体"/>
                <w:color w:val="000000"/>
                <w:kern w:val="0"/>
                <w:sz w:val="24"/>
                <w:szCs w:val="24"/>
                <w:highlight w:val="yellow"/>
              </w:rPr>
              <w:t>7.</w:t>
            </w:r>
            <w:r>
              <w:rPr>
                <w:rFonts w:hint="eastAsia" w:hAnsi="宋体" w:eastAsia="宋体" w:cs="宋体"/>
                <w:color w:val="000000"/>
                <w:sz w:val="24"/>
                <w:szCs w:val="24"/>
                <w:highlight w:val="yellow"/>
              </w:rPr>
              <w:t>拟投标人2020年1月1日至今，有与本次招标内容相同或类似项目业绩，且近</w:t>
            </w:r>
            <w:r>
              <w:rPr>
                <w:rFonts w:hint="eastAsia" w:hAnsi="宋体" w:eastAsia="宋体" w:cs="宋体"/>
                <w:color w:val="000000"/>
                <w:sz w:val="24"/>
                <w:szCs w:val="24"/>
                <w:highlight w:val="yellow"/>
                <w:lang w:val="en-US" w:eastAsia="zh-CN"/>
              </w:rPr>
              <w:t>2</w:t>
            </w:r>
            <w:r>
              <w:rPr>
                <w:rFonts w:hint="eastAsia" w:hAnsi="宋体" w:eastAsia="宋体" w:cs="宋体"/>
                <w:color w:val="000000"/>
                <w:sz w:val="24"/>
                <w:szCs w:val="24"/>
                <w:highlight w:val="yellow"/>
              </w:rPr>
              <w:t>年内无因服务不当而造成重大事故；</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hint="eastAsia" w:hAnsi="宋体" w:eastAsia="宋体" w:cs="宋体"/>
                <w:color w:val="000000"/>
                <w:sz w:val="24"/>
                <w:szCs w:val="24"/>
                <w:highlight w:val="yellow"/>
              </w:rPr>
              <w:t>拟投标人近</w:t>
            </w:r>
            <w:r>
              <w:rPr>
                <w:rFonts w:hint="eastAsia" w:hAnsi="宋体" w:eastAsia="宋体" w:cs="宋体"/>
                <w:color w:val="000000"/>
                <w:sz w:val="24"/>
                <w:szCs w:val="24"/>
                <w:highlight w:val="yellow"/>
                <w:lang w:val="en-US" w:eastAsia="zh-CN"/>
              </w:rPr>
              <w:t>三</w:t>
            </w:r>
            <w:r>
              <w:rPr>
                <w:rFonts w:hint="eastAsia" w:hAnsi="宋体" w:eastAsia="宋体" w:cs="宋体"/>
                <w:color w:val="000000"/>
                <w:sz w:val="24"/>
                <w:szCs w:val="24"/>
                <w:highlight w:val="yellow"/>
              </w:rPr>
              <w:t>年内在经营活动中无与本项目有关的违法及重大违规情况</w:t>
            </w:r>
            <w:r>
              <w:rPr>
                <w:rFonts w:hint="eastAsia" w:hAnsi="宋体" w:eastAsia="宋体" w:cs="宋体"/>
                <w:color w:val="000000"/>
                <w:sz w:val="24"/>
                <w:szCs w:val="24"/>
              </w:rPr>
              <w:t>；</w:t>
            </w:r>
          </w:p>
          <w:p>
            <w:pPr>
              <w:pStyle w:val="17"/>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pPr>
              <w:pStyle w:val="17"/>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w:t>
            </w:r>
            <w:r>
              <w:rPr>
                <w:rFonts w:ascii="宋体" w:hAnsi="宋体" w:eastAsia="宋体" w:cs="宋体"/>
                <w:sz w:val="24"/>
                <w:szCs w:val="24"/>
                <w:highlight w:val="none"/>
              </w:rPr>
              <w:t>与招标人存在利害关系可能影响招标公正性的法人、其他组织或者个人，不得参加投标。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15</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16</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9"/>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w:t>
            </w:r>
            <w:r>
              <w:rPr>
                <w:rFonts w:hint="eastAsia" w:eastAsia="宋体" w:cs="宋体"/>
                <w:b/>
                <w:color w:val="000000"/>
                <w:sz w:val="24"/>
                <w:szCs w:val="24"/>
                <w:highlight w:val="none"/>
                <w:lang w:val="en-US" w:eastAsia="zh-CN"/>
              </w:rPr>
              <w:t>附件16</w:t>
            </w:r>
            <w:r>
              <w:rPr>
                <w:rFonts w:hint="eastAsia" w:ascii="宋体" w:hAnsi="宋体" w:eastAsia="宋体" w:cs="宋体"/>
                <w:b/>
                <w:color w:val="000000"/>
                <w:sz w:val="24"/>
                <w:szCs w:val="24"/>
                <w:highlight w:val="none"/>
                <w:lang w:val="en-US" w:eastAsia="zh-CN"/>
              </w:rPr>
              <w:t>）”，</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w:t>
            </w:r>
            <w:r>
              <w:rPr>
                <w:rFonts w:hint="eastAsia" w:eastAsia="宋体" w:cs="Times New Roman"/>
                <w:b/>
                <w:bCs/>
                <w:color w:val="000000"/>
                <w:sz w:val="24"/>
                <w:szCs w:val="24"/>
                <w:highlight w:val="none"/>
                <w:lang w:eastAsia="zh-CN"/>
              </w:rPr>
              <w:t>1.1-1.1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9"/>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1</w:t>
            </w:r>
            <w:r>
              <w:rPr>
                <w:rFonts w:hint="eastAsia" w:eastAsia="宋体" w:cs="宋体"/>
                <w:highlight w:val="yellow"/>
              </w:rPr>
              <w:t>月</w:t>
            </w:r>
            <w:r>
              <w:rPr>
                <w:rFonts w:hint="eastAsia" w:eastAsia="宋体" w:cs="宋体"/>
                <w:highlight w:val="yellow"/>
                <w:lang w:val="en-US" w:eastAsia="zh-CN"/>
              </w:rPr>
              <w:t>15</w:t>
            </w:r>
            <w:r>
              <w:rPr>
                <w:rFonts w:hint="eastAsia" w:eastAsia="宋体" w:cs="宋体"/>
                <w:highlight w:val="yellow"/>
              </w:rPr>
              <w:t>日</w:t>
            </w:r>
            <w:r>
              <w:rPr>
                <w:rFonts w:hint="eastAsia" w:eastAsia="宋体" w:cs="宋体"/>
                <w:highlight w:val="yellow"/>
                <w:lang w:val="en-US" w:eastAsia="zh-CN"/>
              </w:rPr>
              <w:t>17时00分00秒</w:t>
            </w:r>
          </w:p>
          <w:p>
            <w:pPr>
              <w:pStyle w:val="119"/>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asciiTheme="minorHAnsi" w:hAnsiTheme="minorHAnsi"/>
                <w:b/>
                <w:bCs w:val="0"/>
                <w:color w:val="auto"/>
                <w:kern w:val="2"/>
                <w:sz w:val="24"/>
                <w:szCs w:val="24"/>
                <w:highlight w:val="yellow"/>
                <w:lang w:val="en-US" w:eastAsia="zh-CN" w:bidi="ar-SA"/>
              </w:rPr>
              <w:t>一式</w:t>
            </w:r>
            <w:r>
              <w:rPr>
                <w:rFonts w:hint="eastAsia" w:eastAsia="宋体" w:cs="宋体"/>
                <w:b/>
                <w:bCs w:val="0"/>
                <w:color w:val="auto"/>
                <w:kern w:val="2"/>
                <w:sz w:val="24"/>
                <w:szCs w:val="24"/>
                <w:highlight w:val="yellow"/>
                <w:lang w:val="en-US" w:eastAsia="zh-CN" w:bidi="ar-SA"/>
              </w:rPr>
              <w:t>三</w:t>
            </w:r>
            <w:r>
              <w:rPr>
                <w:rFonts w:hint="eastAsia" w:eastAsia="宋体" w:cs="宋体" w:asciiTheme="minorHAnsi" w:hAnsiTheme="minorHAnsi"/>
                <w:b/>
                <w:bCs w:val="0"/>
                <w:color w:val="auto"/>
                <w:kern w:val="2"/>
                <w:sz w:val="24"/>
                <w:szCs w:val="24"/>
                <w:highlight w:val="yellow"/>
                <w:lang w:val="en-US" w:eastAsia="zh-CN" w:bidi="ar-SA"/>
              </w:rPr>
              <w:t>份，</w:t>
            </w:r>
            <w:r>
              <w:rPr>
                <w:rFonts w:hint="eastAsia" w:ascii="宋体" w:hAnsi="宋体" w:eastAsia="宋体" w:cs="宋体"/>
                <w:b/>
                <w:bCs w:val="0"/>
                <w:color w:val="auto"/>
                <w:kern w:val="2"/>
                <w:sz w:val="24"/>
                <w:szCs w:val="24"/>
                <w:highlight w:val="yellow"/>
                <w:lang w:val="en-US" w:eastAsia="zh-CN" w:bidi="ar-SA"/>
              </w:rPr>
              <w:t>正本一份，副本二份</w:t>
            </w:r>
            <w:r>
              <w:rPr>
                <w:rFonts w:hint="eastAsia" w:eastAsia="宋体" w:cs="宋体" w:asciiTheme="minorHAnsi" w:hAnsiTheme="minorHAnsi"/>
                <w:b w:val="0"/>
                <w:bCs/>
                <w:color w:val="auto"/>
                <w:kern w:val="2"/>
                <w:sz w:val="24"/>
                <w:szCs w:val="24"/>
                <w:highlight w:val="yellow"/>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7"/>
              <w:rPr>
                <w:rFonts w:hint="eastAsia" w:ascii="宋体" w:hAnsi="宋体" w:eastAsia="宋体" w:cs="Times New Roman"/>
                <w:color w:val="000000"/>
                <w:sz w:val="24"/>
                <w:szCs w:val="24"/>
                <w:lang w:val="en-US" w:eastAsia="zh-CN"/>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山东省济南市章丘市圣井镇潘王路东园区十一号路北</w:t>
            </w:r>
          </w:p>
          <w:p>
            <w:pPr>
              <w:pStyle w:val="17"/>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喻新/17853167618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4"/>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18</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5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after="0" w:line="240" w:lineRule="auto"/>
              <w:ind w:left="0" w:leftChars="0" w:firstLine="480"/>
              <w:rPr>
                <w:rFonts w:ascii="宋体" w:hAnsi="宋体" w:cs="宋体"/>
                <w:sz w:val="24"/>
                <w:szCs w:val="24"/>
                <w:highlight w:val="yellow"/>
                <w:u w:val="single"/>
              </w:rPr>
            </w:pPr>
            <w:r>
              <w:rPr>
                <w:rFonts w:hint="eastAsia" w:ascii="宋体" w:hAnsi="宋体" w:cs="宋体"/>
                <w:sz w:val="24"/>
                <w:szCs w:val="24"/>
              </w:rPr>
              <w:t>Ⅰ.境内投标单位缴纳投标保证金信息：</w:t>
            </w:r>
          </w:p>
          <w:p>
            <w:pPr>
              <w:pStyle w:val="37"/>
              <w:spacing w:after="0" w:line="240" w:lineRule="auto"/>
              <w:ind w:left="0" w:leftChars="0" w:firstLine="480"/>
              <w:rPr>
                <w:rFonts w:ascii="宋体" w:hAnsi="宋体" w:cs="宋体"/>
                <w:color w:val="FF0000"/>
                <w:sz w:val="24"/>
                <w:szCs w:val="24"/>
                <w:highlight w:val="none"/>
              </w:rPr>
            </w:pPr>
            <w:r>
              <w:rPr>
                <w:rFonts w:hint="eastAsia" w:ascii="宋体" w:hAnsi="宋体" w:cs="宋体"/>
                <w:color w:val="FF0000"/>
                <w:sz w:val="24"/>
                <w:szCs w:val="24"/>
                <w:highlight w:val="none"/>
              </w:rPr>
              <w:t>投标保证金的金额：</w:t>
            </w:r>
            <w:r>
              <w:rPr>
                <w:rFonts w:hint="eastAsia" w:ascii="宋体" w:hAnsi="宋体" w:cs="宋体"/>
                <w:color w:val="FF0000"/>
                <w:sz w:val="24"/>
                <w:szCs w:val="24"/>
                <w:highlight w:val="yellow"/>
              </w:rPr>
              <w:t>人民币</w:t>
            </w:r>
            <w:r>
              <w:rPr>
                <w:rFonts w:hint="eastAsia" w:ascii="宋体" w:hAnsi="宋体" w:cs="宋体"/>
                <w:color w:val="FF0000"/>
                <w:sz w:val="24"/>
                <w:szCs w:val="24"/>
                <w:highlight w:val="yellow"/>
                <w:lang w:val="en-US" w:eastAsia="zh-CN"/>
              </w:rPr>
              <w:t>50</w:t>
            </w:r>
            <w:r>
              <w:rPr>
                <w:rFonts w:hint="eastAsia" w:ascii="宋体" w:hAnsi="宋体" w:cs="宋体"/>
                <w:color w:val="FF0000"/>
                <w:sz w:val="24"/>
                <w:szCs w:val="24"/>
                <w:highlight w:val="yellow"/>
              </w:rPr>
              <w:t>00元</w:t>
            </w:r>
          </w:p>
          <w:p>
            <w:pPr>
              <w:pStyle w:val="37"/>
              <w:spacing w:after="0" w:line="240" w:lineRule="auto"/>
              <w:ind w:left="0" w:leftChars="0" w:firstLine="480"/>
              <w:rPr>
                <w:rFonts w:hint="eastAsia" w:ascii="宋体" w:hAnsi="宋体" w:cs="宋体"/>
                <w:color w:val="FF0000"/>
                <w:sz w:val="24"/>
                <w:szCs w:val="24"/>
                <w:highlight w:val="none"/>
                <w:lang w:eastAsia="zh-CN"/>
              </w:rPr>
            </w:pPr>
            <w:r>
              <w:rPr>
                <w:rFonts w:hint="eastAsia" w:ascii="宋体" w:hAnsi="宋体" w:cs="宋体"/>
                <w:color w:val="FF0000"/>
                <w:sz w:val="24"/>
                <w:szCs w:val="24"/>
                <w:highlight w:val="none"/>
              </w:rPr>
              <w:t>开户名称：中国重汽集团济南商用车有限公司</w:t>
            </w:r>
          </w:p>
          <w:p>
            <w:pPr>
              <w:pStyle w:val="37"/>
              <w:spacing w:after="0" w:line="240" w:lineRule="auto"/>
              <w:ind w:left="0" w:leftChars="0" w:firstLine="480"/>
              <w:rPr>
                <w:rFonts w:hint="eastAsia" w:ascii="宋体" w:hAnsi="宋体" w:cs="宋体"/>
                <w:color w:val="FF0000"/>
                <w:sz w:val="24"/>
                <w:szCs w:val="24"/>
                <w:highlight w:val="none"/>
              </w:rPr>
            </w:pPr>
            <w:r>
              <w:rPr>
                <w:rFonts w:hint="eastAsia" w:ascii="宋体" w:hAnsi="宋体" w:cs="宋体"/>
                <w:color w:val="FF0000"/>
                <w:sz w:val="24"/>
                <w:szCs w:val="24"/>
                <w:highlight w:val="none"/>
              </w:rPr>
              <w:t>开户银行：中国银行股份有限公司</w:t>
            </w:r>
          </w:p>
          <w:p>
            <w:pPr>
              <w:pStyle w:val="37"/>
              <w:spacing w:after="0" w:line="240" w:lineRule="auto"/>
              <w:ind w:left="0" w:leftChars="0" w:firstLine="480"/>
              <w:rPr>
                <w:rFonts w:hint="eastAsia" w:ascii="宋体" w:hAnsi="宋体" w:cs="宋体"/>
                <w:color w:val="FF0000"/>
                <w:sz w:val="24"/>
                <w:szCs w:val="24"/>
                <w:highlight w:val="none"/>
              </w:rPr>
            </w:pPr>
            <w:r>
              <w:rPr>
                <w:rFonts w:hint="eastAsia" w:ascii="宋体" w:hAnsi="宋体" w:cs="宋体"/>
                <w:color w:val="FF0000"/>
                <w:sz w:val="24"/>
                <w:szCs w:val="24"/>
                <w:highlight w:val="none"/>
              </w:rPr>
              <w:t>银行帐号：2377</w:t>
            </w:r>
            <w:r>
              <w:rPr>
                <w:rFonts w:hint="eastAsia" w:ascii="宋体" w:hAnsi="宋体" w:cs="宋体"/>
                <w:color w:val="FF0000"/>
                <w:sz w:val="24"/>
                <w:szCs w:val="24"/>
                <w:highlight w:val="none"/>
                <w:lang w:val="en-US" w:eastAsia="zh-CN"/>
              </w:rPr>
              <w:t xml:space="preserve"> </w:t>
            </w:r>
            <w:r>
              <w:rPr>
                <w:rFonts w:hint="eastAsia" w:ascii="宋体" w:hAnsi="宋体" w:cs="宋体"/>
                <w:color w:val="FF0000"/>
                <w:sz w:val="24"/>
                <w:szCs w:val="24"/>
                <w:highlight w:val="none"/>
              </w:rPr>
              <w:t>4421</w:t>
            </w:r>
            <w:r>
              <w:rPr>
                <w:rFonts w:hint="eastAsia" w:ascii="宋体" w:hAnsi="宋体" w:cs="宋体"/>
                <w:color w:val="FF0000"/>
                <w:sz w:val="24"/>
                <w:szCs w:val="24"/>
                <w:highlight w:val="none"/>
                <w:lang w:val="en-US" w:eastAsia="zh-CN"/>
              </w:rPr>
              <w:t xml:space="preserve"> </w:t>
            </w:r>
            <w:r>
              <w:rPr>
                <w:rFonts w:hint="eastAsia" w:ascii="宋体" w:hAnsi="宋体" w:cs="宋体"/>
                <w:color w:val="FF0000"/>
                <w:sz w:val="24"/>
                <w:szCs w:val="24"/>
                <w:highlight w:val="none"/>
              </w:rPr>
              <w:t>9844</w:t>
            </w:r>
          </w:p>
          <w:p>
            <w:pPr>
              <w:pStyle w:val="37"/>
              <w:spacing w:after="0" w:line="240" w:lineRule="auto"/>
              <w:ind w:left="0" w:leftChars="0" w:firstLine="480"/>
              <w:rPr>
                <w:rFonts w:hint="eastAsia" w:ascii="宋体" w:hAnsi="宋体" w:cs="宋体"/>
                <w:color w:val="FF0000"/>
                <w:sz w:val="24"/>
                <w:szCs w:val="24"/>
                <w:highlight w:val="none"/>
              </w:rPr>
            </w:pPr>
            <w:r>
              <w:rPr>
                <w:rFonts w:hint="eastAsia" w:ascii="宋体" w:hAnsi="宋体" w:cs="宋体"/>
                <w:color w:val="FF0000"/>
                <w:sz w:val="24"/>
                <w:szCs w:val="24"/>
                <w:highlight w:val="none"/>
              </w:rPr>
              <w:t>开户行行号：1044</w:t>
            </w:r>
            <w:r>
              <w:rPr>
                <w:rFonts w:hint="eastAsia" w:ascii="宋体" w:hAnsi="宋体" w:cs="宋体"/>
                <w:color w:val="FF0000"/>
                <w:sz w:val="24"/>
                <w:szCs w:val="24"/>
                <w:highlight w:val="none"/>
                <w:lang w:val="en-US" w:eastAsia="zh-CN"/>
              </w:rPr>
              <w:t xml:space="preserve"> </w:t>
            </w:r>
            <w:r>
              <w:rPr>
                <w:rFonts w:hint="eastAsia" w:ascii="宋体" w:hAnsi="宋体" w:cs="宋体"/>
                <w:color w:val="FF0000"/>
                <w:sz w:val="24"/>
                <w:szCs w:val="24"/>
                <w:highlight w:val="none"/>
              </w:rPr>
              <w:t>5103</w:t>
            </w:r>
            <w:r>
              <w:rPr>
                <w:rFonts w:hint="eastAsia" w:ascii="宋体" w:hAnsi="宋体" w:cs="宋体"/>
                <w:color w:val="FF0000"/>
                <w:sz w:val="24"/>
                <w:szCs w:val="24"/>
                <w:highlight w:val="none"/>
                <w:lang w:val="en-US" w:eastAsia="zh-CN"/>
              </w:rPr>
              <w:t xml:space="preserve"> </w:t>
            </w:r>
            <w:r>
              <w:rPr>
                <w:rFonts w:hint="eastAsia" w:ascii="宋体" w:hAnsi="宋体" w:cs="宋体"/>
                <w:color w:val="FF0000"/>
                <w:sz w:val="24"/>
                <w:szCs w:val="24"/>
                <w:highlight w:val="none"/>
              </w:rPr>
              <w:t>9687</w:t>
            </w:r>
          </w:p>
          <w:p>
            <w:pPr>
              <w:pStyle w:val="37"/>
              <w:spacing w:after="0" w:line="240" w:lineRule="auto"/>
              <w:ind w:left="0" w:leftChars="0" w:firstLine="480"/>
              <w:rPr>
                <w:rFonts w:ascii="宋体" w:hAnsi="宋体" w:cs="宋体"/>
                <w:sz w:val="24"/>
                <w:szCs w:val="24"/>
              </w:rPr>
            </w:pPr>
            <w:r>
              <w:rPr>
                <w:rFonts w:hint="eastAsia" w:ascii="宋体" w:hAnsi="宋体" w:cs="宋体"/>
                <w:sz w:val="24"/>
                <w:szCs w:val="24"/>
              </w:rPr>
              <w:t>投标保证金应从投标人基本账户转出至上述账户并到账，否则视为无效投标。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ascii="宋体" w:hAnsi="宋体" w:cs="宋体"/>
                <w:sz w:val="24"/>
                <w:szCs w:val="24"/>
              </w:rPr>
              <w:t>Ⅱ.</w:t>
            </w:r>
            <w:r>
              <w:rPr>
                <w:rFonts w:hint="eastAsia" w:ascii="宋体" w:hAnsi="宋体" w:eastAsia="宋体" w:cs="宋体"/>
                <w:kern w:val="2"/>
                <w:sz w:val="24"/>
                <w:szCs w:val="24"/>
                <w:lang w:val="en-US" w:eastAsia="zh-CN" w:bidi="ar-SA"/>
              </w:rPr>
              <w:t>转账附言：公司名称+项目名称+投标保证金（方便后期核对退款）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15</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7"/>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w:t>
            </w:r>
            <w:r>
              <w:rPr>
                <w:rFonts w:hint="eastAsia" w:ascii="宋体" w:hAnsi="宋体" w:cs="宋体"/>
                <w:sz w:val="24"/>
                <w:szCs w:val="24"/>
                <w:highlight w:val="none"/>
                <w:lang w:val="en-US" w:eastAsia="zh-CN"/>
              </w:rPr>
              <w:t>6</w:t>
            </w:r>
            <w:r>
              <w:rPr>
                <w:rFonts w:hint="eastAsia" w:ascii="宋体" w:hAnsi="宋体" w:cs="宋体"/>
                <w:sz w:val="24"/>
                <w:szCs w:val="24"/>
                <w:highlight w:val="none"/>
              </w:rPr>
              <w:t>0工作日内予以原路返还（无息）；对于中标方，投标保证金将在签订合同后</w:t>
            </w:r>
            <w:r>
              <w:rPr>
                <w:rFonts w:hint="eastAsia" w:ascii="宋体" w:hAnsi="宋体" w:cs="宋体"/>
                <w:sz w:val="24"/>
                <w:szCs w:val="24"/>
                <w:highlight w:val="none"/>
                <w:lang w:val="en-US" w:eastAsia="zh-CN"/>
              </w:rPr>
              <w:t>6</w:t>
            </w:r>
            <w:r>
              <w:rPr>
                <w:rFonts w:hint="eastAsia" w:ascii="宋体" w:hAnsi="宋体" w:cs="宋体"/>
                <w:sz w:val="24"/>
                <w:szCs w:val="24"/>
                <w:highlight w:val="none"/>
              </w:rPr>
              <w:t>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18</w:t>
            </w:r>
            <w:r>
              <w:rPr>
                <w:rFonts w:hint="eastAsia" w:ascii="宋体" w:hAnsi="宋体" w:eastAsia="宋体" w:cs="宋体"/>
                <w:sz w:val="24"/>
                <w:szCs w:val="24"/>
                <w:highlight w:val="yellow"/>
              </w:rPr>
              <w:t>日</w:t>
            </w:r>
            <w:r>
              <w:rPr>
                <w:rFonts w:hint="eastAsia" w:ascii="宋体" w:hAnsi="宋体" w:eastAsia="宋体" w:cs="宋体"/>
                <w:sz w:val="24"/>
                <w:szCs w:val="24"/>
                <w:highlight w:val="yellow"/>
                <w:lang w:val="en-US" w:eastAsia="zh-CN"/>
              </w:rPr>
              <w:t>9:3</w:t>
            </w:r>
            <w:r>
              <w:rPr>
                <w:rFonts w:hint="eastAsia" w:ascii="宋体" w:hAnsi="宋体" w:eastAsia="宋体" w:cs="宋体"/>
                <w:sz w:val="24"/>
                <w:szCs w:val="24"/>
                <w:highlight w:val="yellow"/>
              </w:rPr>
              <w:t>0</w:t>
            </w:r>
            <w:r>
              <w:rPr>
                <w:rFonts w:hint="eastAsia" w:ascii="宋体" w:hAnsi="宋体" w:eastAsia="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lang w:val="en-US" w:eastAsia="zh-CN"/>
              </w:rPr>
              <w:t>章丘</w:t>
            </w:r>
            <w:r>
              <w:rPr>
                <w:rFonts w:hint="eastAsia" w:ascii="宋体" w:hAnsi="宋体" w:eastAsia="宋体" w:cs="Times New Roman"/>
                <w:color w:val="000000"/>
                <w:sz w:val="24"/>
                <w:szCs w:val="24"/>
                <w:highlight w:val="yellow"/>
              </w:rPr>
              <w:t>区</w:t>
            </w:r>
            <w:r>
              <w:rPr>
                <w:rFonts w:hint="eastAsia" w:ascii="宋体" w:hAnsi="宋体" w:eastAsia="宋体" w:cs="宋体"/>
                <w:sz w:val="24"/>
                <w:szCs w:val="24"/>
                <w:highlight w:val="yellow"/>
                <w:lang w:val="en-US" w:eastAsia="zh-CN"/>
              </w:rPr>
              <w:t>潘王路东园区是一号路北，济南轻卡制造公司</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评标方法：资质标审核</w:t>
            </w:r>
            <w:bookmarkStart w:id="4" w:name="OLE_LINK2"/>
            <w:r>
              <w:rPr>
                <w:rFonts w:hint="eastAsia" w:ascii="宋体" w:hAnsi="宋体" w:eastAsia="宋体" w:cs="宋体"/>
                <w:b/>
                <w:bCs/>
                <w:sz w:val="24"/>
                <w:szCs w:val="24"/>
              </w:rPr>
              <w:t>→</w:t>
            </w:r>
            <w:bookmarkEnd w:id="4"/>
            <w:r>
              <w:rPr>
                <w:rFonts w:hint="eastAsia" w:ascii="宋体" w:hAnsi="宋体" w:eastAsia="宋体" w:cs="宋体"/>
                <w:b/>
                <w:bCs/>
                <w:sz w:val="24"/>
                <w:szCs w:val="24"/>
              </w:rPr>
              <w:t>唱标→技术标评审→商务标评审。技术标入围后，原则上选取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r>
              <w:rPr>
                <w:rFonts w:hint="eastAsia" w:ascii="宋体" w:hAnsi="宋体" w:eastAsia="宋体" w:cs="宋体"/>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8"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shd w:val="clear"/>
              <w:ind w:firstLine="480" w:firstLineChars="200"/>
              <w:rPr>
                <w:rFonts w:hint="eastAsia" w:hAnsi="宋体" w:eastAsia="宋体" w:cs="宋体"/>
                <w:color w:val="FF0000"/>
                <w:sz w:val="24"/>
                <w:szCs w:val="24"/>
                <w:highlight w:val="yellow"/>
              </w:rPr>
            </w:pPr>
            <w:r>
              <w:rPr>
                <w:rFonts w:hint="eastAsia" w:hAnsi="宋体" w:eastAsia="宋体" w:cs="宋体"/>
                <w:color w:val="FF0000"/>
                <w:sz w:val="24"/>
                <w:szCs w:val="24"/>
                <w:highlight w:val="yellow"/>
                <w:lang w:val="en-US" w:eastAsia="zh-CN"/>
              </w:rPr>
              <w:t>自接到中标通知书之日起，45</w:t>
            </w:r>
            <w:r>
              <w:rPr>
                <w:rFonts w:hint="eastAsia" w:hAnsi="宋体" w:eastAsia="宋体" w:cs="宋体"/>
                <w:color w:val="FF0000"/>
                <w:sz w:val="24"/>
                <w:szCs w:val="24"/>
                <w:highlight w:val="yellow"/>
              </w:rPr>
              <w:t>个日历日之内交货至供货地点</w:t>
            </w:r>
          </w:p>
          <w:p>
            <w:pPr>
              <w:pStyle w:val="17"/>
              <w:shd w:val="clear"/>
              <w:ind w:firstLine="480" w:firstLineChars="200"/>
              <w:rPr>
                <w:rFonts w:hint="eastAsia" w:hAnsi="宋体" w:eastAsia="宋体" w:cs="宋体"/>
                <w:color w:val="FF0000"/>
                <w:sz w:val="24"/>
                <w:szCs w:val="24"/>
              </w:rPr>
            </w:pPr>
            <w:r>
              <w:rPr>
                <w:rFonts w:hint="eastAsia" w:hAnsi="宋体" w:eastAsia="宋体" w:cs="宋体"/>
                <w:color w:val="FF0000"/>
                <w:sz w:val="24"/>
                <w:szCs w:val="24"/>
              </w:rPr>
              <w:t>投标人应当随标书提供详细的工期计划。</w:t>
            </w:r>
          </w:p>
          <w:p>
            <w:pPr>
              <w:pStyle w:val="17"/>
              <w:shd w:val="clear"/>
              <w:ind w:firstLine="480" w:firstLineChars="200"/>
              <w:rPr>
                <w:rFonts w:hint="eastAsia" w:hAnsi="宋体" w:eastAsia="宋体" w:cs="宋体"/>
                <w:color w:val="FF0000"/>
                <w:sz w:val="24"/>
                <w:szCs w:val="24"/>
              </w:rPr>
            </w:pPr>
            <w:r>
              <w:rPr>
                <w:rFonts w:hint="eastAsia" w:hAnsi="宋体" w:eastAsia="宋体" w:cs="宋体"/>
                <w:color w:val="FF0000"/>
                <w:sz w:val="24"/>
                <w:szCs w:val="24"/>
              </w:rPr>
              <w:t>如果因投标方原因不能在规定周期内交付,投标方</w:t>
            </w:r>
            <w:r>
              <w:rPr>
                <w:rFonts w:hint="eastAsia" w:hAnsi="宋体" w:eastAsia="宋体" w:cs="宋体"/>
                <w:color w:val="FF0000"/>
                <w:sz w:val="24"/>
                <w:szCs w:val="24"/>
                <w:lang w:val="en-US" w:eastAsia="zh-CN"/>
              </w:rPr>
              <w:t>需</w:t>
            </w:r>
            <w:r>
              <w:rPr>
                <w:rFonts w:hint="eastAsia" w:hAnsi="宋体" w:eastAsia="宋体" w:cs="宋体"/>
                <w:color w:val="FF0000"/>
                <w:sz w:val="24"/>
                <w:szCs w:val="24"/>
              </w:rPr>
              <w:t>承担相应的商务责任。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FF0000"/>
                <w:sz w:val="24"/>
                <w:szCs w:val="24"/>
                <w:lang w:val="en-US" w:eastAsia="zh-CN"/>
              </w:rPr>
              <w:t>济南市章丘区潘王路东园区十一号路北，济南轻卡制造公司</w:t>
            </w:r>
            <w:r>
              <w:rPr>
                <w:rFonts w:hint="eastAsia" w:hAnsi="宋体" w:eastAsia="宋体" w:cs="宋体"/>
                <w:color w:val="000000" w:themeColor="text1"/>
                <w:sz w:val="24"/>
                <w:szCs w:val="24"/>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pStyle w:val="11"/>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A.设备</w:t>
            </w:r>
            <w:r>
              <w:rPr>
                <w:rFonts w:hint="eastAsia" w:ascii="宋体" w:hAnsi="宋体" w:eastAsia="宋体" w:cs="宋体"/>
                <w:sz w:val="24"/>
                <w:szCs w:val="24"/>
                <w:highlight w:val="yellow"/>
                <w:lang w:val="en-US" w:eastAsia="zh-CN"/>
              </w:rPr>
              <w:t>全部到货，经安装调试并预</w:t>
            </w:r>
            <w:r>
              <w:rPr>
                <w:rFonts w:hint="eastAsia" w:ascii="宋体" w:hAnsi="宋体" w:eastAsia="宋体" w:cs="宋体"/>
                <w:sz w:val="24"/>
                <w:szCs w:val="24"/>
                <w:highlight w:val="yellow"/>
              </w:rPr>
              <w:t>验收合格后，中标人提交金额为合同价款30%的收据并提供合同价款</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0%的增值税专用发票（含复印件二份），经招标人依照财务制度审核无误后支付；</w:t>
            </w:r>
          </w:p>
          <w:p>
            <w:pPr>
              <w:pStyle w:val="11"/>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B</w:t>
            </w:r>
            <w:r>
              <w:rPr>
                <w:rFonts w:hint="eastAsia" w:ascii="宋体" w:hAnsi="宋体" w:eastAsia="宋体" w:cs="宋体"/>
                <w:sz w:val="24"/>
                <w:szCs w:val="24"/>
                <w:highlight w:val="yellow"/>
              </w:rPr>
              <w:t>.设备</w:t>
            </w:r>
            <w:r>
              <w:rPr>
                <w:rFonts w:hint="eastAsia" w:ascii="宋体" w:hAnsi="宋体" w:eastAsia="宋体" w:cs="宋体"/>
                <w:sz w:val="24"/>
                <w:szCs w:val="24"/>
                <w:highlight w:val="yellow"/>
                <w:lang w:val="en-US" w:eastAsia="zh-CN"/>
              </w:rPr>
              <w:t>终</w:t>
            </w:r>
            <w:r>
              <w:rPr>
                <w:rFonts w:hint="eastAsia" w:ascii="宋体" w:hAnsi="宋体" w:eastAsia="宋体" w:cs="宋体"/>
                <w:sz w:val="24"/>
                <w:szCs w:val="24"/>
                <w:highlight w:val="yellow"/>
              </w:rPr>
              <w:t>验收合格后，中标人提交金额为合同价款</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0%的收据并提供合同价款</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0%的增值税专用发票（含复印件二份），经招标人依照财务制度审核无误后支付；</w:t>
            </w:r>
          </w:p>
          <w:p>
            <w:pPr>
              <w:pStyle w:val="11"/>
              <w:ind w:firstLine="480" w:firstLineChars="200"/>
              <w:rPr>
                <w:rFonts w:ascii="宋体" w:hAnsi="宋体" w:eastAsia="宋体" w:cs="宋体"/>
                <w:sz w:val="24"/>
                <w:szCs w:val="24"/>
              </w:rPr>
            </w:pPr>
            <w:r>
              <w:rPr>
                <w:rFonts w:hint="eastAsia" w:ascii="宋体" w:hAnsi="宋体" w:eastAsia="宋体" w:cs="宋体"/>
                <w:sz w:val="24"/>
                <w:szCs w:val="24"/>
                <w:highlight w:val="yellow"/>
                <w:lang w:val="en-US" w:eastAsia="zh-CN"/>
              </w:rPr>
              <w:t>C.</w:t>
            </w:r>
            <w:r>
              <w:rPr>
                <w:rFonts w:hint="eastAsia" w:ascii="宋体" w:hAnsi="宋体" w:eastAsia="宋体" w:cs="宋体"/>
                <w:sz w:val="24"/>
                <w:szCs w:val="24"/>
                <w:highlight w:val="yellow"/>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无误后30日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56"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shd w:val="clea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shd w:val="clear"/>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名称：</w:t>
            </w:r>
            <w:r>
              <w:rPr>
                <w:rFonts w:hint="eastAsia" w:ascii="宋体" w:hAnsi="宋体" w:eastAsia="宋体" w:cs="宋体"/>
                <w:color w:val="000000"/>
                <w:sz w:val="24"/>
                <w:szCs w:val="24"/>
                <w:highlight w:val="none"/>
                <w:lang w:eastAsia="zh-CN"/>
              </w:rPr>
              <w:t>中国重汽集团济南商用车有限公司</w:t>
            </w:r>
          </w:p>
          <w:p>
            <w:pPr>
              <w:shd w:val="clear"/>
              <w:ind w:firstLine="480" w:firstLineChars="200"/>
              <w:rPr>
                <w:rFonts w:hint="default" w:ascii="宋体" w:hAnsi="宋体" w:eastAsia="宋体" w:cs="宋体"/>
                <w:color w:val="000000"/>
                <w:sz w:val="24"/>
                <w:szCs w:val="24"/>
                <w:highlight w:val="none"/>
              </w:rPr>
            </w:pPr>
            <w:r>
              <w:rPr>
                <w:rFonts w:hint="default" w:ascii="宋体" w:hAnsi="宋体" w:eastAsia="宋体" w:cs="宋体"/>
                <w:color w:val="000000"/>
                <w:sz w:val="24"/>
                <w:szCs w:val="24"/>
                <w:highlight w:val="none"/>
              </w:rPr>
              <w:t>地址：山东省章丘市圣井潘王路西</w:t>
            </w:r>
          </w:p>
          <w:p>
            <w:pPr>
              <w:shd w:val="clear"/>
              <w:ind w:firstLine="480" w:firstLineChars="200"/>
              <w:rPr>
                <w:rFonts w:hint="default" w:ascii="宋体" w:hAnsi="宋体" w:eastAsia="宋体" w:cs="宋体"/>
                <w:color w:val="000000"/>
                <w:sz w:val="24"/>
                <w:szCs w:val="24"/>
                <w:highlight w:val="none"/>
              </w:rPr>
            </w:pPr>
            <w:r>
              <w:rPr>
                <w:rFonts w:hint="default" w:ascii="宋体" w:hAnsi="宋体" w:eastAsia="宋体" w:cs="宋体"/>
                <w:color w:val="000000"/>
                <w:sz w:val="24"/>
                <w:szCs w:val="24"/>
                <w:highlight w:val="none"/>
              </w:rPr>
              <w:t>税号：9137010072624213XP</w:t>
            </w:r>
          </w:p>
          <w:p>
            <w:pPr>
              <w:shd w:val="clear"/>
              <w:ind w:firstLine="480" w:firstLineChars="200"/>
              <w:rPr>
                <w:rFonts w:hint="default" w:ascii="宋体" w:hAnsi="宋体" w:eastAsia="宋体" w:cs="宋体"/>
                <w:color w:val="000000"/>
                <w:sz w:val="24"/>
                <w:szCs w:val="24"/>
                <w:highlight w:val="none"/>
              </w:rPr>
            </w:pPr>
            <w:r>
              <w:rPr>
                <w:rFonts w:hint="default" w:ascii="宋体" w:hAnsi="宋体" w:eastAsia="宋体" w:cs="宋体"/>
                <w:color w:val="000000"/>
                <w:sz w:val="24"/>
                <w:szCs w:val="24"/>
                <w:highlight w:val="none"/>
              </w:rPr>
              <w:t>传真：0531-58069620</w:t>
            </w:r>
          </w:p>
          <w:p>
            <w:pPr>
              <w:shd w:val="clear"/>
              <w:ind w:firstLine="480" w:firstLineChars="200"/>
              <w:rPr>
                <w:rFonts w:hint="default" w:ascii="宋体" w:hAnsi="宋体" w:eastAsia="宋体" w:cs="宋体"/>
                <w:color w:val="000000"/>
                <w:sz w:val="24"/>
                <w:szCs w:val="24"/>
                <w:highlight w:val="none"/>
              </w:rPr>
            </w:pPr>
            <w:r>
              <w:rPr>
                <w:rFonts w:hint="default" w:ascii="宋体" w:hAnsi="宋体" w:eastAsia="宋体" w:cs="宋体"/>
                <w:color w:val="000000"/>
                <w:sz w:val="24"/>
                <w:szCs w:val="24"/>
                <w:highlight w:val="none"/>
              </w:rPr>
              <w:t>开户银行：中信银行舜耕支行</w:t>
            </w:r>
          </w:p>
          <w:p>
            <w:pPr>
              <w:shd w:val="clear"/>
              <w:ind w:firstLine="480" w:firstLineChars="200"/>
              <w:rPr>
                <w:rFonts w:hint="default" w:ascii="宋体" w:hAnsi="宋体" w:eastAsia="宋体" w:cs="宋体"/>
                <w:color w:val="000000"/>
                <w:sz w:val="24"/>
                <w:szCs w:val="24"/>
                <w:highlight w:val="none"/>
              </w:rPr>
            </w:pPr>
            <w:r>
              <w:rPr>
                <w:rFonts w:hint="default" w:ascii="宋体" w:hAnsi="宋体" w:eastAsia="宋体" w:cs="宋体"/>
                <w:color w:val="000000"/>
                <w:sz w:val="24"/>
                <w:szCs w:val="24"/>
                <w:highlight w:val="none"/>
              </w:rPr>
              <w:t>账号：7372610182600034841</w:t>
            </w:r>
          </w:p>
          <w:p>
            <w:pPr>
              <w:shd w:val="clear"/>
              <w:ind w:firstLine="480" w:firstLineChars="200"/>
              <w:rPr>
                <w:rFonts w:ascii="宋体" w:hAnsi="宋体" w:cs="宋体"/>
                <w:bCs/>
                <w:sz w:val="24"/>
                <w:szCs w:val="24"/>
              </w:rPr>
            </w:pPr>
            <w:r>
              <w:rPr>
                <w:rFonts w:hint="default" w:ascii="宋体" w:hAnsi="宋体" w:eastAsia="宋体" w:cs="宋体"/>
                <w:color w:val="000000"/>
                <w:sz w:val="24"/>
                <w:szCs w:val="24"/>
                <w:highlight w:val="none"/>
              </w:rPr>
              <w:t>电话：58069620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4"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shd w:val="clear"/>
              <w:ind w:firstLine="480" w:firstLineChars="200"/>
              <w:rPr>
                <w:rFonts w:hint="eastAsia" w:ascii="宋体" w:hAnsi="宋体" w:eastAsia="宋体" w:cs="宋体"/>
                <w:sz w:val="24"/>
                <w:szCs w:val="24"/>
                <w:highlight w:val="red"/>
              </w:rPr>
            </w:pPr>
            <w:r>
              <w:rPr>
                <w:rFonts w:hint="eastAsia" w:ascii="宋体" w:hAnsi="宋体" w:eastAsia="宋体" w:cs="宋体"/>
                <w:sz w:val="24"/>
                <w:szCs w:val="24"/>
                <w:highlight w:val="red"/>
                <w:lang w:val="en-US" w:eastAsia="zh-CN"/>
              </w:rPr>
              <w:t>投标内容的分解报价、设计图纸等招标人所需要的各类资料，招标人为推进项目招标定标流程时需要上述资料的，中标人应及时无偿提供。</w:t>
            </w:r>
          </w:p>
          <w:p>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highlight w:val="none"/>
              </w:rPr>
              <w:t>中标人应在合同签订后</w:t>
            </w:r>
            <w:r>
              <w:rPr>
                <w:rFonts w:hint="eastAsia" w:ascii="宋体" w:hAnsi="宋体" w:eastAsia="宋体" w:cs="宋体"/>
                <w:color w:val="FF0000"/>
                <w:sz w:val="24"/>
                <w:szCs w:val="24"/>
                <w:highlight w:val="none"/>
              </w:rPr>
              <w:t>5</w:t>
            </w:r>
            <w:r>
              <w:rPr>
                <w:rFonts w:hint="eastAsia" w:ascii="宋体" w:hAnsi="宋体" w:eastAsia="宋体" w:cs="宋体"/>
                <w:sz w:val="24"/>
                <w:szCs w:val="24"/>
                <w:highlight w:val="none"/>
              </w:rPr>
              <w:t>日内编制完成项目计划和项目组织机构并盖章发给招标方。</w:t>
            </w:r>
          </w:p>
        </w:tc>
      </w:tr>
      <w:bookmarkEnd w:id="3"/>
    </w:tbl>
    <w:p>
      <w:pPr>
        <w:pStyle w:val="17"/>
        <w:numPr>
          <w:ilvl w:val="0"/>
          <w:numId w:val="0"/>
        </w:numPr>
        <w:jc w:val="both"/>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3"/>
          <w:cols w:space="720" w:num="1"/>
          <w:docGrid w:linePitch="290" w:charSpace="-3931"/>
        </w:sectPr>
      </w:pPr>
    </w:p>
    <w:p>
      <w:pPr>
        <w:pStyle w:val="17"/>
        <w:jc w:val="center"/>
        <w:outlineLvl w:val="0"/>
        <w:rPr>
          <w:rFonts w:ascii="Calibri" w:hAnsi="Calibri" w:eastAsia="宋体" w:cs="Times New Roman"/>
          <w:b/>
          <w:bCs/>
          <w:kern w:val="44"/>
          <w:sz w:val="36"/>
          <w:szCs w:val="44"/>
        </w:rPr>
      </w:pPr>
      <w:bookmarkStart w:id="5"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5"/>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6" w:name="OLE_LINK1"/>
      <w:r>
        <w:rPr>
          <w:rFonts w:hint="eastAsia" w:ascii="宋体" w:hAnsi="宋体" w:eastAsia="宋体" w:cs="宋体"/>
          <w:color w:val="000000"/>
          <w:sz w:val="24"/>
          <w:szCs w:val="24"/>
          <w:highlight w:val="none"/>
        </w:rPr>
        <w:t>见《投标须知前附表》。</w:t>
      </w:r>
    </w:p>
    <w:bookmarkEnd w:id="6"/>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w:t>
      </w:r>
      <w:r>
        <w:rPr>
          <w:rFonts w:hint="eastAsia" w:ascii="宋体" w:hAnsi="宋体" w:eastAsia="宋体" w:cs="宋体"/>
          <w:b w:val="0"/>
          <w:bCs w:val="0"/>
          <w:color w:val="000000"/>
          <w:sz w:val="24"/>
          <w:szCs w:val="24"/>
          <w:highlight w:val="none"/>
          <w:lang w:eastAsia="zh-CN"/>
        </w:rPr>
        <w:t>1.1-1.1</w:t>
      </w:r>
      <w:r>
        <w:rPr>
          <w:rFonts w:hint="eastAsia" w:ascii="宋体" w:hAnsi="宋体" w:eastAsia="宋体" w:cs="宋体"/>
          <w:b w:val="0"/>
          <w:bCs w:val="0"/>
          <w:color w:val="000000"/>
          <w:sz w:val="24"/>
          <w:szCs w:val="24"/>
          <w:highlight w:val="none"/>
          <w:lang w:val="en-US" w:eastAsia="zh-CN"/>
        </w:rPr>
        <w:t>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投标人自行勘察现场，进行合理报价。投标总报价应包括表面处理费用、运杂费（包括现场卸车费）、设计、制造、安装、调试（含现场调试）、调试板料费，样件生产及包装运输费、验收、技术及售后服务费、技术资料费、备品备件费、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4.7设备设施颜色严格执行我公司企业标准《设备设施颜色标识》（Q/ZZ30070</w:t>
      </w:r>
    </w:p>
    <w:p>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—2020）</w:t>
      </w:r>
      <w:r>
        <w:rPr>
          <w:rFonts w:hint="eastAsia" w:hAnsi="宋体" w:eastAsia="宋体" w:cs="宋体"/>
          <w:color w:val="000000"/>
          <w:sz w:val="24"/>
          <w:szCs w:val="24"/>
          <w:lang w:val="en-US" w:eastAsia="zh-CN"/>
        </w:rPr>
        <w:t>要求执行，标准中未规定的按设备生产商或生产国国家标准制造。</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yellow"/>
        </w:rPr>
        <w:t>转账附言：公司名称+项目名称+投标保证金</w:t>
      </w:r>
      <w:r>
        <w:rPr>
          <w:rFonts w:hint="eastAsia" w:ascii="宋体" w:hAnsi="宋体" w:eastAsia="宋体" w:cs="宋体"/>
          <w:sz w:val="24"/>
          <w:szCs w:val="24"/>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w:t>
      </w:r>
      <w:r>
        <w:rPr>
          <w:rFonts w:hint="eastAsia" w:ascii="宋体" w:hAnsi="宋体" w:eastAsia="宋体" w:cs="宋体"/>
          <w:color w:val="000000"/>
          <w:sz w:val="24"/>
          <w:szCs w:val="24"/>
        </w:rPr>
        <w:t>供应商在提交响应文件截止时间后撤回响应文件的</w:t>
      </w:r>
    </w:p>
    <w:p>
      <w:pPr>
        <w:pStyle w:val="119"/>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.3.2.4若为视频开标，招标过程中澄清函等资料原件未按要求提交的；</w:t>
      </w:r>
    </w:p>
    <w:p>
      <w:pPr>
        <w:pStyle w:val="119"/>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eastAsia="宋体" w:cs="宋体"/>
          <w:highlight w:val="none"/>
          <w:lang w:val="en-US" w:eastAsia="zh-CN"/>
        </w:rPr>
        <w:t>5</w:t>
      </w:r>
      <w:r>
        <w:rPr>
          <w:rFonts w:hint="eastAsia" w:ascii="宋体" w:hAnsi="宋体" w:eastAsia="宋体" w:cs="宋体"/>
          <w:color w:val="000000"/>
          <w:sz w:val="24"/>
          <w:szCs w:val="24"/>
          <w:highlight w:val="none"/>
        </w:rPr>
        <w:t>除因不可抗力或谈判文件、询价通知书认可的情形以外，成交供应商不与采购人签订合同的</w:t>
      </w:r>
      <w:r>
        <w:rPr>
          <w:rFonts w:hint="eastAsia" w:ascii="宋体" w:hAnsi="宋体" w:eastAsia="宋体" w:cs="宋体"/>
          <w:sz w:val="24"/>
          <w:szCs w:val="24"/>
          <w:highlight w:val="none"/>
        </w:rPr>
        <w:t>；</w:t>
      </w:r>
    </w:p>
    <w:p>
      <w:pPr>
        <w:pStyle w:val="119"/>
        <w:spacing w:line="360" w:lineRule="auto"/>
        <w:ind w:firstLine="480"/>
        <w:rPr>
          <w:rFonts w:hint="eastAsia" w:ascii="宋体" w:hAnsi="宋体" w:eastAsia="宋体" w:cs="宋体"/>
          <w:sz w:val="24"/>
          <w:szCs w:val="24"/>
          <w:highlight w:val="none"/>
        </w:rPr>
      </w:pPr>
      <w:r>
        <w:rPr>
          <w:rFonts w:hint="eastAsia" w:eastAsia="宋体" w:cs="宋体"/>
          <w:highlight w:val="none"/>
        </w:rPr>
        <w:t>4.3.2.</w:t>
      </w:r>
      <w:r>
        <w:rPr>
          <w:rFonts w:hint="eastAsia" w:eastAsia="宋体" w:cs="宋体"/>
          <w:sz w:val="24"/>
          <w:szCs w:val="24"/>
          <w:highlight w:val="none"/>
          <w:lang w:val="en-US" w:eastAsia="zh-CN"/>
        </w:rPr>
        <w:t>6</w:t>
      </w:r>
      <w:r>
        <w:rPr>
          <w:rFonts w:hint="eastAsia" w:ascii="宋体" w:hAnsi="宋体" w:eastAsia="宋体" w:cs="宋体"/>
          <w:color w:val="000000"/>
          <w:sz w:val="24"/>
          <w:szCs w:val="24"/>
          <w:highlight w:val="none"/>
        </w:rPr>
        <w:t>供应商在响应文件中提供虚假材料的</w:t>
      </w:r>
      <w:r>
        <w:rPr>
          <w:rFonts w:hint="eastAsia" w:eastAsia="宋体" w:cs="宋体"/>
          <w:highlight w:val="none"/>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w:t>
      </w:r>
      <w:r>
        <w:rPr>
          <w:rFonts w:hint="eastAsia" w:ascii="宋体" w:hAnsi="宋体" w:eastAsia="宋体" w:cs="宋体"/>
          <w:color w:val="000000"/>
          <w:sz w:val="24"/>
          <w:szCs w:val="24"/>
        </w:rPr>
        <w:t>应商与采购人、其他供应商或者采购代理机构恶意串通、围标、陪标的</w:t>
      </w:r>
      <w:r>
        <w:rPr>
          <w:rFonts w:hint="eastAsia" w:ascii="宋体" w:hAnsi="宋体" w:eastAsia="宋体" w:cs="宋体"/>
          <w:sz w:val="24"/>
          <w:szCs w:val="24"/>
        </w:rPr>
        <w:t>；</w:t>
      </w:r>
    </w:p>
    <w:p>
      <w:pPr>
        <w:spacing w:line="360" w:lineRule="auto"/>
        <w:ind w:right="2"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4.3.2.9</w:t>
      </w:r>
      <w:r>
        <w:rPr>
          <w:rFonts w:hint="eastAsia" w:ascii="宋体" w:hAnsi="宋体" w:eastAsia="宋体" w:cs="宋体"/>
          <w:color w:val="000000"/>
          <w:sz w:val="24"/>
          <w:szCs w:val="24"/>
        </w:rPr>
        <w:t>采购文件规定的其他情形。</w:t>
      </w:r>
    </w:p>
    <w:p>
      <w:pPr>
        <w:pStyle w:val="119"/>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9"/>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lang w:val="en-US"/>
        </w:rPr>
      </w:pPr>
      <w:r>
        <w:rPr>
          <w:rFonts w:hint="eastAsia" w:ascii="宋体" w:hAnsi="宋体" w:eastAsia="宋体" w:cs="宋体"/>
          <w:color w:val="000000"/>
          <w:sz w:val="24"/>
          <w:szCs w:val="24"/>
          <w:highlight w:val="yellow"/>
          <w:lang w:val="en-US"/>
        </w:rPr>
        <w:t>满足国务院、政府及招标人公司最新防疫政策要求，</w:t>
      </w: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rPr>
        <w:t>其他情况请选择视频</w:t>
      </w:r>
      <w:r>
        <w:rPr>
          <w:rFonts w:hint="eastAsia" w:ascii="宋体" w:hAnsi="宋体" w:eastAsia="宋体" w:cs="宋体"/>
          <w:color w:val="000000"/>
          <w:sz w:val="24"/>
          <w:szCs w:val="24"/>
          <w:highlight w:val="yellow"/>
        </w:rPr>
        <w:t>参与</w:t>
      </w:r>
      <w:r>
        <w:rPr>
          <w:rFonts w:hint="eastAsia" w:ascii="宋体" w:hAnsi="宋体" w:eastAsia="宋体" w:cs="宋体"/>
          <w:color w:val="000000"/>
          <w:sz w:val="24"/>
          <w:szCs w:val="24"/>
          <w:highlight w:val="yellow"/>
          <w:lang w:val="en-US" w:eastAsia="zh-CN"/>
        </w:rPr>
        <w:t>开标，</w:t>
      </w:r>
      <w:r>
        <w:rPr>
          <w:rFonts w:hint="eastAsia" w:ascii="宋体" w:hAnsi="宋体" w:eastAsia="宋体" w:cs="宋体"/>
          <w:color w:val="000000"/>
          <w:sz w:val="24"/>
          <w:szCs w:val="24"/>
          <w:highlight w:val="yellow"/>
        </w:rPr>
        <w:t>视频链接会在报名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7" w:name="_Toc33266950"/>
      <w:bookmarkStart w:id="8" w:name="_Toc33266914"/>
      <w:bookmarkStart w:id="9" w:name="_Toc33266627"/>
      <w:bookmarkStart w:id="10" w:name="_Toc33265752"/>
      <w:bookmarkStart w:id="11" w:name="_Toc33265653"/>
      <w:bookmarkStart w:id="12" w:name="_Toc33267001"/>
      <w:bookmarkStart w:id="13" w:name="_Toc33285487"/>
      <w:r>
        <w:rPr>
          <w:rFonts w:hint="eastAsia" w:ascii="宋体" w:hAnsi="宋体" w:eastAsia="宋体" w:cs="宋体"/>
          <w:b/>
          <w:bCs w:val="0"/>
          <w:sz w:val="24"/>
          <w:szCs w:val="24"/>
        </w:rPr>
        <w:t>六、评价原则</w:t>
      </w:r>
      <w:bookmarkEnd w:id="7"/>
      <w:bookmarkEnd w:id="8"/>
      <w:bookmarkEnd w:id="9"/>
      <w:bookmarkEnd w:id="10"/>
      <w:bookmarkEnd w:id="11"/>
      <w:bookmarkEnd w:id="12"/>
      <w:bookmarkEnd w:id="13"/>
      <w:bookmarkStart w:id="14" w:name="_Toc395116633"/>
    </w:p>
    <w:bookmarkEnd w:id="14"/>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bookmarkStart w:id="15" w:name="_Toc33265654"/>
      <w:bookmarkStart w:id="16" w:name="_Toc33285489"/>
      <w:bookmarkStart w:id="17" w:name="_Toc33266951"/>
      <w:bookmarkStart w:id="18" w:name="_Toc33266628"/>
      <w:bookmarkStart w:id="19" w:name="_Toc33266915"/>
      <w:bookmarkStart w:id="20" w:name="_Toc395116634"/>
      <w:bookmarkStart w:id="21" w:name="_Toc33267002"/>
      <w:bookmarkStart w:id="22" w:name="_Toc33265753"/>
      <w:r>
        <w:rPr>
          <w:rFonts w:hint="eastAsia" w:ascii="宋体" w:hAnsi="宋体" w:eastAsia="宋体" w:cs="宋体"/>
          <w:sz w:val="24"/>
          <w:szCs w:val="24"/>
        </w:rPr>
        <w:t>本次招标采用</w:t>
      </w:r>
      <w:r>
        <w:rPr>
          <w:rFonts w:hint="eastAsia" w:ascii="宋体" w:hAnsi="宋体" w:eastAsia="宋体" w:cs="宋体"/>
          <w:b/>
          <w:bCs/>
          <w:sz w:val="24"/>
          <w:szCs w:val="24"/>
        </w:rPr>
        <w:t>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本着公平、公正、公开的原则，选择合理最低价确定中标人</w:t>
      </w:r>
      <w:r>
        <w:rPr>
          <w:rFonts w:hint="eastAsia" w:ascii="宋体" w:hAnsi="宋体" w:eastAsia="宋体" w:cs="宋体"/>
          <w:b/>
          <w:color w:val="000000"/>
          <w:sz w:val="24"/>
          <w:szCs w:val="24"/>
        </w:rPr>
        <w:t>，对未中标单位不做任何解释。</w:t>
      </w:r>
    </w:p>
    <w:bookmarkEnd w:id="15"/>
    <w:bookmarkEnd w:id="16"/>
    <w:bookmarkEnd w:id="17"/>
    <w:bookmarkEnd w:id="18"/>
    <w:bookmarkEnd w:id="19"/>
    <w:bookmarkEnd w:id="20"/>
    <w:bookmarkEnd w:id="21"/>
    <w:bookmarkEnd w:id="22"/>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资质标评审：资质标审核通过的单位，可以进入公开唱标环节；</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highlight w:val="red"/>
        </w:rPr>
        <w:t>注意：投标人均需要自带笔记本电脑在重汽e采通进行自主投标和提交澄清函；投标和提交澄清函均有时间限制，超时未提交的按无效处理。</w:t>
      </w:r>
    </w:p>
    <w:p>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中标人确定：技术标入围后，原则上</w:t>
      </w:r>
      <w:r>
        <w:rPr>
          <w:rFonts w:hint="eastAsia" w:ascii="宋体" w:hAnsi="宋体" w:eastAsia="宋体" w:cs="宋体"/>
          <w:b/>
          <w:bCs/>
          <w:sz w:val="24"/>
          <w:szCs w:val="24"/>
        </w:rPr>
        <w:t>合理最低价</w:t>
      </w:r>
      <w:r>
        <w:rPr>
          <w:rFonts w:hint="eastAsia" w:ascii="宋体" w:hAnsi="宋体" w:eastAsia="宋体" w:cs="宋体"/>
          <w:b/>
          <w:sz w:val="24"/>
          <w:szCs w:val="24"/>
        </w:rPr>
        <w:t>中标。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（2）投标人在报价有效期内撤回投标；</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（4）投标人以任何方式诋毁其他投标人；</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（5）投标人串通投标；</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pStyle w:val="17"/>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未按照招标人规定的时间内在中国重汽e采通完成投标的；</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）投标人报价均超过采购预算的；</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8"/>
      <w:bookmarkStart w:id="24" w:name="OLE_LINK26"/>
      <w:bookmarkStart w:id="25" w:name="OLE_LINK27"/>
      <w:bookmarkStart w:id="26" w:name="OLE_LINK25"/>
      <w:bookmarkStart w:id="27" w:name="OLE_LINK29"/>
      <w:r>
        <w:rPr>
          <w:rFonts w:hint="eastAsia" w:ascii="宋体" w:hAnsi="宋体" w:eastAsia="宋体" w:cs="宋体"/>
          <w:bCs/>
          <w:sz w:val="24"/>
          <w:szCs w:val="24"/>
        </w:rPr>
        <w:t>；</w:t>
      </w:r>
      <w:bookmarkEnd w:id="23"/>
      <w:bookmarkEnd w:id="24"/>
      <w:bookmarkEnd w:id="25"/>
      <w:bookmarkEnd w:id="26"/>
      <w:bookmarkEnd w:id="27"/>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中国重汽集团济南商用车有限公司</w:t>
      </w:r>
      <w:r>
        <w:rPr>
          <w:rFonts w:hint="eastAsia" w:ascii="宋体" w:hAnsi="宋体" w:eastAsia="宋体" w:cs="宋体"/>
          <w:b/>
          <w:color w:val="000000"/>
          <w:sz w:val="24"/>
          <w:szCs w:val="24"/>
        </w:rPr>
        <w:t>。</w:t>
      </w:r>
    </w:p>
    <w:p>
      <w:pPr>
        <w:pStyle w:val="17"/>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pStyle w:val="17"/>
        <w:numPr>
          <w:ilvl w:val="-1"/>
          <w:numId w:val="0"/>
        </w:numPr>
        <w:jc w:val="center"/>
        <w:outlineLvl w:val="0"/>
        <w:rPr>
          <w:rFonts w:ascii="Calibri" w:hAnsi="Calibri" w:eastAsia="宋体" w:cs="Times New Roman"/>
          <w:b/>
          <w:bCs/>
          <w:kern w:val="44"/>
          <w:sz w:val="36"/>
          <w:szCs w:val="44"/>
        </w:rPr>
      </w:pPr>
      <w:bookmarkStart w:id="28"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8"/>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需加盖公章</w:t>
      </w:r>
      <w:r>
        <w:rPr>
          <w:rFonts w:hint="eastAsia" w:ascii="宋体" w:hAnsi="宋体" w:eastAsia="宋体" w:cs="宋体"/>
          <w:b/>
          <w:bCs/>
          <w:color w:val="000000"/>
          <w:sz w:val="24"/>
          <w:szCs w:val="24"/>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red"/>
        </w:rPr>
        <w:t>被授权人</w:t>
      </w:r>
      <w:r>
        <w:rPr>
          <w:rFonts w:hint="eastAsia" w:ascii="宋体" w:hAnsi="宋体" w:eastAsia="宋体" w:cs="宋体"/>
          <w:kern w:val="0"/>
          <w:sz w:val="24"/>
          <w:szCs w:val="24"/>
          <w:highlight w:val="red"/>
          <w:lang w:bidi="en-US"/>
        </w:rPr>
        <w:t>近</w:t>
      </w:r>
      <w:r>
        <w:rPr>
          <w:rFonts w:hint="eastAsia" w:ascii="宋体" w:hAnsi="宋体" w:eastAsia="宋体" w:cs="宋体"/>
          <w:kern w:val="0"/>
          <w:sz w:val="24"/>
          <w:szCs w:val="24"/>
          <w:highlight w:val="red"/>
          <w:lang w:val="en-US" w:eastAsia="zh-CN" w:bidi="en-US"/>
        </w:rPr>
        <w:t>6</w:t>
      </w:r>
      <w:r>
        <w:rPr>
          <w:rFonts w:hint="eastAsia" w:ascii="宋体" w:hAnsi="宋体" w:eastAsia="宋体" w:cs="宋体"/>
          <w:kern w:val="0"/>
          <w:sz w:val="24"/>
          <w:szCs w:val="24"/>
          <w:highlight w:val="red"/>
          <w:lang w:bidi="en-US"/>
        </w:rPr>
        <w:t>个月</w:t>
      </w:r>
      <w:r>
        <w:rPr>
          <w:rFonts w:hint="eastAsia" w:ascii="宋体" w:hAnsi="宋体" w:eastAsia="宋体" w:cs="宋体"/>
          <w:kern w:val="0"/>
          <w:sz w:val="24"/>
          <w:szCs w:val="24"/>
          <w:highlight w:val="red"/>
          <w:lang w:val="en-US" w:eastAsia="zh-CN" w:bidi="en-US"/>
        </w:rPr>
        <w:t>及以上</w:t>
      </w:r>
      <w:r>
        <w:rPr>
          <w:rFonts w:hint="eastAsia" w:ascii="宋体" w:hAnsi="宋体" w:eastAsia="宋体" w:cs="宋体"/>
          <w:kern w:val="0"/>
          <w:sz w:val="24"/>
          <w:szCs w:val="24"/>
          <w:highlight w:val="red"/>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1.4经会计师事务所审计且出具无保留意见的近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年的财务审计报告，并加盖公章，包括但不限于报告页、经审计的资产负债表、利润表、现金流量表及报表附注</w:t>
      </w:r>
      <w:r>
        <w:rPr>
          <w:rFonts w:hint="eastAsia" w:ascii="宋体" w:hAnsi="宋体" w:eastAsia="宋体" w:cs="宋体"/>
          <w:color w:val="000000"/>
          <w:sz w:val="24"/>
          <w:szCs w:val="24"/>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lang w:eastAsia="zh-CN"/>
        </w:rPr>
        <w:t>年</w:t>
      </w:r>
      <w:r>
        <w:rPr>
          <w:rFonts w:hint="eastAsia" w:ascii="宋体" w:hAnsi="宋体" w:eastAsia="宋体" w:cs="宋体"/>
          <w:color w:val="000000"/>
          <w:sz w:val="24"/>
          <w:szCs w:val="24"/>
        </w:rPr>
        <w:t>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1.7企业对外担保说明（写投标人对外有无对外担保和质押业务，需加盖公章）；</w:t>
      </w:r>
    </w:p>
    <w:p>
      <w:pPr>
        <w:spacing w:line="360" w:lineRule="auto"/>
        <w:ind w:firstLine="480" w:firstLineChars="200"/>
        <w:rPr>
          <w:rFonts w:hint="eastAsia"/>
        </w:rPr>
      </w:pPr>
      <w:r>
        <w:rPr>
          <w:rFonts w:hint="eastAsia" w:ascii="宋体" w:hAnsi="宋体" w:eastAsia="宋体" w:cs="宋体"/>
          <w:color w:val="000000"/>
          <w:sz w:val="24"/>
          <w:szCs w:val="24"/>
          <w:highlight w:val="none"/>
          <w:lang w:val="en-US" w:eastAsia="zh-CN"/>
        </w:rPr>
        <w:t>1.8企业信用证明材料（征信报告）；</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代理商投标要携带生产商的授权书、原厂售后服务承诺书，根据实际情况提供即可，无格式限制；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企业最近半年的完税证明、年度纳税信用评价信息（可从电子税务局查询截图，</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2020年1月1日至今，企业近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年同类项目业绩证明；</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有效期内的生产许可证（实行生产许可制度的企业提供）加盖公章</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产品鉴定证书（如需）</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质量体系认证证书（如需）</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产品和主要元器件“CCC”认证证书（如需）</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产品的检测、检验报告复印件（如有，需权威部门出具）</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1.18</w:t>
      </w:r>
      <w:r>
        <w:rPr>
          <w:rFonts w:hint="eastAsia" w:ascii="宋体" w:hAnsi="宋体" w:eastAsia="宋体" w:cs="宋体"/>
          <w:color w:val="000000"/>
          <w:sz w:val="24"/>
          <w:szCs w:val="24"/>
        </w:rPr>
        <w:t xml:space="preserve"> 招标文件要求的其它必要资格文件</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投标方认为对其投标有利的其他资料</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20</w:t>
      </w:r>
      <w:r>
        <w:rPr>
          <w:rFonts w:hint="eastAsia" w:ascii="宋体" w:hAnsi="宋体" w:eastAsia="宋体" w:cs="宋体"/>
          <w:color w:val="000000"/>
          <w:sz w:val="24"/>
          <w:szCs w:val="24"/>
        </w:rPr>
        <w:t>投标保证金缴纳凭证。</w:t>
      </w:r>
    </w:p>
    <w:p>
      <w:pPr>
        <w:spacing w:line="360" w:lineRule="auto"/>
        <w:ind w:firstLine="482" w:firstLineChars="200"/>
        <w:rPr>
          <w:rFonts w:hint="eastAsia" w:ascii="宋体" w:hAnsi="宋体" w:eastAsia="宋体" w:cs="宋体"/>
          <w:b/>
          <w:bCs/>
          <w:sz w:val="24"/>
          <w:szCs w:val="24"/>
          <w:highlight w:val="none"/>
        </w:rPr>
      </w:pPr>
      <w:bookmarkStart w:id="29"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9"/>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val="0"/>
          <w:color w:val="000000"/>
          <w:sz w:val="24"/>
          <w:szCs w:val="24"/>
        </w:rPr>
        <w:t>2.</w:t>
      </w:r>
      <w:r>
        <w:rPr>
          <w:rFonts w:hint="eastAsia" w:ascii="宋体" w:hAnsi="宋体" w:eastAsia="宋体" w:cs="宋体"/>
          <w:bCs w:val="0"/>
          <w:color w:val="000000"/>
          <w:sz w:val="24"/>
          <w:szCs w:val="24"/>
          <w:lang w:val="en-US" w:eastAsia="zh-CN"/>
        </w:rPr>
        <w:t>2</w:t>
      </w:r>
      <w:r>
        <w:rPr>
          <w:rFonts w:hint="eastAsia" w:ascii="宋体" w:hAnsi="宋体" w:eastAsia="宋体" w:cs="宋体"/>
          <w:color w:val="000000"/>
          <w:sz w:val="24"/>
          <w:szCs w:val="24"/>
        </w:rPr>
        <w:t>提供</w:t>
      </w:r>
      <w:r>
        <w:rPr>
          <w:rFonts w:hint="eastAsia" w:ascii="宋体" w:hAnsi="宋体" w:eastAsia="宋体" w:cs="宋体"/>
          <w:color w:val="000000"/>
          <w:sz w:val="24"/>
          <w:szCs w:val="24"/>
          <w:lang w:eastAsia="zh-CN"/>
        </w:rPr>
        <w:t>2020年1月1日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30"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投标产品技术支持材料</w:t>
      </w:r>
      <w:bookmarkEnd w:id="30"/>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eastAsia="zh-CN"/>
        </w:rPr>
        <w:t>，</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1" w:name="OLE_LINK19"/>
      <w:bookmarkStart w:id="32" w:name="OLE_LINK18"/>
      <w:r>
        <w:rPr>
          <w:rFonts w:hint="eastAsia" w:ascii="宋体" w:hAnsi="宋体" w:eastAsia="宋体" w:cs="宋体"/>
          <w:b/>
          <w:color w:val="000000"/>
          <w:sz w:val="24"/>
          <w:szCs w:val="24"/>
        </w:rPr>
        <w:t>；</w:t>
      </w:r>
      <w:bookmarkEnd w:id="31"/>
      <w:bookmarkEnd w:id="32"/>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strike w:val="0"/>
          <w:color w:val="000000"/>
          <w:sz w:val="24"/>
          <w:szCs w:val="24"/>
          <w:highlight w:val="none"/>
        </w:rPr>
      </w:pPr>
      <w:r>
        <w:rPr>
          <w:rFonts w:hint="eastAsia" w:ascii="宋体" w:hAnsi="宋体" w:eastAsia="宋体" w:cs="宋体"/>
          <w:strike w:val="0"/>
          <w:color w:val="000000"/>
          <w:sz w:val="24"/>
          <w:szCs w:val="24"/>
          <w:highlight w:val="none"/>
        </w:rPr>
        <w:t>3.6按招标文件投标人须知和技术规格书中要求提供的有关文件。</w:t>
      </w:r>
    </w:p>
    <w:p>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highlight w:val="yellow"/>
        </w:rPr>
        <w:t>原则上，投标方或中标方的自制产线、工装、钢结构等非标项，需提供图纸或简易图纸；分项报价中需明确：规格型号、材质、重量、数量、品牌、价格等信息，注明是否包含加工费等其他费用；投标方或中标方采购的产品或标准件类产品，需明确规范规格型号（如订货号）、品牌、数量、价格等信息；以上信息供价值工程部核价使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注：招标文件给定格式的按给定的格式填写，未给定格式的，由投标方自行编制，但需包含以上内容。</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7"/>
        <w:jc w:val="center"/>
        <w:rPr>
          <w:rFonts w:ascii="Calibri" w:hAnsi="Calibri" w:eastAsia="宋体" w:cs="Times New Roman"/>
          <w:b/>
          <w:bCs/>
          <w:kern w:val="44"/>
          <w:sz w:val="36"/>
          <w:szCs w:val="44"/>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3"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3"/>
    </w:p>
    <w:p>
      <w:pPr>
        <w:pStyle w:val="17"/>
      </w:pPr>
    </w:p>
    <w:p>
      <w:pPr>
        <w:keepNext/>
        <w:keepLines/>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中国重汽集团济南商用车有限公司</w:t>
      </w:r>
    </w:p>
    <w:p>
      <w:pPr>
        <w:spacing w:line="276" w:lineRule="auto"/>
        <w:jc w:val="center"/>
        <w:rPr>
          <w:rFonts w:hint="eastAsia" w:ascii="Calibri" w:hAnsi="宋体" w:eastAsia="宋体" w:cs="Times New Roman"/>
          <w:b/>
          <w:bCs/>
          <w:color w:val="000000"/>
          <w:spacing w:val="-8"/>
          <w:sz w:val="48"/>
          <w:szCs w:val="44"/>
          <w:highlight w:val="yellow"/>
          <w:lang w:eastAsia="zh-CN"/>
        </w:rPr>
      </w:pPr>
      <w:r>
        <w:rPr>
          <w:rFonts w:hint="eastAsia" w:ascii="Calibri" w:hAnsi="宋体" w:eastAsia="宋体" w:cs="Times New Roman"/>
          <w:b/>
          <w:bCs/>
          <w:color w:val="000000"/>
          <w:spacing w:val="-8"/>
          <w:sz w:val="48"/>
          <w:szCs w:val="44"/>
          <w:highlight w:val="none"/>
          <w:lang w:val="en-US" w:eastAsia="zh-CN"/>
        </w:rPr>
        <w:t>皮卡装配优化</w:t>
      </w:r>
      <w:r>
        <w:rPr>
          <w:rFonts w:hint="eastAsia" w:ascii="Calibri" w:hAnsi="宋体" w:eastAsia="宋体" w:cs="Times New Roman"/>
          <w:b/>
          <w:bCs/>
          <w:color w:val="000000"/>
          <w:spacing w:val="-8"/>
          <w:sz w:val="48"/>
          <w:szCs w:val="44"/>
          <w:highlight w:val="none"/>
          <w:lang w:eastAsia="zh-CN"/>
        </w:rPr>
        <w:t>项目</w:t>
      </w:r>
    </w:p>
    <w:p>
      <w:pPr>
        <w:spacing w:line="276" w:lineRule="auto"/>
        <w:jc w:val="center"/>
        <w:rPr>
          <w:rFonts w:ascii="Calibri" w:hAnsi="Calibri" w:eastAsia="宋体" w:cs="Times New Roman"/>
          <w:b/>
          <w:bCs/>
          <w:color w:val="000000"/>
          <w:spacing w:val="-8"/>
          <w:sz w:val="48"/>
          <w:szCs w:val="44"/>
        </w:rPr>
      </w:pP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7"/>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pPr>
    </w:p>
    <w:p>
      <w:pPr>
        <w:pStyle w:val="17"/>
        <w:rPr>
          <w:rFonts w:ascii="黑体" w:hAnsi="宋体" w:eastAsia="黑体" w:cs="Times New Roman"/>
          <w:color w:val="000000"/>
          <w:sz w:val="72"/>
          <w:szCs w:val="72"/>
        </w:rPr>
      </w:pPr>
    </w:p>
    <w:p>
      <w:pPr>
        <w:pStyle w:val="17"/>
        <w:rPr>
          <w:rFonts w:ascii="黑体" w:hAnsi="宋体" w:eastAsia="黑体" w:cs="Times New Roman"/>
          <w:color w:val="000000"/>
          <w:sz w:val="72"/>
          <w:szCs w:val="72"/>
        </w:rPr>
      </w:pP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pPr>
        <w:spacing w:line="860" w:lineRule="exact"/>
        <w:rPr>
          <w:rFonts w:hint="eastAsia" w:ascii="华文仿宋" w:hAnsi="华文仿宋" w:eastAsia="华文仿宋"/>
          <w:b/>
          <w:bCs/>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17"/>
        <w:rPr>
          <w:b/>
          <w:bCs/>
        </w:rPr>
      </w:pPr>
    </w:p>
    <w:p>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中国重汽集团济南商用车有限公司</w:t>
      </w:r>
    </w:p>
    <w:p>
      <w:pPr>
        <w:jc w:val="center"/>
        <w:rPr>
          <w:rFonts w:ascii="Calibri" w:hAnsi="Calibri" w:eastAsia="宋体" w:cs="Times New Roman"/>
          <w:color w:val="000000"/>
          <w:sz w:val="28"/>
          <w:szCs w:val="28"/>
          <w:highlight w:val="none"/>
        </w:rPr>
      </w:pPr>
    </w:p>
    <w:p>
      <w:pPr>
        <w:jc w:val="center"/>
        <w:rPr>
          <w:rFonts w:ascii="Calibri" w:hAnsi="Calibri" w:eastAsia="宋体" w:cs="Times New Roman"/>
          <w:b/>
          <w:bCs/>
          <w:kern w:val="44"/>
          <w:sz w:val="36"/>
          <w:szCs w:val="44"/>
          <w:highlight w:val="red"/>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4</w:t>
      </w:r>
      <w:r>
        <w:rPr>
          <w:rFonts w:hint="eastAsia" w:ascii="宋体" w:hAnsi="宋体"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1</w:t>
      </w:r>
      <w:r>
        <w:rPr>
          <w:rFonts w:hint="eastAsia" w:ascii="Calibri" w:hAnsi="Calibri" w:eastAsia="宋体" w:cs="Times New Roman"/>
          <w:color w:val="000000"/>
          <w:sz w:val="28"/>
          <w:szCs w:val="28"/>
          <w:highlight w:val="none"/>
        </w:rPr>
        <w:t>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pStyle w:val="2"/>
        <w:tabs>
          <w:tab w:val="right" w:leader="dot" w:pos="9061"/>
        </w:tabs>
        <w:spacing w:line="360" w:lineRule="auto"/>
        <w:ind w:left="0"/>
        <w:jc w:val="both"/>
        <w:rPr>
          <w:color w:val="auto"/>
          <w:highlight w:val="none"/>
        </w:rPr>
      </w:pPr>
      <w:bookmarkStart w:id="34" w:name="_Toc26357117"/>
      <w:bookmarkStart w:id="35" w:name="_Toc27758106"/>
      <w:bookmarkStart w:id="36" w:name="_Toc18103"/>
      <w:r>
        <w:rPr>
          <w:rFonts w:hint="eastAsia"/>
          <w:color w:val="auto"/>
          <w:highlight w:val="none"/>
        </w:rPr>
        <w:t>一、</w:t>
      </w:r>
      <w:bookmarkEnd w:id="34"/>
      <w:bookmarkEnd w:id="35"/>
      <w:r>
        <w:rPr>
          <w:rFonts w:hint="eastAsia"/>
          <w:color w:val="auto"/>
          <w:highlight w:val="none"/>
        </w:rPr>
        <w:t>标的物用途</w:t>
      </w:r>
      <w:bookmarkEnd w:id="36"/>
    </w:p>
    <w:p>
      <w:pPr>
        <w:spacing w:line="360" w:lineRule="auto"/>
        <w:ind w:firstLine="480" w:firstLineChars="200"/>
        <w:jc w:val="left"/>
        <w:rPr>
          <w:rFonts w:ascii="宋体" w:hAnsi="宋体"/>
          <w:bCs/>
          <w:sz w:val="24"/>
          <w:szCs w:val="24"/>
          <w:highlight w:val="none"/>
        </w:rPr>
      </w:pPr>
      <w:bookmarkStart w:id="37" w:name="_Toc14387"/>
      <w:r>
        <w:rPr>
          <w:rFonts w:hint="eastAsia" w:asciiTheme="minorEastAsia" w:hAnsiTheme="minorEastAsia"/>
          <w:sz w:val="24"/>
          <w:szCs w:val="24"/>
          <w:highlight w:val="none"/>
        </w:rPr>
        <w:t>用于重汽(济南)轻卡有限公司所有皮卡及3360以下轴距整车装配；</w:t>
      </w:r>
    </w:p>
    <w:p>
      <w:pPr>
        <w:pStyle w:val="2"/>
        <w:keepNext/>
        <w:keepLines/>
        <w:spacing w:line="360" w:lineRule="auto"/>
        <w:ind w:left="0"/>
        <w:jc w:val="both"/>
        <w:rPr>
          <w:color w:val="auto"/>
          <w:highlight w:val="none"/>
        </w:rPr>
      </w:pPr>
      <w:r>
        <w:rPr>
          <w:rFonts w:hint="eastAsia" w:ascii="宋体" w:hAnsi="宋体"/>
          <w:color w:val="auto"/>
          <w:highlight w:val="none"/>
        </w:rPr>
        <w:t>二、</w:t>
      </w:r>
      <w:bookmarkStart w:id="38" w:name="_Toc27758107"/>
      <w:bookmarkStart w:id="39" w:name="_Toc26357118"/>
      <w:r>
        <w:rPr>
          <w:rFonts w:hint="eastAsia"/>
          <w:color w:val="auto"/>
          <w:highlight w:val="none"/>
        </w:rPr>
        <w:t>标的物使用环境</w:t>
      </w:r>
      <w:bookmarkEnd w:id="37"/>
      <w:bookmarkEnd w:id="38"/>
      <w:bookmarkEnd w:id="39"/>
    </w:p>
    <w:p>
      <w:pPr>
        <w:spacing w:line="360" w:lineRule="auto"/>
        <w:ind w:firstLine="480" w:firstLineChars="200"/>
        <w:jc w:val="both"/>
        <w:rPr>
          <w:rFonts w:hint="eastAsia" w:ascii="宋体" w:hAnsi="宋体"/>
          <w:bCs/>
          <w:color w:val="auto"/>
          <w:sz w:val="24"/>
          <w:szCs w:val="24"/>
          <w:highlight w:val="none"/>
        </w:rPr>
      </w:pPr>
      <w:bookmarkStart w:id="40" w:name="_Toc26357119"/>
      <w:bookmarkStart w:id="41" w:name="_Toc27758108"/>
      <w:bookmarkStart w:id="42" w:name="_Toc23912"/>
      <w:r>
        <w:rPr>
          <w:rFonts w:hint="eastAsia" w:ascii="宋体" w:hAnsi="宋体"/>
          <w:bCs/>
          <w:color w:val="auto"/>
          <w:sz w:val="24"/>
          <w:szCs w:val="24"/>
          <w:highlight w:val="none"/>
        </w:rPr>
        <w:t>1.项目名称：</w:t>
      </w:r>
      <w:r>
        <w:rPr>
          <w:rFonts w:hint="eastAsia" w:cs="Times New Roman" w:asciiTheme="minorEastAsia" w:hAnsiTheme="minorEastAsia"/>
          <w:sz w:val="24"/>
          <w:szCs w:val="24"/>
          <w:highlight w:val="none"/>
          <w:lang w:val="en-US" w:eastAsia="zh-CN"/>
        </w:rPr>
        <w:t>皮卡装配优化改造</w:t>
      </w:r>
      <w:r>
        <w:rPr>
          <w:rFonts w:hint="eastAsia" w:cs="Times New Roman" w:asciiTheme="minorEastAsia" w:hAnsiTheme="minorEastAsia"/>
          <w:sz w:val="24"/>
          <w:szCs w:val="24"/>
          <w:highlight w:val="none"/>
        </w:rPr>
        <w:t>项目</w:t>
      </w:r>
    </w:p>
    <w:p>
      <w:pPr>
        <w:spacing w:line="360" w:lineRule="auto"/>
        <w:ind w:firstLine="480" w:firstLineChars="200"/>
        <w:jc w:val="both"/>
        <w:rPr>
          <w:rFonts w:hint="eastAsia" w:ascii="Times New Roman" w:hAnsi="Times New Roman" w:eastAsia="宋体"/>
          <w:bCs w:val="0"/>
          <w:color w:val="auto"/>
          <w:sz w:val="24"/>
          <w:szCs w:val="24"/>
          <w:highlight w:val="none"/>
          <w:lang w:val="en-US" w:eastAsia="zh-CN"/>
        </w:rPr>
      </w:pPr>
      <w:r>
        <w:rPr>
          <w:rFonts w:hint="eastAsia" w:ascii="宋体" w:hAnsi="宋体"/>
          <w:bCs/>
          <w:color w:val="auto"/>
          <w:sz w:val="24"/>
          <w:szCs w:val="24"/>
          <w:highlight w:val="none"/>
        </w:rPr>
        <w:t>2.</w:t>
      </w:r>
      <w:r>
        <w:rPr>
          <w:rFonts w:hint="eastAsia"/>
          <w:color w:val="auto"/>
          <w:sz w:val="24"/>
          <w:szCs w:val="24"/>
          <w:highlight w:val="none"/>
        </w:rPr>
        <w:t>产能规划：</w:t>
      </w:r>
      <w:r>
        <w:rPr>
          <w:rFonts w:hint="eastAsia" w:ascii="宋体" w:hAnsi="宋体"/>
          <w:bCs/>
          <w:color w:val="auto"/>
          <w:sz w:val="24"/>
          <w:szCs w:val="24"/>
          <w:highlight w:val="none"/>
        </w:rPr>
        <w:t>皮卡5万辆/年</w:t>
      </w:r>
      <w:r>
        <w:rPr>
          <w:rFonts w:hint="eastAsia" w:ascii="Times New Roman" w:hAnsi="Times New Roman"/>
          <w:b w:val="0"/>
          <w:bCs w:val="0"/>
          <w:color w:val="0D0D0D" w:themeColor="text1" w:themeTint="F2"/>
          <w:sz w:val="24"/>
          <w:szCs w:val="24"/>
          <w:highlight w:val="none"/>
          <w:lang w:eastAsia="zh-CN"/>
          <w14:textFill>
            <w14:solidFill>
              <w14:schemeClr w14:val="tx1">
                <w14:lumMod w14:val="95000"/>
                <w14:lumOff w14:val="5000"/>
              </w14:schemeClr>
            </w14:solidFill>
          </w14:textFill>
        </w:rPr>
        <w:t>，</w:t>
      </w:r>
      <w:r>
        <w:rPr>
          <w:rFonts w:hint="eastAsia" w:ascii="Times New Roman" w:hAnsi="Times New Roman"/>
          <w:b w:val="0"/>
          <w:bCs w:val="0"/>
          <w:color w:val="0D0D0D" w:themeColor="text1" w:themeTint="F2"/>
          <w:sz w:val="24"/>
          <w:szCs w:val="24"/>
          <w:highlight w:val="none"/>
          <w:lang w:val="en-US" w:eastAsia="zh-CN"/>
          <w14:textFill>
            <w14:solidFill>
              <w14:schemeClr w14:val="tx1">
                <w14:lumMod w14:val="95000"/>
                <w14:lumOff w14:val="5000"/>
              </w14:schemeClr>
            </w14:solidFill>
          </w14:textFill>
        </w:rPr>
        <w:t>满足12JPH节拍生产要求。</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rPr>
        <w:t>3</w:t>
      </w:r>
      <w:r>
        <w:rPr>
          <w:rFonts w:ascii="宋体" w:hAnsi="宋体"/>
          <w:bCs/>
          <w:color w:val="auto"/>
          <w:sz w:val="24"/>
          <w:szCs w:val="24"/>
          <w:highlight w:val="none"/>
        </w:rPr>
        <w:t>.</w:t>
      </w:r>
      <w:r>
        <w:rPr>
          <w:rFonts w:hint="eastAsia" w:ascii="宋体" w:hAnsi="宋体"/>
          <w:bCs/>
          <w:color w:val="auto"/>
          <w:sz w:val="24"/>
          <w:szCs w:val="24"/>
          <w:highlight w:val="none"/>
        </w:rPr>
        <w:t>工作地点：山东济南</w:t>
      </w:r>
    </w:p>
    <w:p>
      <w:pPr>
        <w:spacing w:line="360" w:lineRule="auto"/>
        <w:ind w:firstLine="480" w:firstLineChars="200"/>
        <w:jc w:val="both"/>
        <w:rPr>
          <w:rFonts w:hint="eastAsia" w:ascii="宋体" w:hAnsi="宋体"/>
          <w:color w:val="auto"/>
          <w:sz w:val="24"/>
          <w:szCs w:val="24"/>
          <w:highlight w:val="none"/>
          <w:lang w:val="en-US" w:eastAsia="zh-CN"/>
        </w:rPr>
      </w:pPr>
      <w:r>
        <w:rPr>
          <w:rFonts w:hint="eastAsia" w:ascii="宋体" w:hAnsi="宋体"/>
          <w:bCs/>
          <w:color w:val="auto"/>
          <w:sz w:val="24"/>
          <w:szCs w:val="24"/>
          <w:highlight w:val="none"/>
        </w:rPr>
        <w:t>4</w:t>
      </w:r>
      <w:r>
        <w:rPr>
          <w:rFonts w:ascii="宋体" w:hAnsi="宋体"/>
          <w:bCs/>
          <w:color w:val="auto"/>
          <w:sz w:val="24"/>
          <w:szCs w:val="24"/>
          <w:highlight w:val="none"/>
        </w:rPr>
        <w:t>.</w:t>
      </w:r>
      <w:r>
        <w:rPr>
          <w:rFonts w:hint="eastAsia" w:ascii="宋体" w:hAnsi="宋体"/>
          <w:bCs/>
          <w:color w:val="auto"/>
          <w:sz w:val="24"/>
          <w:szCs w:val="24"/>
          <w:highlight w:val="none"/>
        </w:rPr>
        <w:t>工作制度：</w:t>
      </w:r>
      <w:r>
        <w:rPr>
          <w:rFonts w:hint="eastAsia" w:ascii="宋体" w:hAnsi="宋体"/>
          <w:bCs/>
          <w:color w:val="auto"/>
          <w:sz w:val="24"/>
          <w:szCs w:val="24"/>
          <w:highlight w:val="none"/>
          <w:lang w:eastAsia="zh-CN"/>
        </w:rPr>
        <w:t>每班</w:t>
      </w:r>
      <w:r>
        <w:rPr>
          <w:rFonts w:hint="eastAsia" w:ascii="宋体" w:hAnsi="宋体"/>
          <w:bCs/>
          <w:color w:val="auto"/>
          <w:sz w:val="24"/>
          <w:szCs w:val="24"/>
          <w:highlight w:val="none"/>
          <w:lang w:val="en-US" w:eastAsia="zh-CN"/>
        </w:rPr>
        <w:t>8小时，双班制，251天。极限工况：每班10小时，双班制，300天。</w:t>
      </w:r>
    </w:p>
    <w:p>
      <w:pPr>
        <w:spacing w:line="360" w:lineRule="auto"/>
        <w:ind w:firstLine="480"/>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年时基数：设备年时基数6</w:t>
      </w:r>
      <w:r>
        <w:rPr>
          <w:rFonts w:hint="eastAsia" w:ascii="宋体" w:hAnsi="宋体"/>
          <w:color w:val="auto"/>
          <w:sz w:val="24"/>
          <w:szCs w:val="24"/>
          <w:highlight w:val="none"/>
          <w:lang w:val="en-US" w:eastAsia="zh-CN"/>
        </w:rPr>
        <w:t>0</w:t>
      </w:r>
      <w:r>
        <w:rPr>
          <w:rFonts w:hint="eastAsia" w:ascii="宋体" w:hAnsi="宋体"/>
          <w:color w:val="auto"/>
          <w:sz w:val="24"/>
          <w:szCs w:val="24"/>
          <w:highlight w:val="none"/>
        </w:rPr>
        <w:t>00小时</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w:t>
      </w:r>
      <w:r>
        <w:rPr>
          <w:rFonts w:hint="eastAsia" w:ascii="宋体" w:hAnsi="宋体"/>
          <w:bCs/>
          <w:color w:val="auto"/>
          <w:sz w:val="24"/>
          <w:szCs w:val="24"/>
          <w:highlight w:val="none"/>
        </w:rPr>
        <w:t>使用地点区域自然环境：</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.1.</w:t>
      </w:r>
      <w:r>
        <w:rPr>
          <w:rFonts w:hint="eastAsia" w:ascii="宋体" w:hAnsi="宋体"/>
          <w:bCs/>
          <w:color w:val="auto"/>
          <w:sz w:val="24"/>
          <w:szCs w:val="24"/>
          <w:highlight w:val="none"/>
        </w:rPr>
        <w:t>海拔高度：1000m以下</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.2.</w:t>
      </w:r>
      <w:r>
        <w:rPr>
          <w:rFonts w:hint="eastAsia" w:ascii="宋体" w:hAnsi="宋体"/>
          <w:bCs/>
          <w:color w:val="auto"/>
          <w:sz w:val="24"/>
          <w:szCs w:val="24"/>
          <w:highlight w:val="none"/>
        </w:rPr>
        <w:t>室外温度：-20℃～40℃</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.3.</w:t>
      </w:r>
      <w:r>
        <w:rPr>
          <w:rFonts w:hint="eastAsia" w:ascii="宋体" w:hAnsi="宋体"/>
          <w:bCs/>
          <w:color w:val="auto"/>
          <w:sz w:val="24"/>
          <w:szCs w:val="24"/>
          <w:highlight w:val="none"/>
        </w:rPr>
        <w:t>室内温度：-5℃～45℃</w:t>
      </w:r>
      <w:r>
        <w:rPr>
          <w:rFonts w:hint="eastAsia" w:ascii="宋体" w:hAnsi="宋体"/>
          <w:bCs/>
          <w:color w:val="auto"/>
          <w:sz w:val="24"/>
          <w:szCs w:val="24"/>
          <w:highlight w:val="none"/>
        </w:rPr>
        <w:tab/>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.4.</w:t>
      </w:r>
      <w:r>
        <w:rPr>
          <w:rFonts w:hint="eastAsia" w:ascii="宋体" w:hAnsi="宋体"/>
          <w:bCs/>
          <w:color w:val="auto"/>
          <w:sz w:val="24"/>
          <w:szCs w:val="24"/>
          <w:highlight w:val="none"/>
        </w:rPr>
        <w:t>环境湿度：在20℃时最大湿度为90%</w:t>
      </w:r>
    </w:p>
    <w:p>
      <w:pPr>
        <w:pStyle w:val="2"/>
        <w:keepNext/>
        <w:keepLines/>
        <w:spacing w:line="360" w:lineRule="auto"/>
        <w:ind w:left="0" w:firstLine="480" w:firstLineChars="200"/>
        <w:jc w:val="both"/>
        <w:rPr>
          <w:rFonts w:hint="eastAsia" w:ascii="宋体" w:hAnsi="宋体" w:eastAsia="宋体" w:cs="Times New Roman"/>
          <w:b w:val="0"/>
          <w:bCs/>
          <w:color w:val="auto"/>
          <w:kern w:val="2"/>
          <w:sz w:val="24"/>
          <w:szCs w:val="24"/>
          <w:highlight w:val="none"/>
          <w:lang w:val="en-US" w:eastAsia="zh-CN" w:bidi="ar-SA"/>
        </w:rPr>
      </w:pPr>
      <w:r>
        <w:rPr>
          <w:rFonts w:hint="eastAsia" w:ascii="宋体" w:hAnsi="宋体" w:cs="Times New Roman"/>
          <w:b w:val="0"/>
          <w:bCs/>
          <w:color w:val="auto"/>
          <w:kern w:val="2"/>
          <w:sz w:val="24"/>
          <w:szCs w:val="24"/>
          <w:highlight w:val="none"/>
          <w:lang w:val="en-US" w:eastAsia="zh-CN" w:bidi="ar-SA"/>
        </w:rPr>
        <w:t>7</w:t>
      </w:r>
      <w:r>
        <w:rPr>
          <w:rFonts w:hint="eastAsia" w:ascii="宋体" w:hAnsi="宋体" w:eastAsia="宋体" w:cs="Times New Roman"/>
          <w:b w:val="0"/>
          <w:bCs/>
          <w:color w:val="auto"/>
          <w:kern w:val="2"/>
          <w:sz w:val="24"/>
          <w:szCs w:val="24"/>
          <w:highlight w:val="none"/>
          <w:lang w:val="en-US" w:eastAsia="zh-CN" w:bidi="ar-SA"/>
        </w:rPr>
        <w:t>.电源电压：三相五线制，符合中国制式，供电电压：AC380V±10%，供电频率：50Hz±2%，单相电：AC220V±10%，供电频率：50Hz±2%。</w:t>
      </w:r>
    </w:p>
    <w:p>
      <w:pPr>
        <w:pStyle w:val="2"/>
        <w:keepNext/>
        <w:keepLines/>
        <w:spacing w:line="360" w:lineRule="auto"/>
        <w:ind w:left="0"/>
        <w:jc w:val="both"/>
        <w:rPr>
          <w:rFonts w:hint="eastAsia" w:ascii="宋体" w:hAnsi="宋体"/>
          <w:color w:val="auto"/>
          <w:highlight w:val="none"/>
        </w:rPr>
      </w:pPr>
      <w:r>
        <w:rPr>
          <w:rFonts w:hint="eastAsia" w:ascii="宋体" w:hAnsi="宋体"/>
          <w:color w:val="auto"/>
          <w:highlight w:val="none"/>
        </w:rPr>
        <w:t>三、供货范围</w:t>
      </w:r>
      <w:bookmarkEnd w:id="40"/>
      <w:bookmarkEnd w:id="41"/>
      <w:bookmarkEnd w:id="42"/>
    </w:p>
    <w:p>
      <w:pPr>
        <w:spacing w:line="360" w:lineRule="auto"/>
        <w:ind w:firstLine="480" w:firstLineChars="200"/>
        <w:jc w:val="left"/>
        <w:rPr>
          <w:rFonts w:ascii="宋体" w:hAnsi="宋体"/>
          <w:bCs/>
          <w:sz w:val="24"/>
          <w:szCs w:val="24"/>
          <w:highlight w:val="none"/>
        </w:rPr>
      </w:pPr>
      <w:bookmarkStart w:id="43" w:name="_Toc23035"/>
      <w:bookmarkStart w:id="44" w:name="_Toc27758110"/>
      <w:bookmarkStart w:id="45" w:name="_Toc26357121"/>
      <w:r>
        <w:rPr>
          <w:rFonts w:hint="eastAsia" w:ascii="宋体" w:hAnsi="宋体"/>
          <w:bCs/>
          <w:sz w:val="24"/>
          <w:szCs w:val="24"/>
          <w:highlight w:val="none"/>
        </w:rPr>
        <w:t>本项目包含下表中</w:t>
      </w:r>
      <w:r>
        <w:rPr>
          <w:rFonts w:hint="eastAsia" w:ascii="宋体" w:hAnsi="宋体"/>
          <w:bCs/>
          <w:sz w:val="24"/>
          <w:szCs w:val="24"/>
          <w:highlight w:val="none"/>
          <w:lang w:val="en-US" w:eastAsia="zh-CN"/>
        </w:rPr>
        <w:t>工装</w:t>
      </w:r>
      <w:r>
        <w:rPr>
          <w:rFonts w:hint="eastAsia" w:ascii="宋体" w:hAnsi="宋体"/>
          <w:bCs/>
          <w:sz w:val="24"/>
          <w:szCs w:val="24"/>
          <w:highlight w:val="none"/>
        </w:rPr>
        <w:t>的设计、采购、制造、运输、装卸、安装、调试、验收及培训等。</w:t>
      </w:r>
    </w:p>
    <w:p>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rPr>
        <w:t>货物名称及数量详见下表：</w:t>
      </w:r>
    </w:p>
    <w:tbl>
      <w:tblPr>
        <w:tblStyle w:val="38"/>
        <w:tblW w:w="90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3543"/>
        <w:gridCol w:w="709"/>
        <w:gridCol w:w="709"/>
        <w:gridCol w:w="1287"/>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650"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3543"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设备名称</w:t>
            </w:r>
          </w:p>
        </w:tc>
        <w:tc>
          <w:tcPr>
            <w:tcW w:w="709"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单位</w:t>
            </w:r>
          </w:p>
        </w:tc>
        <w:tc>
          <w:tcPr>
            <w:tcW w:w="709"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数量</w:t>
            </w:r>
          </w:p>
        </w:tc>
        <w:tc>
          <w:tcPr>
            <w:tcW w:w="1287" w:type="dxa"/>
            <w:vAlign w:val="center"/>
          </w:tcPr>
          <w:p>
            <w:pPr>
              <w:tabs>
                <w:tab w:val="left" w:pos="-2340"/>
              </w:tabs>
              <w:spacing w:line="4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工件最大</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重量(kg)</w:t>
            </w:r>
          </w:p>
        </w:tc>
        <w:tc>
          <w:tcPr>
            <w:tcW w:w="2185" w:type="dxa"/>
            <w:vAlign w:val="center"/>
          </w:tcPr>
          <w:p>
            <w:pPr>
              <w:tabs>
                <w:tab w:val="left" w:pos="-2340"/>
              </w:tabs>
              <w:spacing w:line="4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50" w:type="dxa"/>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p>
        </w:tc>
        <w:tc>
          <w:tcPr>
            <w:tcW w:w="3543" w:type="dxa"/>
            <w:vAlign w:val="center"/>
          </w:tcPr>
          <w:p>
            <w:pPr>
              <w:jc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传动轴及排气管固定工装</w:t>
            </w:r>
            <w:r>
              <w:rPr>
                <w:rFonts w:hint="eastAsia" w:ascii="宋体" w:hAnsi="宋体" w:eastAsia="宋体" w:cs="宋体"/>
                <w:color w:val="000000"/>
                <w:sz w:val="21"/>
                <w:szCs w:val="21"/>
                <w:highlight w:val="none"/>
              </w:rPr>
              <w:t xml:space="preserve"> </w:t>
            </w:r>
          </w:p>
        </w:tc>
        <w:tc>
          <w:tcPr>
            <w:tcW w:w="709" w:type="dxa"/>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套</w:t>
            </w:r>
          </w:p>
        </w:tc>
        <w:tc>
          <w:tcPr>
            <w:tcW w:w="709" w:type="dxa"/>
            <w:vAlign w:val="center"/>
          </w:tcPr>
          <w:p>
            <w:pPr>
              <w:jc w:val="center"/>
              <w:rPr>
                <w:rFonts w:hint="eastAsia"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3</w:t>
            </w:r>
          </w:p>
        </w:tc>
        <w:tc>
          <w:tcPr>
            <w:tcW w:w="1287" w:type="dxa"/>
            <w:vAlign w:val="center"/>
          </w:tcPr>
          <w:p>
            <w:pPr>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10</w:t>
            </w:r>
          </w:p>
        </w:tc>
        <w:tc>
          <w:tcPr>
            <w:tcW w:w="2185" w:type="dxa"/>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50" w:type="dxa"/>
            <w:shd w:val="clear" w:color="auto" w:fill="auto"/>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w:t>
            </w:r>
          </w:p>
        </w:tc>
        <w:tc>
          <w:tcPr>
            <w:tcW w:w="3543" w:type="dxa"/>
            <w:shd w:val="clear" w:color="auto" w:fill="auto"/>
            <w:vAlign w:val="center"/>
          </w:tcPr>
          <w:p>
            <w:pPr>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驾驶室悬置安装定位工装</w:t>
            </w:r>
          </w:p>
        </w:tc>
        <w:tc>
          <w:tcPr>
            <w:tcW w:w="709" w:type="dxa"/>
            <w:shd w:val="clear" w:color="auto" w:fill="auto"/>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套</w:t>
            </w:r>
          </w:p>
        </w:tc>
        <w:tc>
          <w:tcPr>
            <w:tcW w:w="709" w:type="dxa"/>
            <w:shd w:val="clear" w:color="auto" w:fill="auto"/>
            <w:vAlign w:val="center"/>
          </w:tcPr>
          <w:p>
            <w:pPr>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w:t>
            </w:r>
          </w:p>
        </w:tc>
        <w:tc>
          <w:tcPr>
            <w:tcW w:w="1287" w:type="dxa"/>
            <w:vAlign w:val="center"/>
          </w:tcPr>
          <w:p>
            <w:pPr>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15</w:t>
            </w:r>
          </w:p>
        </w:tc>
        <w:tc>
          <w:tcPr>
            <w:tcW w:w="2185" w:type="dxa"/>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50" w:type="dxa"/>
            <w:shd w:val="clear" w:color="auto" w:fill="auto"/>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w:t>
            </w:r>
          </w:p>
        </w:tc>
        <w:tc>
          <w:tcPr>
            <w:tcW w:w="3543" w:type="dxa"/>
            <w:shd w:val="clear" w:color="auto" w:fill="auto"/>
            <w:vAlign w:val="center"/>
          </w:tcPr>
          <w:p>
            <w:pPr>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货箱落装辅助工装</w:t>
            </w:r>
          </w:p>
        </w:tc>
        <w:tc>
          <w:tcPr>
            <w:tcW w:w="709" w:type="dxa"/>
            <w:shd w:val="clear" w:color="auto" w:fill="auto"/>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套</w:t>
            </w:r>
          </w:p>
        </w:tc>
        <w:tc>
          <w:tcPr>
            <w:tcW w:w="709" w:type="dxa"/>
            <w:shd w:val="clear" w:color="auto" w:fill="auto"/>
            <w:vAlign w:val="center"/>
          </w:tcPr>
          <w:p>
            <w:pPr>
              <w:jc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1</w:t>
            </w:r>
          </w:p>
        </w:tc>
        <w:tc>
          <w:tcPr>
            <w:tcW w:w="1287" w:type="dxa"/>
            <w:vAlign w:val="center"/>
          </w:tcPr>
          <w:p>
            <w:pPr>
              <w:jc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5</w:t>
            </w:r>
          </w:p>
        </w:tc>
        <w:tc>
          <w:tcPr>
            <w:tcW w:w="2185" w:type="dxa"/>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50" w:type="dxa"/>
            <w:shd w:val="clear" w:color="auto" w:fill="auto"/>
            <w:vAlign w:val="center"/>
          </w:tcPr>
          <w:p>
            <w:pPr>
              <w:jc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4</w:t>
            </w:r>
          </w:p>
        </w:tc>
        <w:tc>
          <w:tcPr>
            <w:tcW w:w="3543" w:type="dxa"/>
            <w:shd w:val="clear" w:color="auto" w:fill="auto"/>
            <w:vAlign w:val="center"/>
          </w:tcPr>
          <w:p>
            <w:pPr>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驾驶室落装辅助工装</w:t>
            </w:r>
          </w:p>
        </w:tc>
        <w:tc>
          <w:tcPr>
            <w:tcW w:w="709" w:type="dxa"/>
            <w:shd w:val="clear" w:color="auto" w:fill="auto"/>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套</w:t>
            </w:r>
          </w:p>
        </w:tc>
        <w:tc>
          <w:tcPr>
            <w:tcW w:w="709" w:type="dxa"/>
            <w:shd w:val="clear" w:color="auto" w:fill="auto"/>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p>
        </w:tc>
        <w:tc>
          <w:tcPr>
            <w:tcW w:w="1287" w:type="dxa"/>
            <w:vAlign w:val="center"/>
          </w:tcPr>
          <w:p>
            <w:pPr>
              <w:jc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5</w:t>
            </w:r>
          </w:p>
        </w:tc>
        <w:tc>
          <w:tcPr>
            <w:tcW w:w="2185" w:type="dxa"/>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50" w:type="dxa"/>
            <w:shd w:val="clear" w:color="auto" w:fill="auto"/>
            <w:vAlign w:val="center"/>
          </w:tcPr>
          <w:p>
            <w:pPr>
              <w:jc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5</w:t>
            </w:r>
          </w:p>
        </w:tc>
        <w:tc>
          <w:tcPr>
            <w:tcW w:w="3543" w:type="dxa"/>
            <w:shd w:val="clear" w:color="auto" w:fill="auto"/>
            <w:vAlign w:val="center"/>
          </w:tcPr>
          <w:p>
            <w:pPr>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线边踏台</w:t>
            </w:r>
          </w:p>
        </w:tc>
        <w:tc>
          <w:tcPr>
            <w:tcW w:w="709" w:type="dxa"/>
            <w:shd w:val="clear" w:color="auto" w:fill="auto"/>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套</w:t>
            </w:r>
          </w:p>
        </w:tc>
        <w:tc>
          <w:tcPr>
            <w:tcW w:w="709" w:type="dxa"/>
            <w:shd w:val="clear" w:color="auto" w:fill="auto"/>
            <w:vAlign w:val="center"/>
          </w:tcPr>
          <w:p>
            <w:pPr>
              <w:jc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6</w:t>
            </w:r>
          </w:p>
        </w:tc>
        <w:tc>
          <w:tcPr>
            <w:tcW w:w="1287" w:type="dxa"/>
            <w:vAlign w:val="center"/>
          </w:tcPr>
          <w:p>
            <w:pPr>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50</w:t>
            </w:r>
          </w:p>
        </w:tc>
        <w:tc>
          <w:tcPr>
            <w:tcW w:w="2185" w:type="dxa"/>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50" w:type="dxa"/>
            <w:shd w:val="clear" w:color="auto" w:fill="auto"/>
            <w:vAlign w:val="center"/>
          </w:tcPr>
          <w:p>
            <w:pPr>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6</w:t>
            </w:r>
          </w:p>
        </w:tc>
        <w:tc>
          <w:tcPr>
            <w:tcW w:w="3543" w:type="dxa"/>
            <w:shd w:val="clear" w:color="auto" w:fill="auto"/>
            <w:vAlign w:val="center"/>
          </w:tcPr>
          <w:p>
            <w:pPr>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发动机盖支撑工装</w:t>
            </w:r>
          </w:p>
        </w:tc>
        <w:tc>
          <w:tcPr>
            <w:tcW w:w="709" w:type="dxa"/>
            <w:shd w:val="clear" w:color="auto" w:fill="auto"/>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套</w:t>
            </w:r>
          </w:p>
        </w:tc>
        <w:tc>
          <w:tcPr>
            <w:tcW w:w="709" w:type="dxa"/>
            <w:shd w:val="clear" w:color="auto" w:fill="auto"/>
            <w:vAlign w:val="center"/>
          </w:tcPr>
          <w:p>
            <w:pPr>
              <w:jc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3</w:t>
            </w:r>
          </w:p>
        </w:tc>
        <w:tc>
          <w:tcPr>
            <w:tcW w:w="1287" w:type="dxa"/>
            <w:vAlign w:val="center"/>
          </w:tcPr>
          <w:p>
            <w:pPr>
              <w:jc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3</w:t>
            </w:r>
          </w:p>
        </w:tc>
        <w:tc>
          <w:tcPr>
            <w:tcW w:w="2185" w:type="dxa"/>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50" w:type="dxa"/>
            <w:shd w:val="clear" w:color="auto" w:fill="auto"/>
            <w:vAlign w:val="center"/>
          </w:tcPr>
          <w:p>
            <w:pPr>
              <w:jc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7</w:t>
            </w:r>
          </w:p>
        </w:tc>
        <w:tc>
          <w:tcPr>
            <w:tcW w:w="3543" w:type="dxa"/>
            <w:shd w:val="clear" w:color="auto" w:fill="auto"/>
            <w:vAlign w:val="center"/>
          </w:tcPr>
          <w:p>
            <w:pPr>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制动盘固定工装</w:t>
            </w:r>
          </w:p>
        </w:tc>
        <w:tc>
          <w:tcPr>
            <w:tcW w:w="709" w:type="dxa"/>
            <w:shd w:val="clear" w:color="auto" w:fill="auto"/>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套</w:t>
            </w:r>
          </w:p>
        </w:tc>
        <w:tc>
          <w:tcPr>
            <w:tcW w:w="709" w:type="dxa"/>
            <w:shd w:val="clear" w:color="auto" w:fill="auto"/>
            <w:vAlign w:val="center"/>
          </w:tcPr>
          <w:p>
            <w:pPr>
              <w:jc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4</w:t>
            </w:r>
          </w:p>
        </w:tc>
        <w:tc>
          <w:tcPr>
            <w:tcW w:w="1287" w:type="dxa"/>
            <w:vAlign w:val="center"/>
          </w:tcPr>
          <w:p>
            <w:pPr>
              <w:jc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5</w:t>
            </w:r>
          </w:p>
        </w:tc>
        <w:tc>
          <w:tcPr>
            <w:tcW w:w="2185" w:type="dxa"/>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50" w:type="dxa"/>
            <w:shd w:val="clear" w:color="auto" w:fill="auto"/>
            <w:vAlign w:val="center"/>
          </w:tcPr>
          <w:p>
            <w:pPr>
              <w:jc w:val="center"/>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8</w:t>
            </w:r>
          </w:p>
        </w:tc>
        <w:tc>
          <w:tcPr>
            <w:tcW w:w="3543" w:type="dxa"/>
            <w:shd w:val="clear" w:color="auto" w:fill="auto"/>
            <w:vAlign w:val="center"/>
          </w:tcPr>
          <w:p>
            <w:pPr>
              <w:jc w:val="center"/>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可滑动座椅</w:t>
            </w:r>
          </w:p>
        </w:tc>
        <w:tc>
          <w:tcPr>
            <w:tcW w:w="709" w:type="dxa"/>
            <w:shd w:val="clear" w:color="auto" w:fill="auto"/>
            <w:vAlign w:val="center"/>
          </w:tcPr>
          <w:p>
            <w:pPr>
              <w:jc w:val="center"/>
              <w:rPr>
                <w:rFonts w:hint="eastAsia"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套</w:t>
            </w:r>
          </w:p>
        </w:tc>
        <w:tc>
          <w:tcPr>
            <w:tcW w:w="709" w:type="dxa"/>
            <w:shd w:val="clear" w:color="auto" w:fill="auto"/>
            <w:vAlign w:val="center"/>
          </w:tcPr>
          <w:p>
            <w:pPr>
              <w:jc w:val="center"/>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20</w:t>
            </w:r>
          </w:p>
        </w:tc>
        <w:tc>
          <w:tcPr>
            <w:tcW w:w="1287" w:type="dxa"/>
            <w:vAlign w:val="center"/>
          </w:tcPr>
          <w:p>
            <w:pPr>
              <w:jc w:val="center"/>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100</w:t>
            </w:r>
          </w:p>
        </w:tc>
        <w:tc>
          <w:tcPr>
            <w:tcW w:w="2185" w:type="dxa"/>
            <w:vAlign w:val="center"/>
          </w:tcPr>
          <w:p>
            <w:pPr>
              <w:jc w:val="center"/>
              <w:rPr>
                <w:rFonts w:hint="eastAsia" w:ascii="宋体" w:hAnsi="宋体" w:eastAsia="宋体" w:cs="宋体"/>
                <w:sz w:val="21"/>
                <w:szCs w:val="21"/>
                <w:highlight w:val="none"/>
              </w:rPr>
            </w:pPr>
          </w:p>
        </w:tc>
      </w:tr>
    </w:tbl>
    <w:p>
      <w:pPr>
        <w:pStyle w:val="2"/>
        <w:keepNext/>
        <w:keepLines/>
        <w:spacing w:line="360" w:lineRule="auto"/>
        <w:ind w:left="0"/>
        <w:jc w:val="both"/>
        <w:rPr>
          <w:rFonts w:hint="eastAsia" w:ascii="宋体" w:hAnsi="宋体"/>
          <w:color w:val="auto"/>
          <w:highlight w:val="none"/>
        </w:rPr>
      </w:pPr>
      <w:r>
        <w:rPr>
          <w:rFonts w:hint="eastAsia" w:ascii="宋体" w:hAnsi="宋体"/>
          <w:color w:val="auto"/>
          <w:highlight w:val="none"/>
        </w:rPr>
        <w:t>四、工程界面</w:t>
      </w:r>
      <w:bookmarkEnd w:id="43"/>
    </w:p>
    <w:p>
      <w:pPr>
        <w:spacing w:line="360" w:lineRule="auto"/>
        <w:rPr>
          <w:rFonts w:ascii="宋体" w:hAnsi="宋体"/>
          <w:sz w:val="24"/>
          <w:szCs w:val="24"/>
          <w:highlight w:val="none"/>
        </w:rPr>
      </w:pPr>
      <w:bookmarkStart w:id="46" w:name="_Toc32178"/>
      <w:r>
        <w:rPr>
          <w:rFonts w:hint="eastAsia" w:ascii="宋体" w:hAnsi="宋体"/>
          <w:sz w:val="24"/>
          <w:szCs w:val="24"/>
          <w:highlight w:val="none"/>
          <w:lang w:val="en-US" w:eastAsia="zh-CN"/>
        </w:rPr>
        <w:t>1.</w:t>
      </w:r>
      <w:r>
        <w:rPr>
          <w:rFonts w:hint="eastAsia" w:ascii="宋体" w:hAnsi="宋体"/>
          <w:sz w:val="24"/>
          <w:szCs w:val="24"/>
          <w:highlight w:val="none"/>
        </w:rPr>
        <w:t>招标方提供厂房</w:t>
      </w:r>
      <w:r>
        <w:rPr>
          <w:rFonts w:hint="eastAsia" w:ascii="宋体" w:hAnsi="宋体"/>
          <w:sz w:val="24"/>
          <w:szCs w:val="24"/>
          <w:highlight w:val="none"/>
          <w:lang w:eastAsia="zh-CN"/>
        </w:rPr>
        <w:t>及吊点，</w:t>
      </w:r>
      <w:r>
        <w:rPr>
          <w:rFonts w:hint="eastAsia" w:ascii="宋体" w:hAnsi="宋体"/>
          <w:sz w:val="24"/>
          <w:szCs w:val="24"/>
          <w:highlight w:val="none"/>
        </w:rPr>
        <w:t>吊点设置位置、高度及规格型号见厂房建筑图纸</w:t>
      </w:r>
      <w:r>
        <w:rPr>
          <w:rFonts w:hint="eastAsia" w:ascii="宋体" w:hAnsi="宋体"/>
          <w:sz w:val="24"/>
          <w:szCs w:val="24"/>
          <w:highlight w:val="none"/>
          <w:lang w:eastAsia="zh-CN"/>
        </w:rPr>
        <w:t>；</w:t>
      </w:r>
      <w:r>
        <w:rPr>
          <w:rFonts w:hint="eastAsia" w:asciiTheme="minorEastAsia" w:hAnsiTheme="minorEastAsia"/>
          <w:sz w:val="24"/>
          <w:szCs w:val="24"/>
          <w:highlight w:val="none"/>
        </w:rPr>
        <w:t>投标方负责</w:t>
      </w:r>
      <w:r>
        <w:rPr>
          <w:rFonts w:hint="eastAsia" w:asciiTheme="minorEastAsia" w:hAnsiTheme="minorEastAsia"/>
          <w:sz w:val="24"/>
          <w:szCs w:val="24"/>
          <w:highlight w:val="none"/>
          <w:lang w:eastAsia="zh-CN"/>
        </w:rPr>
        <w:t>吊点以下</w:t>
      </w:r>
      <w:r>
        <w:rPr>
          <w:rFonts w:hint="eastAsia" w:asciiTheme="minorEastAsia" w:hAnsiTheme="minorEastAsia"/>
          <w:sz w:val="24"/>
          <w:szCs w:val="24"/>
          <w:highlight w:val="none"/>
        </w:rPr>
        <w:t>悬挂钢结构</w:t>
      </w:r>
      <w:r>
        <w:rPr>
          <w:rFonts w:hint="eastAsia" w:asciiTheme="minorEastAsia" w:hAnsiTheme="minorEastAsia"/>
          <w:sz w:val="24"/>
          <w:szCs w:val="24"/>
          <w:highlight w:val="none"/>
          <w:lang w:eastAsia="zh-CN"/>
        </w:rPr>
        <w:t>，</w:t>
      </w:r>
      <w:r>
        <w:rPr>
          <w:rFonts w:hint="eastAsia" w:ascii="宋体" w:hAnsi="宋体"/>
          <w:sz w:val="24"/>
          <w:szCs w:val="24"/>
          <w:highlight w:val="none"/>
        </w:rPr>
        <w:t>包括吊点联接装置、吊杆、一次、二次辅梁、安全护栏、安全网等</w:t>
      </w:r>
      <w:r>
        <w:rPr>
          <w:rFonts w:hint="eastAsia" w:asciiTheme="minorEastAsia" w:hAnsiTheme="minorEastAsia"/>
          <w:sz w:val="24"/>
          <w:szCs w:val="24"/>
          <w:highlight w:val="none"/>
          <w:lang w:eastAsia="zh-CN"/>
        </w:rPr>
        <w:t>的</w:t>
      </w:r>
      <w:r>
        <w:rPr>
          <w:rFonts w:hint="eastAsia" w:asciiTheme="minorEastAsia" w:hAnsiTheme="minorEastAsia"/>
          <w:sz w:val="24"/>
          <w:szCs w:val="24"/>
          <w:highlight w:val="none"/>
        </w:rPr>
        <w:t>设计、制作、安装。投标方的设计图纸应经招标方审核。</w:t>
      </w:r>
    </w:p>
    <w:p>
      <w:pPr>
        <w:spacing w:line="360" w:lineRule="auto"/>
        <w:rPr>
          <w:rFonts w:ascii="宋体" w:hAnsi="宋体"/>
          <w:sz w:val="24"/>
          <w:szCs w:val="24"/>
          <w:highlight w:val="none"/>
        </w:rPr>
      </w:pPr>
      <w:r>
        <w:rPr>
          <w:rFonts w:hint="eastAsia" w:ascii="宋体" w:hAnsi="宋体"/>
          <w:sz w:val="24"/>
          <w:szCs w:val="24"/>
          <w:highlight w:val="none"/>
          <w:lang w:val="en-US" w:eastAsia="zh-CN"/>
        </w:rPr>
        <w:t>2.</w:t>
      </w:r>
      <w:r>
        <w:rPr>
          <w:rFonts w:hint="eastAsia" w:ascii="宋体" w:hAnsi="宋体"/>
          <w:sz w:val="24"/>
          <w:szCs w:val="24"/>
          <w:highlight w:val="none"/>
        </w:rPr>
        <w:t>基础</w:t>
      </w:r>
      <w:r>
        <w:rPr>
          <w:rFonts w:hint="eastAsia" w:ascii="宋体" w:hAnsi="宋体"/>
          <w:sz w:val="24"/>
          <w:szCs w:val="24"/>
          <w:highlight w:val="none"/>
          <w:lang w:eastAsia="zh-CN"/>
        </w:rPr>
        <w:t>，</w:t>
      </w:r>
      <w:r>
        <w:rPr>
          <w:rFonts w:hint="eastAsia" w:ascii="宋体" w:hAnsi="宋体"/>
          <w:sz w:val="24"/>
          <w:szCs w:val="24"/>
          <w:highlight w:val="none"/>
          <w:lang w:val="en-US" w:eastAsia="zh-CN"/>
        </w:rPr>
        <w:t>基础</w:t>
      </w:r>
      <w:r>
        <w:rPr>
          <w:rFonts w:hint="eastAsia" w:ascii="宋体" w:hAnsi="宋体"/>
          <w:sz w:val="24"/>
          <w:szCs w:val="24"/>
          <w:highlight w:val="none"/>
        </w:rPr>
        <w:t>及二次浇注划分基础、二次浇注、预埋件等由招标方提供，具体要求由投标方在土建需求提供资料前提出。</w:t>
      </w:r>
    </w:p>
    <w:p>
      <w:pPr>
        <w:spacing w:line="360" w:lineRule="auto"/>
        <w:rPr>
          <w:rFonts w:ascii="宋体" w:hAnsi="宋体"/>
          <w:sz w:val="24"/>
          <w:szCs w:val="24"/>
          <w:highlight w:val="none"/>
        </w:rPr>
      </w:pPr>
      <w:r>
        <w:rPr>
          <w:rFonts w:hint="eastAsia" w:ascii="宋体" w:hAnsi="宋体"/>
          <w:sz w:val="24"/>
          <w:szCs w:val="24"/>
          <w:highlight w:val="none"/>
          <w:lang w:val="en-US" w:eastAsia="zh-CN"/>
        </w:rPr>
        <w:t>3.</w:t>
      </w:r>
      <w:r>
        <w:rPr>
          <w:rFonts w:hint="eastAsia" w:ascii="宋体" w:hAnsi="宋体"/>
          <w:sz w:val="24"/>
          <w:szCs w:val="24"/>
          <w:highlight w:val="none"/>
        </w:rPr>
        <w:t>气源划分</w:t>
      </w:r>
      <w:r>
        <w:rPr>
          <w:rFonts w:hint="eastAsia" w:ascii="宋体" w:hAnsi="宋体"/>
          <w:sz w:val="24"/>
          <w:szCs w:val="24"/>
          <w:highlight w:val="none"/>
          <w:lang w:eastAsia="zh-CN"/>
        </w:rPr>
        <w:t>，</w:t>
      </w:r>
      <w:r>
        <w:rPr>
          <w:rFonts w:hint="eastAsia" w:ascii="宋体" w:hAnsi="宋体"/>
          <w:sz w:val="24"/>
          <w:szCs w:val="24"/>
          <w:highlight w:val="none"/>
        </w:rPr>
        <w:t>气源一次侧与二次侧的范围界定：根据设备需要，招标方在车间主管网上预留气源接口并带有阀门；阀门后所有的气路设施由投标方负责，投标方需在提供资料时提出预留气源接口位置。</w:t>
      </w:r>
    </w:p>
    <w:p>
      <w:pPr>
        <w:spacing w:line="360" w:lineRule="auto"/>
        <w:rPr>
          <w:rFonts w:ascii="宋体" w:hAnsi="宋体"/>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电源划分</w:t>
      </w:r>
      <w:r>
        <w:rPr>
          <w:rFonts w:hint="eastAsia" w:ascii="宋体" w:hAnsi="宋体"/>
          <w:sz w:val="24"/>
          <w:szCs w:val="24"/>
          <w:highlight w:val="none"/>
          <w:lang w:eastAsia="zh-CN"/>
        </w:rPr>
        <w:t>，</w:t>
      </w:r>
      <w:r>
        <w:rPr>
          <w:rFonts w:hint="eastAsia" w:ascii="宋体" w:hAnsi="宋体"/>
          <w:sz w:val="24"/>
          <w:szCs w:val="24"/>
          <w:highlight w:val="none"/>
        </w:rPr>
        <w:t>控制柜仅指设备的主控柜，原则上每台设备设置一个主控柜（主控柜位置</w:t>
      </w:r>
      <w:r>
        <w:rPr>
          <w:rFonts w:hint="eastAsia" w:ascii="宋体" w:hAnsi="宋体"/>
          <w:sz w:val="24"/>
          <w:szCs w:val="24"/>
          <w:highlight w:val="none"/>
          <w:lang w:val="en-US" w:eastAsia="zh-CN"/>
        </w:rPr>
        <w:t>需根据实际生产情况具体设置</w:t>
      </w:r>
      <w:r>
        <w:rPr>
          <w:rFonts w:hint="eastAsia" w:ascii="宋体" w:hAnsi="宋体"/>
          <w:sz w:val="24"/>
          <w:szCs w:val="24"/>
          <w:highlight w:val="none"/>
        </w:rPr>
        <w:t>），单台设备超过一个主控柜需在图纸会签时说明，否则招标方不负责提供多余电源点。招标方负责从插接箱中接电进投标方主控柜，线缆和桥架及母线插接箱均由招标方负责。投标方负责每条主线和分装线边小功率设备的线边配电柜（带电表及通讯上</w:t>
      </w:r>
      <w:r>
        <w:rPr>
          <w:rFonts w:hint="eastAsia" w:ascii="宋体" w:hAnsi="宋体"/>
          <w:sz w:val="24"/>
          <w:szCs w:val="24"/>
          <w:highlight w:val="none"/>
          <w:lang w:val="en-US" w:eastAsia="zh-CN"/>
        </w:rPr>
        <w:t xml:space="preserve">  </w:t>
      </w:r>
      <w:r>
        <w:rPr>
          <w:rFonts w:hint="eastAsia" w:ascii="宋体" w:hAnsi="宋体"/>
          <w:sz w:val="24"/>
          <w:szCs w:val="24"/>
          <w:highlight w:val="none"/>
        </w:rPr>
        <w:t>传功能），配电柜接线及柜内各元器件由投标方负责。</w:t>
      </w:r>
    </w:p>
    <w:p>
      <w:pPr>
        <w:spacing w:line="360" w:lineRule="auto"/>
        <w:rPr>
          <w:rFonts w:ascii="宋体" w:hAnsi="宋体"/>
          <w:sz w:val="24"/>
          <w:szCs w:val="24"/>
          <w:highlight w:val="none"/>
        </w:rPr>
      </w:pPr>
      <w:r>
        <w:rPr>
          <w:rFonts w:hint="eastAsia" w:ascii="宋体" w:hAnsi="宋体"/>
          <w:sz w:val="24"/>
          <w:szCs w:val="24"/>
          <w:highlight w:val="none"/>
        </w:rPr>
        <w:t xml:space="preserve">投标方负责线边配电柜到线边两侧工位上的接电盒（具体图纸会签时确定），接电盒内各元器件由投标方负责。投标方负责提供输送设备、工艺设备、照明、风扇、插座用电。  </w:t>
      </w:r>
    </w:p>
    <w:p>
      <w:pPr>
        <w:spacing w:line="360" w:lineRule="auto"/>
        <w:rPr>
          <w:rFonts w:ascii="宋体" w:hAnsi="宋体"/>
          <w:bCs/>
          <w:sz w:val="24"/>
          <w:szCs w:val="24"/>
          <w:highlight w:val="none"/>
        </w:rPr>
      </w:pPr>
      <w:r>
        <w:rPr>
          <w:rFonts w:hint="eastAsia" w:ascii="宋体" w:hAnsi="宋体"/>
          <w:sz w:val="24"/>
          <w:szCs w:val="24"/>
          <w:highlight w:val="none"/>
          <w:lang w:val="en-US" w:eastAsia="zh-CN"/>
        </w:rPr>
        <w:t>5.</w:t>
      </w:r>
      <w:r>
        <w:rPr>
          <w:rFonts w:hint="eastAsia" w:ascii="宋体" w:hAnsi="宋体"/>
          <w:sz w:val="24"/>
          <w:szCs w:val="24"/>
          <w:highlight w:val="none"/>
        </w:rPr>
        <w:t>照明划分</w:t>
      </w:r>
      <w:r>
        <w:rPr>
          <w:rFonts w:hint="eastAsia" w:ascii="宋体" w:hAnsi="宋体"/>
          <w:sz w:val="24"/>
          <w:szCs w:val="24"/>
          <w:highlight w:val="none"/>
          <w:lang w:eastAsia="zh-CN"/>
        </w:rPr>
        <w:t>，</w:t>
      </w:r>
      <w:r>
        <w:rPr>
          <w:rFonts w:hint="eastAsia" w:ascii="宋体" w:hAnsi="宋体"/>
          <w:sz w:val="24"/>
          <w:szCs w:val="24"/>
          <w:highlight w:val="none"/>
        </w:rPr>
        <w:t>招标方负责车间照明、应急照明、疏散指示灯。投标方负责工位照明、设备照明。</w:t>
      </w:r>
    </w:p>
    <w:p>
      <w:pPr>
        <w:spacing w:line="360" w:lineRule="auto"/>
        <w:jc w:val="left"/>
        <w:rPr>
          <w:rFonts w:hint="eastAsia" w:asciiTheme="minorEastAsia" w:hAnsiTheme="minorEastAsia"/>
          <w:sz w:val="24"/>
          <w:szCs w:val="24"/>
          <w:highlight w:val="none"/>
        </w:rPr>
      </w:pPr>
      <w:r>
        <w:rPr>
          <w:rFonts w:hint="eastAsia" w:ascii="宋体" w:hAnsi="宋体"/>
          <w:bCs/>
          <w:sz w:val="24"/>
          <w:szCs w:val="24"/>
          <w:highlight w:val="none"/>
          <w:lang w:val="en-US" w:eastAsia="zh-CN"/>
        </w:rPr>
        <w:t>6.</w:t>
      </w:r>
      <w:r>
        <w:rPr>
          <w:rFonts w:hint="eastAsia" w:ascii="宋体" w:hAnsi="宋体"/>
          <w:bCs/>
          <w:sz w:val="24"/>
          <w:szCs w:val="24"/>
          <w:highlight w:val="none"/>
        </w:rPr>
        <w:t>工艺接口</w:t>
      </w:r>
      <w:r>
        <w:rPr>
          <w:rFonts w:hint="eastAsia" w:ascii="宋体" w:hAnsi="宋体"/>
          <w:bCs/>
          <w:sz w:val="24"/>
          <w:szCs w:val="24"/>
          <w:highlight w:val="none"/>
          <w:lang w:eastAsia="zh-CN"/>
        </w:rPr>
        <w:t>，</w:t>
      </w:r>
      <w:r>
        <w:rPr>
          <w:rFonts w:hint="eastAsia" w:asciiTheme="minorEastAsia" w:hAnsiTheme="minorEastAsia"/>
          <w:sz w:val="24"/>
          <w:szCs w:val="24"/>
          <w:highlight w:val="none"/>
        </w:rPr>
        <w:t>各设备具体布置情况详见重汽轻卡二期总装平面布置图。平面布置图仅提出各设备布置位置及输送流向，投标方应细化各设备设计方案后，作为投标依据。</w:t>
      </w:r>
    </w:p>
    <w:p>
      <w:pPr>
        <w:pStyle w:val="2"/>
        <w:keepNext/>
        <w:keepLines/>
        <w:spacing w:line="360" w:lineRule="auto"/>
        <w:ind w:left="0"/>
        <w:jc w:val="both"/>
        <w:rPr>
          <w:rFonts w:hint="eastAsia" w:ascii="宋体" w:hAnsi="宋体"/>
          <w:color w:val="auto"/>
          <w:highlight w:val="none"/>
        </w:rPr>
      </w:pPr>
      <w:r>
        <w:rPr>
          <w:rFonts w:hint="eastAsia" w:ascii="宋体" w:hAnsi="宋体" w:eastAsia="宋体" w:cs="Times New Roman"/>
          <w:b w:val="0"/>
          <w:bCs/>
          <w:kern w:val="2"/>
          <w:sz w:val="24"/>
          <w:szCs w:val="24"/>
          <w:highlight w:val="none"/>
          <w:lang w:val="en-US" w:eastAsia="zh-CN" w:bidi="ar-SA"/>
        </w:rPr>
        <w:t>7.网络界面，招标方负责车间内一次侧网络布置，投标方负责二次侧网络布置和连接。</w:t>
      </w:r>
      <w:r>
        <w:rPr>
          <w:rFonts w:hint="eastAsia" w:ascii="宋体" w:hAnsi="宋体"/>
          <w:color w:val="auto"/>
          <w:highlight w:val="none"/>
        </w:rPr>
        <w:t>五、标的物技术要求</w:t>
      </w:r>
      <w:bookmarkEnd w:id="44"/>
      <w:bookmarkEnd w:id="45"/>
      <w:bookmarkEnd w:id="46"/>
    </w:p>
    <w:p>
      <w:pPr>
        <w:spacing w:line="360" w:lineRule="auto"/>
        <w:rPr>
          <w:rFonts w:hint="default" w:ascii="宋体" w:hAnsi="宋体" w:eastAsia="宋体"/>
          <w:b/>
          <w:bCs/>
          <w:color w:val="auto"/>
          <w:sz w:val="24"/>
          <w:szCs w:val="24"/>
          <w:highlight w:val="none"/>
          <w:lang w:val="en-US" w:eastAsia="zh-CN"/>
        </w:rPr>
      </w:pPr>
      <w:r>
        <w:rPr>
          <w:rFonts w:hint="eastAsia" w:ascii="宋体" w:hAnsi="宋体"/>
          <w:b/>
          <w:bCs/>
          <w:color w:val="auto"/>
          <w:sz w:val="24"/>
          <w:szCs w:val="24"/>
          <w:highlight w:val="none"/>
        </w:rPr>
        <w:t>1、基本要求</w:t>
      </w:r>
    </w:p>
    <w:p>
      <w:pPr>
        <w:spacing w:line="360" w:lineRule="auto"/>
        <w:jc w:val="both"/>
        <w:rPr>
          <w:rFonts w:ascii="宋体" w:hAnsi="宋体"/>
          <w:bCs/>
          <w:color w:val="auto"/>
          <w:sz w:val="24"/>
          <w:highlight w:val="none"/>
        </w:rPr>
      </w:pPr>
      <w:r>
        <w:rPr>
          <w:rFonts w:hint="eastAsia" w:ascii="宋体" w:hAnsi="宋体"/>
          <w:bCs/>
          <w:color w:val="auto"/>
          <w:sz w:val="24"/>
          <w:highlight w:val="none"/>
        </w:rPr>
        <w:t>1.</w:t>
      </w:r>
      <w:r>
        <w:rPr>
          <w:rFonts w:hint="eastAsia" w:ascii="宋体" w:hAnsi="宋体"/>
          <w:bCs/>
          <w:color w:val="auto"/>
          <w:sz w:val="24"/>
          <w:highlight w:val="none"/>
          <w:lang w:val="en-US" w:eastAsia="zh-CN"/>
        </w:rPr>
        <w:t>1</w:t>
      </w:r>
      <w:r>
        <w:rPr>
          <w:rFonts w:hint="eastAsia" w:ascii="宋体" w:hAnsi="宋体"/>
          <w:bCs/>
          <w:color w:val="auto"/>
          <w:sz w:val="24"/>
          <w:highlight w:val="none"/>
        </w:rPr>
        <w:t>投标方所供的货物，必须符合中国最新版的法律、法规和相关标准、规范的要求，符合项目所在地政府有关特殊要求。</w:t>
      </w:r>
    </w:p>
    <w:p>
      <w:pPr>
        <w:spacing w:line="360" w:lineRule="auto"/>
        <w:jc w:val="both"/>
        <w:rPr>
          <w:rFonts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2投标方所供货物涉及的、招标方有权使用的专利权技术以及知识产权保护的其它技术等，应保证招标方不因此受到任何侵权指控以及实际损失。</w:t>
      </w:r>
    </w:p>
    <w:p>
      <w:pPr>
        <w:spacing w:line="360" w:lineRule="auto"/>
        <w:jc w:val="both"/>
        <w:rPr>
          <w:rFonts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3投标方应保证所供货物的先进性、可靠性、经济性和实用性，并为全新货物（或设备）。</w:t>
      </w:r>
    </w:p>
    <w:p>
      <w:pPr>
        <w:spacing w:line="360" w:lineRule="auto"/>
        <w:jc w:val="both"/>
        <w:rPr>
          <w:rFonts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4投标方应满足招标方提出的各项技术要求，必要时应当免费提供技术承诺或担保。</w:t>
      </w:r>
    </w:p>
    <w:p>
      <w:pPr>
        <w:spacing w:line="360" w:lineRule="auto"/>
        <w:jc w:val="both"/>
        <w:rPr>
          <w:rFonts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5投标方应保证所供货物（或设备）为中国公布的非淘汰货物（或设备），并为中国指定或规定的主管部门认可的环保型和节能型货物（或设备）。</w:t>
      </w:r>
    </w:p>
    <w:p>
      <w:pPr>
        <w:spacing w:line="360" w:lineRule="auto"/>
        <w:jc w:val="both"/>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6投标方应保证所供货物（或生产线）的完整性和成套性，能保证货物（或生产线）的正常运行、使用。</w:t>
      </w:r>
    </w:p>
    <w:p>
      <w:pPr>
        <w:spacing w:line="360" w:lineRule="auto"/>
        <w:jc w:val="both"/>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7投标方应对招标方采购的货物（或生产线）所涉及的技术、产能等信息负有保密义务，特殊项目应当无条件签署保密协议。</w:t>
      </w:r>
    </w:p>
    <w:p>
      <w:pPr>
        <w:spacing w:line="360" w:lineRule="auto"/>
        <w:jc w:val="both"/>
        <w:rPr>
          <w:rFonts w:hint="default" w:ascii="宋体" w:hAnsi="宋体" w:eastAsia="宋体"/>
          <w:bCs/>
          <w:color w:val="auto"/>
          <w:sz w:val="24"/>
          <w:highlight w:val="none"/>
          <w:lang w:val="en-US" w:eastAsia="zh-CN"/>
        </w:rPr>
      </w:pPr>
      <w:r>
        <w:rPr>
          <w:rFonts w:hint="eastAsia" w:ascii="宋体" w:hAnsi="宋体"/>
          <w:bCs/>
          <w:color w:val="auto"/>
          <w:sz w:val="24"/>
          <w:highlight w:val="none"/>
          <w:lang w:val="en-US" w:eastAsia="zh-CN"/>
        </w:rPr>
        <w:t>1.8投标方提供的设备外观必须满足招标方《Q/ZZ 30070—2020 设备设施颜色标识》的要求。</w:t>
      </w:r>
    </w:p>
    <w:p>
      <w:pPr>
        <w:autoSpaceDE w:val="0"/>
        <w:autoSpaceDN w:val="0"/>
        <w:adjustRightInd w:val="0"/>
        <w:spacing w:line="480" w:lineRule="exact"/>
        <w:jc w:val="left"/>
        <w:rPr>
          <w:rFonts w:ascii="宋体" w:hAnsi="宋体"/>
          <w:b/>
          <w:color w:val="auto"/>
          <w:sz w:val="24"/>
          <w:szCs w:val="24"/>
          <w:highlight w:val="none"/>
        </w:rPr>
      </w:pPr>
      <w:r>
        <w:rPr>
          <w:rFonts w:hint="eastAsia" w:ascii="宋体" w:hAnsi="宋体"/>
          <w:b/>
          <w:color w:val="auto"/>
          <w:sz w:val="24"/>
          <w:szCs w:val="24"/>
          <w:highlight w:val="none"/>
        </w:rPr>
        <w:t>2、通用技术要求</w:t>
      </w:r>
    </w:p>
    <w:p>
      <w:pPr>
        <w:autoSpaceDE w:val="0"/>
        <w:autoSpaceDN w:val="0"/>
        <w:adjustRightInd w:val="0"/>
        <w:spacing w:line="480" w:lineRule="exact"/>
        <w:jc w:val="both"/>
        <w:rPr>
          <w:rFonts w:hint="eastAsia" w:ascii="宋体" w:hAnsi="宋体"/>
          <w:b/>
          <w:sz w:val="24"/>
          <w:szCs w:val="24"/>
          <w:highlight w:val="none"/>
        </w:rPr>
      </w:pPr>
      <w:r>
        <w:rPr>
          <w:rFonts w:hint="eastAsia" w:ascii="宋体" w:hAnsi="宋体"/>
          <w:b/>
          <w:sz w:val="24"/>
          <w:szCs w:val="24"/>
          <w:highlight w:val="none"/>
        </w:rPr>
        <w:t>2.</w:t>
      </w:r>
      <w:r>
        <w:rPr>
          <w:rFonts w:hint="eastAsia" w:ascii="宋体" w:hAnsi="宋体"/>
          <w:b/>
          <w:sz w:val="24"/>
          <w:szCs w:val="24"/>
          <w:highlight w:val="none"/>
          <w:lang w:val="en-US" w:eastAsia="zh-CN"/>
        </w:rPr>
        <w:t>1</w:t>
      </w:r>
      <w:r>
        <w:rPr>
          <w:rFonts w:hint="eastAsia" w:ascii="宋体" w:hAnsi="宋体"/>
          <w:b/>
          <w:sz w:val="24"/>
          <w:szCs w:val="24"/>
          <w:highlight w:val="none"/>
        </w:rPr>
        <w:t>、</w:t>
      </w:r>
      <w:r>
        <w:rPr>
          <w:rFonts w:hint="eastAsia" w:ascii="宋体" w:hAnsi="宋体"/>
          <w:b/>
          <w:sz w:val="24"/>
          <w:szCs w:val="24"/>
          <w:highlight w:val="none"/>
          <w:lang w:val="en-US" w:eastAsia="zh-CN"/>
        </w:rPr>
        <w:t>使用</w:t>
      </w:r>
      <w:r>
        <w:rPr>
          <w:rFonts w:hint="eastAsia" w:ascii="宋体" w:hAnsi="宋体"/>
          <w:b/>
          <w:sz w:val="24"/>
          <w:szCs w:val="24"/>
          <w:highlight w:val="none"/>
        </w:rPr>
        <w:t>方面要求</w:t>
      </w:r>
    </w:p>
    <w:p>
      <w:pPr>
        <w:autoSpaceDE w:val="0"/>
        <w:autoSpaceDN w:val="0"/>
        <w:adjustRightInd w:val="0"/>
        <w:spacing w:line="480" w:lineRule="exact"/>
        <w:jc w:val="both"/>
        <w:rPr>
          <w:rFonts w:hint="eastAsia" w:ascii="宋体" w:hAnsi="宋体"/>
          <w:b w:val="0"/>
          <w:bCs/>
          <w:sz w:val="24"/>
          <w:szCs w:val="24"/>
          <w:highlight w:val="none"/>
          <w:lang w:val="en-US" w:eastAsia="zh-CN"/>
        </w:rPr>
      </w:pPr>
      <w:r>
        <w:rPr>
          <w:rFonts w:hint="eastAsia" w:ascii="宋体" w:hAnsi="宋体"/>
          <w:b w:val="0"/>
          <w:bCs/>
          <w:sz w:val="24"/>
          <w:szCs w:val="24"/>
          <w:highlight w:val="none"/>
          <w:lang w:val="en-US" w:eastAsia="zh-CN"/>
        </w:rPr>
        <w:t>2.1.1、所有工装均使用不锈钢材质制作，表面颜色应与车间主体颜色相同，颜色应达到3年使用要求。</w:t>
      </w:r>
    </w:p>
    <w:p>
      <w:pPr>
        <w:autoSpaceDE w:val="0"/>
        <w:autoSpaceDN w:val="0"/>
        <w:adjustRightInd w:val="0"/>
        <w:spacing w:line="480" w:lineRule="exact"/>
        <w:jc w:val="both"/>
        <w:rPr>
          <w:rFonts w:hint="eastAsia" w:ascii="宋体" w:hAnsi="宋体"/>
          <w:b w:val="0"/>
          <w:bCs/>
          <w:sz w:val="24"/>
          <w:szCs w:val="24"/>
          <w:highlight w:val="none"/>
          <w:lang w:val="en-US" w:eastAsia="zh-CN"/>
        </w:rPr>
      </w:pPr>
      <w:r>
        <w:rPr>
          <w:rFonts w:hint="eastAsia" w:ascii="宋体" w:hAnsi="宋体"/>
          <w:b w:val="0"/>
          <w:bCs/>
          <w:sz w:val="24"/>
          <w:szCs w:val="24"/>
          <w:highlight w:val="none"/>
          <w:lang w:val="en-US" w:eastAsia="zh-CN"/>
        </w:rPr>
        <w:t>2.1.2、与车身或车架及零部件漆面等部位接触时需要增加防护，避免磕碰掉漆。</w:t>
      </w:r>
    </w:p>
    <w:p>
      <w:pPr>
        <w:autoSpaceDE w:val="0"/>
        <w:autoSpaceDN w:val="0"/>
        <w:adjustRightInd w:val="0"/>
        <w:spacing w:line="480" w:lineRule="exact"/>
        <w:jc w:val="both"/>
        <w:rPr>
          <w:rFonts w:hint="eastAsia" w:ascii="宋体" w:hAnsi="宋体"/>
          <w:b w:val="0"/>
          <w:bCs/>
          <w:sz w:val="24"/>
          <w:szCs w:val="24"/>
          <w:highlight w:val="none"/>
          <w:lang w:val="en-US" w:eastAsia="zh-CN"/>
        </w:rPr>
      </w:pPr>
      <w:r>
        <w:rPr>
          <w:rFonts w:hint="eastAsia" w:ascii="宋体" w:hAnsi="宋体"/>
          <w:b w:val="0"/>
          <w:bCs/>
          <w:sz w:val="24"/>
          <w:szCs w:val="24"/>
          <w:highlight w:val="none"/>
          <w:lang w:val="en-US" w:eastAsia="zh-CN"/>
        </w:rPr>
        <w:t>2.1.3、工装与车身或车架及零部件配合使用时应满足定位及尺寸要求，避免晃动。</w:t>
      </w:r>
    </w:p>
    <w:p>
      <w:pPr>
        <w:autoSpaceDE w:val="0"/>
        <w:autoSpaceDN w:val="0"/>
        <w:adjustRightInd w:val="0"/>
        <w:spacing w:line="480" w:lineRule="exact"/>
        <w:jc w:val="both"/>
        <w:rPr>
          <w:rFonts w:hint="eastAsia" w:ascii="宋体" w:hAnsi="宋体"/>
          <w:b w:val="0"/>
          <w:bCs/>
          <w:sz w:val="24"/>
          <w:szCs w:val="24"/>
          <w:highlight w:val="none"/>
          <w:lang w:val="en-US" w:eastAsia="zh-CN"/>
        </w:rPr>
      </w:pPr>
      <w:r>
        <w:rPr>
          <w:rFonts w:hint="eastAsia" w:ascii="宋体" w:hAnsi="宋体"/>
          <w:b w:val="0"/>
          <w:bCs/>
          <w:sz w:val="24"/>
          <w:szCs w:val="24"/>
          <w:highlight w:val="none"/>
          <w:lang w:val="en-US" w:eastAsia="zh-CN"/>
        </w:rPr>
        <w:t>2.1.4、供应商设计工装应出具二维图纸，尺寸公差满足《机械设计手册》要求。</w:t>
      </w:r>
    </w:p>
    <w:p>
      <w:pPr>
        <w:autoSpaceDE w:val="0"/>
        <w:autoSpaceDN w:val="0"/>
        <w:adjustRightInd w:val="0"/>
        <w:spacing w:line="480" w:lineRule="exact"/>
        <w:jc w:val="both"/>
        <w:rPr>
          <w:rFonts w:hint="default" w:ascii="宋体" w:hAnsi="宋体"/>
          <w:b w:val="0"/>
          <w:bCs/>
          <w:sz w:val="24"/>
          <w:szCs w:val="24"/>
          <w:highlight w:val="none"/>
          <w:lang w:val="en-US" w:eastAsia="zh-CN"/>
        </w:rPr>
      </w:pPr>
      <w:r>
        <w:rPr>
          <w:rFonts w:hint="eastAsia" w:ascii="宋体" w:hAnsi="宋体"/>
          <w:b w:val="0"/>
          <w:bCs/>
          <w:sz w:val="24"/>
          <w:szCs w:val="24"/>
          <w:highlight w:val="none"/>
          <w:lang w:val="en-US" w:eastAsia="zh-CN"/>
        </w:rPr>
        <w:t>2.1.5、定位工装供货时应提供三坐标打点报告。</w:t>
      </w:r>
    </w:p>
    <w:p>
      <w:pPr>
        <w:autoSpaceDE w:val="0"/>
        <w:autoSpaceDN w:val="0"/>
        <w:adjustRightInd w:val="0"/>
        <w:spacing w:line="480" w:lineRule="exact"/>
        <w:jc w:val="both"/>
        <w:rPr>
          <w:rFonts w:hint="default" w:ascii="宋体" w:hAnsi="宋体"/>
          <w:b/>
          <w:bCs w:val="0"/>
          <w:sz w:val="24"/>
          <w:szCs w:val="24"/>
          <w:highlight w:val="none"/>
          <w:lang w:val="en-US" w:eastAsia="zh-CN"/>
        </w:rPr>
      </w:pPr>
      <w:r>
        <w:rPr>
          <w:rFonts w:hint="eastAsia" w:ascii="宋体" w:hAnsi="宋体"/>
          <w:b/>
          <w:bCs w:val="0"/>
          <w:sz w:val="24"/>
          <w:szCs w:val="24"/>
          <w:highlight w:val="none"/>
          <w:lang w:val="en-US" w:eastAsia="zh-CN"/>
        </w:rPr>
        <w:t>2.2、安全方面要求</w:t>
      </w:r>
    </w:p>
    <w:p>
      <w:pPr>
        <w:autoSpaceDE w:val="0"/>
        <w:autoSpaceDN w:val="0"/>
        <w:adjustRightInd w:val="0"/>
        <w:spacing w:line="480" w:lineRule="exact"/>
        <w:jc w:val="both"/>
        <w:rPr>
          <w:rFonts w:ascii="宋体" w:hAnsi="宋体"/>
          <w:sz w:val="24"/>
          <w:szCs w:val="24"/>
          <w:highlight w:val="none"/>
        </w:rPr>
      </w:pPr>
      <w:r>
        <w:rPr>
          <w:rFonts w:hint="eastAsia" w:ascii="宋体" w:hAnsi="宋体"/>
          <w:sz w:val="24"/>
          <w:szCs w:val="24"/>
          <w:highlight w:val="none"/>
        </w:rPr>
        <w:t>2.4.1、外形结构保护：</w:t>
      </w:r>
      <w:r>
        <w:rPr>
          <w:rFonts w:hint="eastAsia" w:ascii="宋体" w:hAnsi="宋体"/>
          <w:sz w:val="24"/>
          <w:szCs w:val="24"/>
          <w:highlight w:val="none"/>
          <w:lang w:val="en-US" w:eastAsia="zh-CN"/>
        </w:rPr>
        <w:t>工装</w:t>
      </w:r>
      <w:r>
        <w:rPr>
          <w:rFonts w:hint="eastAsia" w:ascii="宋体" w:hAnsi="宋体"/>
          <w:sz w:val="24"/>
          <w:szCs w:val="24"/>
          <w:highlight w:val="none"/>
        </w:rPr>
        <w:t>对于人员、工件和车身可能构成危险的地方都有保护。</w:t>
      </w:r>
    </w:p>
    <w:p>
      <w:pPr>
        <w:autoSpaceDE w:val="0"/>
        <w:autoSpaceDN w:val="0"/>
        <w:adjustRightInd w:val="0"/>
        <w:spacing w:line="480" w:lineRule="exact"/>
        <w:jc w:val="both"/>
        <w:rPr>
          <w:rFonts w:ascii="宋体" w:hAnsi="宋体"/>
          <w:sz w:val="24"/>
          <w:szCs w:val="24"/>
          <w:highlight w:val="none"/>
        </w:rPr>
      </w:pPr>
      <w:r>
        <w:rPr>
          <w:rFonts w:hint="eastAsia" w:ascii="宋体" w:hAnsi="宋体"/>
          <w:sz w:val="24"/>
          <w:szCs w:val="24"/>
          <w:highlight w:val="none"/>
        </w:rPr>
        <w:t>2.4.</w:t>
      </w:r>
      <w:r>
        <w:rPr>
          <w:rFonts w:hint="eastAsia" w:ascii="宋体" w:hAnsi="宋体"/>
          <w:sz w:val="24"/>
          <w:szCs w:val="24"/>
          <w:highlight w:val="none"/>
          <w:lang w:val="en-US" w:eastAsia="zh-CN"/>
        </w:rPr>
        <w:t>2</w:t>
      </w:r>
      <w:r>
        <w:rPr>
          <w:rFonts w:hint="eastAsia" w:ascii="宋体" w:hAnsi="宋体"/>
          <w:sz w:val="24"/>
          <w:szCs w:val="24"/>
          <w:highlight w:val="none"/>
        </w:rPr>
        <w:t>、</w:t>
      </w:r>
      <w:r>
        <w:rPr>
          <w:rFonts w:ascii="宋体" w:hAnsi="宋体"/>
          <w:sz w:val="24"/>
          <w:szCs w:val="24"/>
          <w:highlight w:val="none"/>
        </w:rPr>
        <w:t>所有</w:t>
      </w:r>
      <w:r>
        <w:rPr>
          <w:rFonts w:hint="eastAsia" w:ascii="宋体" w:hAnsi="宋体"/>
          <w:sz w:val="24"/>
          <w:szCs w:val="24"/>
          <w:highlight w:val="none"/>
          <w:lang w:val="en-US" w:eastAsia="zh-CN"/>
        </w:rPr>
        <w:t>工装</w:t>
      </w:r>
      <w:r>
        <w:rPr>
          <w:rFonts w:ascii="宋体" w:hAnsi="宋体"/>
          <w:sz w:val="24"/>
          <w:szCs w:val="24"/>
          <w:highlight w:val="none"/>
        </w:rPr>
        <w:t>经过去毛刺、去棱角处理，避免损伤工件及车体的面漆或留下压痕。</w:t>
      </w:r>
    </w:p>
    <w:p>
      <w:pPr>
        <w:autoSpaceDE w:val="0"/>
        <w:autoSpaceDN w:val="0"/>
        <w:adjustRightInd w:val="0"/>
        <w:spacing w:line="480" w:lineRule="exact"/>
        <w:jc w:val="both"/>
        <w:rPr>
          <w:rFonts w:hint="default" w:ascii="宋体" w:hAnsi="宋体" w:eastAsia="宋体"/>
          <w:b w:val="0"/>
          <w:bCs/>
          <w:sz w:val="24"/>
          <w:szCs w:val="24"/>
          <w:highlight w:val="none"/>
          <w:lang w:val="en-US" w:eastAsia="zh-CN"/>
        </w:rPr>
      </w:pPr>
      <w:r>
        <w:rPr>
          <w:rFonts w:hint="eastAsia" w:ascii="宋体" w:hAnsi="宋体"/>
          <w:b/>
          <w:sz w:val="24"/>
          <w:szCs w:val="24"/>
          <w:highlight w:val="none"/>
        </w:rPr>
        <w:t>3、专用技术要求</w:t>
      </w:r>
    </w:p>
    <w:p>
      <w:pPr>
        <w:autoSpaceDE w:val="0"/>
        <w:autoSpaceDN w:val="0"/>
        <w:adjustRightInd w:val="0"/>
        <w:spacing w:line="480" w:lineRule="exact"/>
        <w:jc w:val="both"/>
        <w:rPr>
          <w:rFonts w:hint="eastAsia"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3.1、传动轴及排气管固定工装</w:t>
      </w:r>
    </w:p>
    <w:p>
      <w:pPr>
        <w:autoSpaceDE w:val="0"/>
        <w:autoSpaceDN w:val="0"/>
        <w:adjustRightInd w:val="0"/>
        <w:spacing w:line="480" w:lineRule="exact"/>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3.1.1、技术参数：</w:t>
      </w:r>
    </w:p>
    <w:p>
      <w:pPr>
        <w:autoSpaceDE w:val="0"/>
        <w:autoSpaceDN w:val="0"/>
        <w:adjustRightInd w:val="0"/>
        <w:spacing w:line="480" w:lineRule="exact"/>
        <w:jc w:val="both"/>
        <w:rPr>
          <w:rFonts w:hint="eastAsia"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1</w:t>
      </w: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参考尺寸：长×宽×高1300mm×40mm×300mm</w:t>
      </w: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 xml:space="preserve">              </w:t>
      </w:r>
    </w:p>
    <w:p>
      <w:pPr>
        <w:autoSpaceDE w:val="0"/>
        <w:autoSpaceDN w:val="0"/>
        <w:adjustRightInd w:val="0"/>
        <w:spacing w:line="480" w:lineRule="exact"/>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3.1.2、</w:t>
      </w:r>
      <w:r>
        <w:rPr>
          <w:rFonts w:hint="eastAsia" w:asciiTheme="minorEastAsia" w:hAnsiTheme="minorEastAsia" w:eastAsiaTheme="minorEastAsia"/>
          <w:sz w:val="24"/>
          <w:szCs w:val="24"/>
          <w:highlight w:val="none"/>
          <w:lang w:val="en-US" w:eastAsia="zh-CN"/>
        </w:rPr>
        <w:t>工艺</w:t>
      </w:r>
      <w:r>
        <w:rPr>
          <w:rFonts w:hint="eastAsia" w:asciiTheme="minorEastAsia" w:hAnsiTheme="minorEastAsia" w:eastAsiaTheme="minorEastAsia"/>
          <w:sz w:val="24"/>
          <w:szCs w:val="24"/>
          <w:highlight w:val="none"/>
        </w:rPr>
        <w:t>流程：</w:t>
      </w:r>
    </w:p>
    <w:p>
      <w:pPr>
        <w:autoSpaceDE w:val="0"/>
        <w:autoSpaceDN w:val="0"/>
        <w:adjustRightInd w:val="0"/>
        <w:spacing w:line="480" w:lineRule="exact"/>
        <w:ind w:firstLine="480" w:firstLineChars="200"/>
        <w:jc w:val="both"/>
        <w:rPr>
          <w:rFonts w:hint="eastAsia" w:asciiTheme="minorEastAsia" w:hAnsiTheme="minorEastAsia" w:eastAsiaTheme="minorEastAsia"/>
          <w:sz w:val="24"/>
          <w:szCs w:val="24"/>
          <w:highlight w:val="none"/>
          <w:lang w:eastAsia="zh-CN"/>
        </w:rPr>
      </w:pPr>
      <w:r>
        <w:rPr>
          <w:rFonts w:hint="eastAsia" w:asciiTheme="minorEastAsia" w:hAnsiTheme="minorEastAsia" w:eastAsiaTheme="minorEastAsia"/>
          <w:sz w:val="24"/>
          <w:szCs w:val="24"/>
          <w:highlight w:val="none"/>
          <w:lang w:val="en-US" w:eastAsia="zh-CN"/>
        </w:rPr>
        <w:t>工装采用上下夹层形式将传动轴和排气管夹在中间，工装一端使用销轴连接可转动，另一端使用锁止夹固定，方便拆卸</w:t>
      </w:r>
      <w:r>
        <w:rPr>
          <w:rFonts w:hint="eastAsia" w:asciiTheme="minorEastAsia" w:hAnsiTheme="minorEastAsia" w:eastAsiaTheme="minorEastAsia"/>
          <w:sz w:val="24"/>
          <w:szCs w:val="24"/>
          <w:highlight w:val="none"/>
          <w:lang w:eastAsia="zh-CN"/>
        </w:rPr>
        <w:t>；</w:t>
      </w:r>
    </w:p>
    <w:p>
      <w:pPr>
        <w:autoSpaceDE w:val="0"/>
        <w:autoSpaceDN w:val="0"/>
        <w:adjustRightInd w:val="0"/>
        <w:spacing w:line="480" w:lineRule="exact"/>
        <w:ind w:firstLine="480" w:firstLineChars="200"/>
        <w:jc w:val="both"/>
        <w:rPr>
          <w:rFonts w:hint="eastAsia"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lang w:val="en-US" w:eastAsia="zh-CN"/>
        </w:rPr>
        <w:t>拿取</w:t>
      </w:r>
      <w:r>
        <w:rPr>
          <w:rFonts w:hint="eastAsia" w:asciiTheme="minorEastAsia" w:hAnsiTheme="minorEastAsia" w:eastAsiaTheme="minorEastAsia"/>
          <w:sz w:val="24"/>
          <w:szCs w:val="24"/>
          <w:highlight w:val="none"/>
        </w:rPr>
        <w:t>传动轴及排气管固定工装</w:t>
      </w:r>
      <w:r>
        <w:rPr>
          <w:rFonts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打开工装</w:t>
      </w:r>
      <w:r>
        <w:rPr>
          <w:rFonts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一层放置在车架下方，一层放置在车架上方</w:t>
      </w:r>
      <w:r>
        <w:rPr>
          <w:rFonts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将传动轴及排气管放置到工装内</w:t>
      </w:r>
      <w:r>
        <w:rPr>
          <w:rFonts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闭合工装</w:t>
      </w:r>
      <w:r>
        <w:rPr>
          <w:rFonts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锁紧工装</w:t>
      </w:r>
      <w:r>
        <w:rPr>
          <w:rFonts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车架翻转</w:t>
      </w:r>
      <w:r>
        <w:rPr>
          <w:rFonts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拆除工装</w:t>
      </w:r>
      <w:r>
        <w:rPr>
          <w:rFonts w:asciiTheme="minorEastAsia" w:hAnsiTheme="minorEastAsia" w:eastAsiaTheme="minorEastAsia"/>
          <w:sz w:val="24"/>
          <w:szCs w:val="24"/>
          <w:highlight w:val="none"/>
        </w:rPr>
        <w:t>。</w:t>
      </w:r>
    </w:p>
    <w:p>
      <w:pPr>
        <w:autoSpaceDE w:val="0"/>
        <w:autoSpaceDN w:val="0"/>
        <w:adjustRightInd w:val="0"/>
        <w:spacing w:line="480" w:lineRule="exact"/>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3.2、驾驶室悬置安装定位工装</w:t>
      </w:r>
    </w:p>
    <w:p>
      <w:pPr>
        <w:autoSpaceDE w:val="0"/>
        <w:autoSpaceDN w:val="0"/>
        <w:adjustRightInd w:val="0"/>
        <w:spacing w:line="480" w:lineRule="exact"/>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3.2.1、技术参数：</w:t>
      </w:r>
    </w:p>
    <w:p>
      <w:pPr>
        <w:autoSpaceDE w:val="0"/>
        <w:autoSpaceDN w:val="0"/>
        <w:adjustRightInd w:val="0"/>
        <w:spacing w:line="480" w:lineRule="exact"/>
        <w:jc w:val="both"/>
        <w:rPr>
          <w:rFonts w:hint="eastAsia" w:asciiTheme="minorEastAsia" w:hAnsiTheme="minorEastAsia" w:eastAsiaTheme="minorEastAsia"/>
          <w:sz w:val="24"/>
          <w:szCs w:val="24"/>
          <w:highlight w:val="none"/>
          <w:lang w:eastAsia="zh-CN"/>
        </w:rPr>
      </w:pP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1</w:t>
      </w: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参考尺寸：长×宽×高2000mm×1300mm×300mm</w:t>
      </w:r>
      <w:r>
        <w:rPr>
          <w:rFonts w:hint="eastAsia" w:asciiTheme="minorEastAsia" w:hAnsiTheme="minorEastAsia" w:eastAsiaTheme="minorEastAsia"/>
          <w:sz w:val="24"/>
          <w:szCs w:val="24"/>
          <w:highlight w:val="none"/>
          <w:lang w:eastAsia="zh-CN"/>
        </w:rPr>
        <w:t>；</w:t>
      </w:r>
    </w:p>
    <w:p>
      <w:pPr>
        <w:autoSpaceDE w:val="0"/>
        <w:autoSpaceDN w:val="0"/>
        <w:adjustRightInd w:val="0"/>
        <w:spacing w:line="480" w:lineRule="exact"/>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3.2.2、工艺流程：</w:t>
      </w:r>
    </w:p>
    <w:p>
      <w:pPr>
        <w:autoSpaceDE w:val="0"/>
        <w:autoSpaceDN w:val="0"/>
        <w:adjustRightInd w:val="0"/>
        <w:spacing w:line="480" w:lineRule="exact"/>
        <w:ind w:firstLine="480" w:firstLineChars="200"/>
        <w:jc w:val="both"/>
        <w:rPr>
          <w:rFonts w:hint="eastAsia"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lang w:val="en-US" w:eastAsia="zh-CN"/>
        </w:rPr>
        <w:t>拿取</w:t>
      </w:r>
      <w:r>
        <w:rPr>
          <w:rFonts w:hint="eastAsia" w:asciiTheme="minorEastAsia" w:hAnsiTheme="minorEastAsia" w:eastAsiaTheme="minorEastAsia"/>
          <w:sz w:val="24"/>
          <w:szCs w:val="24"/>
          <w:highlight w:val="none"/>
        </w:rPr>
        <w:t>驾驶室悬置安装定位工装</w:t>
      </w:r>
      <w:r>
        <w:rPr>
          <w:rFonts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将工装四个定位置穿过车身四个悬置安装孔</w:t>
      </w:r>
      <w:r>
        <w:rPr>
          <w:rFonts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拧紧悬置螺栓</w:t>
      </w:r>
      <w:r>
        <w:rPr>
          <w:rFonts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拆除定位工装</w:t>
      </w:r>
      <w:r>
        <w:rPr>
          <w:rFonts w:asciiTheme="minorEastAsia" w:hAnsiTheme="minorEastAsia" w:eastAsiaTheme="minorEastAsia"/>
          <w:sz w:val="24"/>
          <w:szCs w:val="24"/>
          <w:highlight w:val="none"/>
        </w:rPr>
        <w:t>。</w:t>
      </w:r>
    </w:p>
    <w:p>
      <w:pPr>
        <w:autoSpaceDE w:val="0"/>
        <w:autoSpaceDN w:val="0"/>
        <w:adjustRightInd w:val="0"/>
        <w:spacing w:line="480" w:lineRule="exact"/>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3.3、货箱落装辅助工装</w:t>
      </w:r>
    </w:p>
    <w:p>
      <w:pPr>
        <w:autoSpaceDE w:val="0"/>
        <w:autoSpaceDN w:val="0"/>
        <w:adjustRightInd w:val="0"/>
        <w:spacing w:line="480" w:lineRule="exact"/>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3.3.1、</w:t>
      </w:r>
      <w:r>
        <w:rPr>
          <w:rFonts w:asciiTheme="minorEastAsia" w:hAnsiTheme="minorEastAsia" w:eastAsiaTheme="minorEastAsia"/>
          <w:sz w:val="24"/>
          <w:szCs w:val="24"/>
          <w:highlight w:val="none"/>
        </w:rPr>
        <w:t>技术参数：</w:t>
      </w:r>
    </w:p>
    <w:p>
      <w:pPr>
        <w:autoSpaceDE w:val="0"/>
        <w:autoSpaceDN w:val="0"/>
        <w:adjustRightInd w:val="0"/>
        <w:spacing w:line="480" w:lineRule="exact"/>
        <w:jc w:val="both"/>
        <w:rPr>
          <w:rFonts w:hint="eastAsia" w:asciiTheme="minorEastAsia" w:hAnsiTheme="minorEastAsia" w:eastAsiaTheme="minorEastAsia"/>
          <w:sz w:val="24"/>
          <w:szCs w:val="24"/>
          <w:highlight w:val="none"/>
          <w:lang w:eastAsia="zh-CN"/>
        </w:rPr>
      </w:pP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1</w:t>
      </w: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参考尺寸：φ12mm×200mm螺杆</w:t>
      </w:r>
      <w:r>
        <w:rPr>
          <w:rFonts w:hint="eastAsia" w:asciiTheme="minorEastAsia" w:hAnsiTheme="minorEastAsia" w:eastAsiaTheme="minorEastAsia"/>
          <w:sz w:val="24"/>
          <w:szCs w:val="24"/>
          <w:highlight w:val="none"/>
          <w:lang w:eastAsia="zh-CN"/>
        </w:rPr>
        <w:t>；</w:t>
      </w:r>
    </w:p>
    <w:p>
      <w:pPr>
        <w:autoSpaceDE w:val="0"/>
        <w:autoSpaceDN w:val="0"/>
        <w:adjustRightInd w:val="0"/>
        <w:spacing w:line="480" w:lineRule="exact"/>
        <w:jc w:val="both"/>
        <w:rPr>
          <w:rFonts w:hint="eastAsia"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w:t>
      </w:r>
      <w:r>
        <w:rPr>
          <w:rFonts w:hint="eastAsia" w:asciiTheme="minorEastAsia" w:hAnsiTheme="minorEastAsia" w:eastAsiaTheme="minorEastAsia"/>
          <w:sz w:val="24"/>
          <w:szCs w:val="24"/>
          <w:highlight w:val="none"/>
          <w:lang w:val="en-US" w:eastAsia="zh-CN"/>
        </w:rPr>
        <w:t>3</w:t>
      </w:r>
      <w:r>
        <w:rPr>
          <w:rFonts w:hint="eastAsia" w:asciiTheme="minorEastAsia" w:hAnsiTheme="minorEastAsia" w:eastAsiaTheme="minorEastAsia"/>
          <w:sz w:val="24"/>
          <w:szCs w:val="24"/>
          <w:highlight w:val="none"/>
        </w:rPr>
        <w:t>.2、工艺流程：</w:t>
      </w:r>
    </w:p>
    <w:p>
      <w:pPr>
        <w:autoSpaceDE w:val="0"/>
        <w:autoSpaceDN w:val="0"/>
        <w:adjustRightInd w:val="0"/>
        <w:spacing w:line="480" w:lineRule="exact"/>
        <w:ind w:firstLine="480" w:firstLineChars="200"/>
        <w:jc w:val="both"/>
        <w:rPr>
          <w:rFonts w:hint="eastAsia"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lang w:val="en-US" w:eastAsia="zh-CN"/>
        </w:rPr>
        <w:t>拿取货箱落装辅助工装</w:t>
      </w:r>
      <w:r>
        <w:rPr>
          <w:rFonts w:hint="eastAsia"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拧到货箱安装孔上</w:t>
      </w:r>
      <w:r>
        <w:rPr>
          <w:rFonts w:hint="eastAsia"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落装货箱</w:t>
      </w:r>
      <w:r>
        <w:rPr>
          <w:rFonts w:hint="eastAsia"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拆除定位工装</w:t>
      </w:r>
      <w:r>
        <w:rPr>
          <w:rFonts w:hint="eastAsia" w:asciiTheme="minorEastAsia" w:hAnsiTheme="minorEastAsia" w:eastAsiaTheme="minorEastAsia"/>
          <w:sz w:val="24"/>
          <w:szCs w:val="24"/>
          <w:highlight w:val="none"/>
        </w:rPr>
        <w:t>。</w:t>
      </w:r>
    </w:p>
    <w:p>
      <w:pPr>
        <w:autoSpaceDE w:val="0"/>
        <w:autoSpaceDN w:val="0"/>
        <w:adjustRightInd w:val="0"/>
        <w:spacing w:line="480" w:lineRule="exact"/>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3.4、驾驶室落装辅助工装</w:t>
      </w:r>
    </w:p>
    <w:p>
      <w:pPr>
        <w:autoSpaceDE w:val="0"/>
        <w:autoSpaceDN w:val="0"/>
        <w:adjustRightInd w:val="0"/>
        <w:spacing w:line="480" w:lineRule="exact"/>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3.4.1、技术参数</w:t>
      </w:r>
    </w:p>
    <w:p>
      <w:pPr>
        <w:autoSpaceDE w:val="0"/>
        <w:autoSpaceDN w:val="0"/>
        <w:adjustRightInd w:val="0"/>
        <w:spacing w:line="480" w:lineRule="exact"/>
        <w:jc w:val="both"/>
        <w:rPr>
          <w:rFonts w:hint="eastAsia" w:asciiTheme="minorEastAsia" w:hAnsiTheme="minorEastAsia" w:eastAsiaTheme="minorEastAsia"/>
          <w:sz w:val="24"/>
          <w:szCs w:val="24"/>
          <w:highlight w:val="none"/>
          <w:lang w:eastAsia="zh-CN"/>
        </w:rPr>
      </w:pP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1</w:t>
      </w: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参考尺寸：φ12mm×200mm螺杆</w:t>
      </w:r>
      <w:r>
        <w:rPr>
          <w:rFonts w:hint="eastAsia" w:asciiTheme="minorEastAsia" w:hAnsiTheme="minorEastAsia" w:eastAsiaTheme="minorEastAsia"/>
          <w:sz w:val="24"/>
          <w:szCs w:val="24"/>
          <w:highlight w:val="none"/>
          <w:lang w:eastAsia="zh-CN"/>
        </w:rPr>
        <w:t>；</w:t>
      </w:r>
    </w:p>
    <w:p>
      <w:pPr>
        <w:autoSpaceDE w:val="0"/>
        <w:autoSpaceDN w:val="0"/>
        <w:adjustRightInd w:val="0"/>
        <w:spacing w:line="480" w:lineRule="exact"/>
        <w:jc w:val="both"/>
        <w:rPr>
          <w:rFonts w:hint="eastAsia"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3.4.2、工艺流程：</w:t>
      </w:r>
    </w:p>
    <w:p>
      <w:pPr>
        <w:autoSpaceDE w:val="0"/>
        <w:autoSpaceDN w:val="0"/>
        <w:adjustRightInd w:val="0"/>
        <w:spacing w:line="480" w:lineRule="exact"/>
        <w:ind w:firstLine="480" w:firstLineChars="200"/>
        <w:jc w:val="both"/>
        <w:rPr>
          <w:rFonts w:hint="eastAsia"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lang w:val="en-US" w:eastAsia="zh-CN"/>
        </w:rPr>
        <w:t>拿取驾驶室落装辅助工装</w:t>
      </w:r>
      <w:r>
        <w:rPr>
          <w:rFonts w:hint="eastAsia"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拧到驾驶室安装孔上</w:t>
      </w:r>
      <w:r>
        <w:rPr>
          <w:rFonts w:hint="eastAsia"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落装驾驶室</w:t>
      </w:r>
      <w:r>
        <w:rPr>
          <w:rFonts w:hint="eastAsia"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拆除定位工装</w:t>
      </w:r>
      <w:r>
        <w:rPr>
          <w:rFonts w:hint="eastAsia" w:asciiTheme="minorEastAsia" w:hAnsiTheme="minorEastAsia" w:eastAsiaTheme="minorEastAsia"/>
          <w:sz w:val="24"/>
          <w:szCs w:val="24"/>
          <w:highlight w:val="none"/>
        </w:rPr>
        <w:t>。</w:t>
      </w:r>
    </w:p>
    <w:p>
      <w:pPr>
        <w:autoSpaceDE w:val="0"/>
        <w:autoSpaceDN w:val="0"/>
        <w:adjustRightInd w:val="0"/>
        <w:spacing w:line="480" w:lineRule="exact"/>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3.5、线边踏台</w:t>
      </w:r>
    </w:p>
    <w:p>
      <w:pPr>
        <w:autoSpaceDE w:val="0"/>
        <w:autoSpaceDN w:val="0"/>
        <w:adjustRightInd w:val="0"/>
        <w:spacing w:line="480" w:lineRule="exact"/>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3.5.1、</w:t>
      </w:r>
      <w:r>
        <w:rPr>
          <w:rFonts w:asciiTheme="minorEastAsia" w:hAnsiTheme="minorEastAsia" w:eastAsiaTheme="minorEastAsia"/>
          <w:sz w:val="24"/>
          <w:szCs w:val="24"/>
          <w:highlight w:val="none"/>
        </w:rPr>
        <w:t>技术参数：</w:t>
      </w:r>
    </w:p>
    <w:p>
      <w:pPr>
        <w:autoSpaceDE w:val="0"/>
        <w:autoSpaceDN w:val="0"/>
        <w:adjustRightInd w:val="0"/>
        <w:spacing w:line="480" w:lineRule="exact"/>
        <w:ind w:firstLine="480" w:firstLineChars="200"/>
        <w:jc w:val="both"/>
        <w:rPr>
          <w:rFonts w:hint="eastAsia"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1</w:t>
      </w: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参考尺寸：长×宽×高6500mm×450mm×450mm</w:t>
      </w:r>
      <w:r>
        <w:rPr>
          <w:rFonts w:hint="eastAsia"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 xml:space="preserve">                           </w:t>
      </w:r>
    </w:p>
    <w:p>
      <w:pPr>
        <w:autoSpaceDE w:val="0"/>
        <w:autoSpaceDN w:val="0"/>
        <w:adjustRightInd w:val="0"/>
        <w:spacing w:line="480" w:lineRule="exact"/>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3.5.2、</w:t>
      </w:r>
      <w:r>
        <w:rPr>
          <w:rFonts w:hint="eastAsia" w:asciiTheme="minorEastAsia" w:hAnsiTheme="minorEastAsia" w:eastAsiaTheme="minorEastAsia"/>
          <w:sz w:val="24"/>
          <w:szCs w:val="24"/>
          <w:highlight w:val="none"/>
          <w:lang w:val="en-US" w:eastAsia="zh-CN"/>
        </w:rPr>
        <w:t>工装要求</w:t>
      </w:r>
      <w:r>
        <w:rPr>
          <w:rFonts w:asciiTheme="minorEastAsia" w:hAnsiTheme="minorEastAsia" w:eastAsiaTheme="minorEastAsia"/>
          <w:sz w:val="24"/>
          <w:szCs w:val="24"/>
          <w:highlight w:val="none"/>
        </w:rPr>
        <w:t>：</w:t>
      </w:r>
    </w:p>
    <w:p>
      <w:pPr>
        <w:autoSpaceDE w:val="0"/>
        <w:autoSpaceDN w:val="0"/>
        <w:adjustRightInd w:val="0"/>
        <w:spacing w:line="480" w:lineRule="exact"/>
        <w:ind w:firstLine="480" w:firstLineChars="200"/>
        <w:jc w:val="both"/>
        <w:rPr>
          <w:rFonts w:hint="default" w:asciiTheme="minorEastAsia" w:hAnsiTheme="minorEastAsia" w:eastAsiaTheme="minorEastAsia"/>
          <w:sz w:val="24"/>
          <w:szCs w:val="24"/>
          <w:highlight w:val="none"/>
          <w:lang w:val="en-US" w:eastAsia="zh-CN"/>
        </w:rPr>
      </w:pPr>
      <w:r>
        <w:rPr>
          <w:rFonts w:hint="eastAsia" w:asciiTheme="minorEastAsia" w:hAnsiTheme="minorEastAsia" w:eastAsiaTheme="minorEastAsia"/>
          <w:sz w:val="24"/>
          <w:szCs w:val="24"/>
          <w:highlight w:val="none"/>
          <w:lang w:val="en-US" w:eastAsia="zh-CN"/>
        </w:rPr>
        <w:t>踏台应最少满足1000Kg承重</w:t>
      </w:r>
      <w:r>
        <w:rPr>
          <w:rFonts w:hint="eastAsia"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踏台使用过程中不应晃动，踏台表变使用带防滑纹钢板。踏台应可避开AGV防撞信号，不影响AGV运行。</w:t>
      </w:r>
    </w:p>
    <w:p>
      <w:pPr>
        <w:autoSpaceDE w:val="0"/>
        <w:autoSpaceDN w:val="0"/>
        <w:adjustRightInd w:val="0"/>
        <w:spacing w:line="480" w:lineRule="exact"/>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w:t>
      </w:r>
      <w:r>
        <w:rPr>
          <w:rFonts w:hint="eastAsia" w:asciiTheme="minorEastAsia" w:hAnsiTheme="minorEastAsia" w:eastAsiaTheme="minorEastAsia"/>
          <w:sz w:val="24"/>
          <w:szCs w:val="24"/>
          <w:highlight w:val="none"/>
          <w:lang w:val="en-US" w:eastAsia="zh-CN"/>
        </w:rPr>
        <w:t>6</w:t>
      </w:r>
      <w:r>
        <w:rPr>
          <w:rFonts w:hint="eastAsia" w:asciiTheme="minorEastAsia" w:hAnsiTheme="minorEastAsia" w:eastAsiaTheme="minorEastAsia"/>
          <w:sz w:val="24"/>
          <w:szCs w:val="24"/>
          <w:highlight w:val="none"/>
        </w:rPr>
        <w:t>、发动机盖支撑工装</w:t>
      </w:r>
    </w:p>
    <w:p>
      <w:pPr>
        <w:autoSpaceDE w:val="0"/>
        <w:autoSpaceDN w:val="0"/>
        <w:adjustRightInd w:val="0"/>
        <w:spacing w:line="480" w:lineRule="exact"/>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w:t>
      </w:r>
      <w:r>
        <w:rPr>
          <w:rFonts w:hint="eastAsia" w:asciiTheme="minorEastAsia" w:hAnsiTheme="minorEastAsia" w:eastAsiaTheme="minorEastAsia"/>
          <w:sz w:val="24"/>
          <w:szCs w:val="24"/>
          <w:highlight w:val="none"/>
          <w:lang w:val="en-US" w:eastAsia="zh-CN"/>
        </w:rPr>
        <w:t>6</w:t>
      </w:r>
      <w:r>
        <w:rPr>
          <w:rFonts w:hint="eastAsia" w:asciiTheme="minorEastAsia" w:hAnsiTheme="minorEastAsia" w:eastAsiaTheme="minorEastAsia"/>
          <w:sz w:val="24"/>
          <w:szCs w:val="24"/>
          <w:highlight w:val="none"/>
        </w:rPr>
        <w:t>.1、</w:t>
      </w:r>
      <w:r>
        <w:rPr>
          <w:rFonts w:asciiTheme="minorEastAsia" w:hAnsiTheme="minorEastAsia" w:eastAsiaTheme="minorEastAsia"/>
          <w:sz w:val="24"/>
          <w:szCs w:val="24"/>
          <w:highlight w:val="none"/>
        </w:rPr>
        <w:t>技术参数：</w:t>
      </w:r>
    </w:p>
    <w:p>
      <w:pPr>
        <w:autoSpaceDE w:val="0"/>
        <w:autoSpaceDN w:val="0"/>
        <w:adjustRightInd w:val="0"/>
        <w:spacing w:line="480" w:lineRule="exact"/>
        <w:ind w:firstLine="480" w:firstLineChars="200"/>
        <w:jc w:val="both"/>
        <w:rPr>
          <w:rFonts w:hint="default" w:asciiTheme="minorEastAsia" w:hAnsiTheme="minorEastAsia" w:eastAsiaTheme="minorEastAsia"/>
          <w:sz w:val="24"/>
          <w:szCs w:val="24"/>
          <w:highlight w:val="none"/>
          <w:lang w:val="en-US" w:eastAsia="zh-CN"/>
        </w:rPr>
      </w:pP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1</w:t>
      </w: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参考尺寸：φ10mm×300mm金属棍折一定角度</w:t>
      </w:r>
      <w:r>
        <w:rPr>
          <w:rFonts w:hint="eastAsia"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 xml:space="preserve">                             </w:t>
      </w:r>
    </w:p>
    <w:p>
      <w:pPr>
        <w:autoSpaceDE w:val="0"/>
        <w:autoSpaceDN w:val="0"/>
        <w:adjustRightInd w:val="0"/>
        <w:spacing w:line="480" w:lineRule="exact"/>
        <w:ind w:firstLine="480" w:firstLineChars="200"/>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3.7.2、</w:t>
      </w:r>
      <w:r>
        <w:rPr>
          <w:rFonts w:asciiTheme="minorEastAsia" w:hAnsiTheme="minorEastAsia" w:eastAsiaTheme="minorEastAsia"/>
          <w:sz w:val="24"/>
          <w:szCs w:val="24"/>
          <w:highlight w:val="none"/>
        </w:rPr>
        <w:t>工艺流程：</w:t>
      </w:r>
    </w:p>
    <w:p>
      <w:pPr>
        <w:autoSpaceDE w:val="0"/>
        <w:autoSpaceDN w:val="0"/>
        <w:adjustRightInd w:val="0"/>
        <w:spacing w:line="480" w:lineRule="exact"/>
        <w:ind w:firstLine="480" w:firstLineChars="200"/>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lang w:val="en-US" w:eastAsia="zh-CN"/>
        </w:rPr>
        <w:t>拿取</w:t>
      </w:r>
      <w:r>
        <w:rPr>
          <w:rFonts w:hint="eastAsia" w:asciiTheme="minorEastAsia" w:hAnsiTheme="minorEastAsia" w:eastAsiaTheme="minorEastAsia"/>
          <w:sz w:val="24"/>
          <w:szCs w:val="24"/>
          <w:highlight w:val="none"/>
        </w:rPr>
        <w:t>发动机盖支撑工装→</w:t>
      </w:r>
      <w:r>
        <w:rPr>
          <w:rFonts w:hint="eastAsia" w:asciiTheme="minorEastAsia" w:hAnsiTheme="minorEastAsia" w:eastAsiaTheme="minorEastAsia"/>
          <w:sz w:val="24"/>
          <w:szCs w:val="24"/>
          <w:highlight w:val="none"/>
          <w:lang w:val="en-US" w:eastAsia="zh-CN"/>
        </w:rPr>
        <w:t>打开机舱盖</w:t>
      </w:r>
      <w:r>
        <w:rPr>
          <w:rFonts w:hint="eastAsia"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将工装放置在支撑位置</w:t>
      </w:r>
      <w:r>
        <w:rPr>
          <w:rFonts w:hint="eastAsia"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安装机舱撑杆</w:t>
      </w:r>
      <w:r>
        <w:rPr>
          <w:rFonts w:hint="eastAsia"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拆除工装</w:t>
      </w:r>
      <w:r>
        <w:rPr>
          <w:rFonts w:hint="eastAsia" w:asciiTheme="minorEastAsia" w:hAnsiTheme="minorEastAsia" w:eastAsiaTheme="minorEastAsia"/>
          <w:sz w:val="24"/>
          <w:szCs w:val="24"/>
          <w:highlight w:val="none"/>
        </w:rPr>
        <w:t>。</w:t>
      </w:r>
    </w:p>
    <w:p>
      <w:pPr>
        <w:autoSpaceDE w:val="0"/>
        <w:autoSpaceDN w:val="0"/>
        <w:adjustRightInd w:val="0"/>
        <w:spacing w:line="480" w:lineRule="exact"/>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w:t>
      </w:r>
      <w:r>
        <w:rPr>
          <w:rFonts w:hint="eastAsia" w:asciiTheme="minorEastAsia" w:hAnsiTheme="minorEastAsia" w:eastAsiaTheme="minorEastAsia"/>
          <w:sz w:val="24"/>
          <w:szCs w:val="24"/>
          <w:highlight w:val="none"/>
          <w:lang w:val="en-US" w:eastAsia="zh-CN"/>
        </w:rPr>
        <w:t>7</w:t>
      </w:r>
      <w:r>
        <w:rPr>
          <w:rFonts w:hint="eastAsia" w:asciiTheme="minorEastAsia" w:hAnsiTheme="minorEastAsia" w:eastAsiaTheme="minorEastAsia"/>
          <w:sz w:val="24"/>
          <w:szCs w:val="24"/>
          <w:highlight w:val="none"/>
        </w:rPr>
        <w:t>、制动盘固定工装</w:t>
      </w:r>
    </w:p>
    <w:p>
      <w:pPr>
        <w:autoSpaceDE w:val="0"/>
        <w:autoSpaceDN w:val="0"/>
        <w:adjustRightInd w:val="0"/>
        <w:spacing w:line="480" w:lineRule="exact"/>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w:t>
      </w:r>
      <w:r>
        <w:rPr>
          <w:rFonts w:hint="eastAsia" w:asciiTheme="minorEastAsia" w:hAnsiTheme="minorEastAsia" w:eastAsiaTheme="minorEastAsia"/>
          <w:sz w:val="24"/>
          <w:szCs w:val="24"/>
          <w:highlight w:val="none"/>
          <w:lang w:val="en-US" w:eastAsia="zh-CN"/>
        </w:rPr>
        <w:t>7</w:t>
      </w:r>
      <w:r>
        <w:rPr>
          <w:rFonts w:hint="eastAsia" w:asciiTheme="minorEastAsia" w:hAnsiTheme="minorEastAsia" w:eastAsiaTheme="minorEastAsia"/>
          <w:sz w:val="24"/>
          <w:szCs w:val="24"/>
          <w:highlight w:val="none"/>
        </w:rPr>
        <w:t>.1、技术参数</w:t>
      </w:r>
    </w:p>
    <w:p>
      <w:pPr>
        <w:autoSpaceDE w:val="0"/>
        <w:autoSpaceDN w:val="0"/>
        <w:adjustRightInd w:val="0"/>
        <w:spacing w:line="480" w:lineRule="exact"/>
        <w:jc w:val="both"/>
        <w:rPr>
          <w:rFonts w:hint="eastAsia" w:asciiTheme="minorEastAsia" w:hAnsiTheme="minorEastAsia" w:eastAsiaTheme="minorEastAsia"/>
          <w:sz w:val="24"/>
          <w:szCs w:val="24"/>
          <w:highlight w:val="none"/>
          <w:lang w:val="en-US" w:eastAsia="zh-CN"/>
        </w:rPr>
      </w:pP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1</w:t>
      </w: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参考尺寸：长×宽×高150mm×100mm×10mm</w:t>
      </w:r>
    </w:p>
    <w:p>
      <w:pPr>
        <w:autoSpaceDE w:val="0"/>
        <w:autoSpaceDN w:val="0"/>
        <w:adjustRightInd w:val="0"/>
        <w:spacing w:line="480" w:lineRule="exact"/>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w:t>
      </w:r>
      <w:r>
        <w:rPr>
          <w:rFonts w:hint="eastAsia" w:asciiTheme="minorEastAsia" w:hAnsiTheme="minorEastAsia" w:eastAsiaTheme="minorEastAsia"/>
          <w:sz w:val="24"/>
          <w:szCs w:val="24"/>
          <w:highlight w:val="none"/>
          <w:lang w:val="en-US" w:eastAsia="zh-CN"/>
        </w:rPr>
        <w:t>7</w:t>
      </w:r>
      <w:r>
        <w:rPr>
          <w:rFonts w:hint="eastAsia" w:asciiTheme="minorEastAsia" w:hAnsiTheme="minorEastAsia" w:eastAsiaTheme="minorEastAsia"/>
          <w:sz w:val="24"/>
          <w:szCs w:val="24"/>
          <w:highlight w:val="none"/>
        </w:rPr>
        <w:t>.2、工艺流程：</w:t>
      </w:r>
    </w:p>
    <w:p>
      <w:pPr>
        <w:autoSpaceDE w:val="0"/>
        <w:autoSpaceDN w:val="0"/>
        <w:adjustRightInd w:val="0"/>
        <w:spacing w:line="480" w:lineRule="exact"/>
        <w:ind w:firstLine="480" w:firstLineChars="200"/>
        <w:jc w:val="both"/>
        <w:rPr>
          <w:rFonts w:hint="eastAsia"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lang w:val="en-US" w:eastAsia="zh-CN"/>
        </w:rPr>
        <w:t>拿取</w:t>
      </w:r>
      <w:r>
        <w:rPr>
          <w:rFonts w:hint="eastAsia" w:asciiTheme="minorEastAsia" w:hAnsiTheme="minorEastAsia" w:eastAsiaTheme="minorEastAsia"/>
          <w:sz w:val="24"/>
          <w:szCs w:val="24"/>
          <w:highlight w:val="none"/>
        </w:rPr>
        <w:t>制动盘固定工装</w:t>
      </w:r>
      <w:r>
        <w:rPr>
          <w:rFonts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插入制动盘对应位置</w:t>
      </w:r>
      <w:r>
        <w:rPr>
          <w:rFonts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拧紧传动轴螺栓</w:t>
      </w:r>
      <w:r>
        <w:rPr>
          <w:rFonts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拆除工装</w:t>
      </w:r>
      <w:r>
        <w:rPr>
          <w:rFonts w:hint="eastAsia" w:asciiTheme="minorEastAsia" w:hAnsiTheme="minorEastAsia" w:eastAsiaTheme="minorEastAsia"/>
          <w:sz w:val="24"/>
          <w:szCs w:val="24"/>
          <w:highlight w:val="none"/>
        </w:rPr>
        <w:t>。</w:t>
      </w:r>
    </w:p>
    <w:p>
      <w:pPr>
        <w:autoSpaceDE w:val="0"/>
        <w:autoSpaceDN w:val="0"/>
        <w:adjustRightInd w:val="0"/>
        <w:spacing w:line="480" w:lineRule="exact"/>
        <w:jc w:val="both"/>
        <w:rPr>
          <w:rFonts w:hint="default" w:asciiTheme="minorEastAsia" w:hAnsiTheme="minorEastAsia" w:eastAsiaTheme="minorEastAsia"/>
          <w:sz w:val="24"/>
          <w:szCs w:val="24"/>
          <w:highlight w:val="none"/>
          <w:lang w:val="en-US" w:eastAsia="zh-CN"/>
        </w:rPr>
      </w:pPr>
      <w:r>
        <w:rPr>
          <w:rFonts w:hint="eastAsia" w:asciiTheme="minorEastAsia" w:hAnsiTheme="minorEastAsia" w:eastAsiaTheme="minorEastAsia"/>
          <w:sz w:val="24"/>
          <w:szCs w:val="24"/>
          <w:highlight w:val="none"/>
        </w:rPr>
        <w:t>3.</w:t>
      </w:r>
      <w:r>
        <w:rPr>
          <w:rFonts w:hint="eastAsia" w:asciiTheme="minorEastAsia" w:hAnsiTheme="minorEastAsia" w:eastAsiaTheme="minorEastAsia"/>
          <w:sz w:val="24"/>
          <w:szCs w:val="24"/>
          <w:highlight w:val="none"/>
          <w:lang w:val="en-US" w:eastAsia="zh-CN"/>
        </w:rPr>
        <w:t>8</w:t>
      </w:r>
      <w:r>
        <w:rPr>
          <w:rFonts w:hint="eastAsia"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可滑动座椅</w:t>
      </w:r>
    </w:p>
    <w:p>
      <w:pPr>
        <w:autoSpaceDE w:val="0"/>
        <w:autoSpaceDN w:val="0"/>
        <w:adjustRightInd w:val="0"/>
        <w:spacing w:line="480" w:lineRule="exact"/>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w:t>
      </w:r>
      <w:r>
        <w:rPr>
          <w:rFonts w:hint="eastAsia" w:asciiTheme="minorEastAsia" w:hAnsiTheme="minorEastAsia" w:eastAsiaTheme="minorEastAsia"/>
          <w:sz w:val="24"/>
          <w:szCs w:val="24"/>
          <w:highlight w:val="none"/>
          <w:lang w:val="en-US" w:eastAsia="zh-CN"/>
        </w:rPr>
        <w:t>7</w:t>
      </w:r>
      <w:r>
        <w:rPr>
          <w:rFonts w:hint="eastAsia" w:asciiTheme="minorEastAsia" w:hAnsiTheme="minorEastAsia" w:eastAsiaTheme="minorEastAsia"/>
          <w:sz w:val="24"/>
          <w:szCs w:val="24"/>
          <w:highlight w:val="none"/>
        </w:rPr>
        <w:t>.1、技术参数</w:t>
      </w:r>
    </w:p>
    <w:p>
      <w:pPr>
        <w:autoSpaceDE w:val="0"/>
        <w:autoSpaceDN w:val="0"/>
        <w:adjustRightInd w:val="0"/>
        <w:spacing w:line="480" w:lineRule="exact"/>
        <w:jc w:val="both"/>
        <w:rPr>
          <w:rFonts w:hint="eastAsia" w:asciiTheme="minorEastAsia" w:hAnsiTheme="minorEastAsia" w:eastAsiaTheme="minorEastAsia"/>
          <w:sz w:val="24"/>
          <w:szCs w:val="24"/>
          <w:highlight w:val="none"/>
          <w:lang w:val="en-US" w:eastAsia="zh-CN"/>
        </w:rPr>
      </w:pP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1</w:t>
      </w:r>
      <w:r>
        <w:rPr>
          <w:rFonts w:hint="eastAsia" w:asciiTheme="minorEastAsia" w:hAnsiTheme="minorEastAsia" w:eastAsiaTheme="minorEastAsia"/>
          <w:sz w:val="24"/>
          <w:szCs w:val="24"/>
          <w:highlight w:val="none"/>
          <w:lang w:eastAsia="zh-CN"/>
        </w:rPr>
        <w:t>）</w:t>
      </w:r>
      <w:r>
        <w:rPr>
          <w:rFonts w:hint="eastAsia" w:asciiTheme="minorEastAsia" w:hAnsiTheme="minorEastAsia" w:eastAsiaTheme="minorEastAsia"/>
          <w:sz w:val="24"/>
          <w:szCs w:val="24"/>
          <w:highlight w:val="none"/>
          <w:lang w:val="en-US" w:eastAsia="zh-CN"/>
        </w:rPr>
        <w:t>参考尺寸：长×宽350mm×350mm</w:t>
      </w:r>
    </w:p>
    <w:p>
      <w:pPr>
        <w:autoSpaceDE w:val="0"/>
        <w:autoSpaceDN w:val="0"/>
        <w:adjustRightInd w:val="0"/>
        <w:spacing w:line="480" w:lineRule="exact"/>
        <w:jc w:val="both"/>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w:t>
      </w:r>
      <w:r>
        <w:rPr>
          <w:rFonts w:hint="eastAsia" w:asciiTheme="minorEastAsia" w:hAnsiTheme="minorEastAsia" w:eastAsiaTheme="minorEastAsia"/>
          <w:sz w:val="24"/>
          <w:szCs w:val="24"/>
          <w:highlight w:val="none"/>
          <w:lang w:val="en-US" w:eastAsia="zh-CN"/>
        </w:rPr>
        <w:t>7</w:t>
      </w:r>
      <w:r>
        <w:rPr>
          <w:rFonts w:hint="eastAsia" w:asciiTheme="minorEastAsia" w:hAnsiTheme="minorEastAsia" w:eastAsiaTheme="minorEastAsia"/>
          <w:sz w:val="24"/>
          <w:szCs w:val="24"/>
          <w:highlight w:val="none"/>
        </w:rPr>
        <w:t>.2、</w:t>
      </w:r>
      <w:r>
        <w:rPr>
          <w:rFonts w:hint="eastAsia" w:asciiTheme="minorEastAsia" w:hAnsiTheme="minorEastAsia" w:eastAsiaTheme="minorEastAsia"/>
          <w:sz w:val="24"/>
          <w:szCs w:val="24"/>
          <w:highlight w:val="none"/>
          <w:lang w:val="en-US" w:eastAsia="zh-CN"/>
        </w:rPr>
        <w:t>其他要求</w:t>
      </w:r>
      <w:r>
        <w:rPr>
          <w:rFonts w:hint="eastAsia" w:asciiTheme="minorEastAsia" w:hAnsiTheme="minorEastAsia" w:eastAsiaTheme="minorEastAsia"/>
          <w:sz w:val="24"/>
          <w:szCs w:val="24"/>
          <w:highlight w:val="none"/>
        </w:rPr>
        <w:t>：</w:t>
      </w:r>
    </w:p>
    <w:p>
      <w:pPr>
        <w:autoSpaceDE w:val="0"/>
        <w:autoSpaceDN w:val="0"/>
        <w:adjustRightInd w:val="0"/>
        <w:spacing w:line="480" w:lineRule="exact"/>
        <w:ind w:firstLine="480" w:firstLineChars="200"/>
        <w:jc w:val="both"/>
        <w:rPr>
          <w:rFonts w:hint="eastAsia" w:ascii="宋体" w:hAnsi="宋体"/>
          <w:b/>
          <w:color w:val="auto"/>
          <w:sz w:val="24"/>
          <w:szCs w:val="24"/>
          <w:highlight w:val="none"/>
        </w:rPr>
      </w:pPr>
      <w:r>
        <w:rPr>
          <w:rFonts w:hint="eastAsia" w:asciiTheme="minorEastAsia" w:hAnsiTheme="minorEastAsia" w:eastAsiaTheme="minorEastAsia"/>
          <w:sz w:val="24"/>
          <w:szCs w:val="24"/>
          <w:highlight w:val="none"/>
          <w:lang w:val="en-US" w:eastAsia="zh-CN"/>
        </w:rPr>
        <w:t>座椅高度根据现场使用位置实际确定。座椅需具备靠背。座椅滑动需顺畅</w:t>
      </w:r>
      <w:r>
        <w:rPr>
          <w:rFonts w:hint="eastAsia" w:asciiTheme="minorEastAsia" w:hAnsiTheme="minorEastAsia" w:eastAsiaTheme="minorEastAsia"/>
          <w:sz w:val="24"/>
          <w:szCs w:val="24"/>
          <w:highlight w:val="none"/>
        </w:rPr>
        <w:t>。</w:t>
      </w:r>
    </w:p>
    <w:p>
      <w:pPr>
        <w:pStyle w:val="2"/>
        <w:keepNext/>
        <w:keepLines/>
        <w:spacing w:line="360" w:lineRule="auto"/>
        <w:ind w:left="0"/>
        <w:jc w:val="both"/>
        <w:rPr>
          <w:rFonts w:hint="eastAsia" w:ascii="宋体" w:hAnsi="宋体"/>
          <w:color w:val="auto"/>
          <w:highlight w:val="none"/>
          <w:lang w:val="en-US" w:eastAsia="zh-CN"/>
        </w:rPr>
      </w:pPr>
      <w:bookmarkStart w:id="47" w:name="_Toc10762"/>
      <w:r>
        <w:rPr>
          <w:rFonts w:hint="eastAsia" w:ascii="宋体" w:hAnsi="宋体"/>
          <w:color w:val="auto"/>
          <w:highlight w:val="none"/>
          <w:lang w:val="en-US" w:eastAsia="zh-CN"/>
        </w:rPr>
        <w:t>六、备品、备件</w:t>
      </w:r>
      <w:bookmarkEnd w:id="47"/>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105" w:leftChars="50" w:firstLine="480" w:firstLineChars="200"/>
        <w:jc w:val="both"/>
        <w:textAlignment w:val="auto"/>
        <w:rPr>
          <w:rFonts w:hint="eastAsia" w:ascii="宋体" w:hAnsi="宋体"/>
          <w:b w:val="0"/>
          <w:bCs w:val="0"/>
          <w:color w:val="auto"/>
          <w:sz w:val="24"/>
          <w:szCs w:val="24"/>
          <w:highlight w:val="none"/>
          <w:lang w:val="en-US" w:eastAsia="zh-CN"/>
        </w:rPr>
      </w:pPr>
      <w:r>
        <w:rPr>
          <w:rFonts w:hint="eastAsia" w:ascii="宋体" w:hAnsi="宋体"/>
          <w:b w:val="0"/>
          <w:bCs w:val="0"/>
          <w:color w:val="auto"/>
          <w:sz w:val="24"/>
          <w:szCs w:val="24"/>
          <w:highlight w:val="none"/>
          <w:lang w:val="en-US" w:eastAsia="zh-CN"/>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pPr>
        <w:pStyle w:val="2"/>
        <w:keepNext/>
        <w:keepLines/>
        <w:spacing w:line="360" w:lineRule="auto"/>
        <w:ind w:left="0"/>
        <w:jc w:val="both"/>
        <w:rPr>
          <w:rFonts w:hint="eastAsia" w:ascii="宋体" w:hAnsi="宋体"/>
          <w:color w:val="auto"/>
          <w:highlight w:val="none"/>
          <w:lang w:val="en-US" w:eastAsia="zh-CN"/>
        </w:rPr>
      </w:pPr>
      <w:bookmarkStart w:id="48" w:name="_Toc27758126"/>
      <w:bookmarkStart w:id="49" w:name="_Toc11449"/>
      <w:bookmarkStart w:id="50" w:name="_Toc26357134"/>
      <w:r>
        <w:rPr>
          <w:rFonts w:hint="eastAsia" w:ascii="宋体" w:hAnsi="宋体"/>
          <w:color w:val="auto"/>
          <w:highlight w:val="none"/>
          <w:lang w:val="en-US" w:eastAsia="zh-CN"/>
        </w:rPr>
        <w:t>七、验收</w:t>
      </w:r>
      <w:bookmarkEnd w:id="48"/>
      <w:bookmarkEnd w:id="49"/>
      <w:bookmarkEnd w:id="50"/>
    </w:p>
    <w:p>
      <w:pPr>
        <w:snapToGrid w:val="0"/>
        <w:spacing w:line="360" w:lineRule="auto"/>
        <w:rPr>
          <w:rFonts w:hAnsi="宋体"/>
          <w:b/>
          <w:color w:val="auto"/>
          <w:sz w:val="28"/>
          <w:szCs w:val="28"/>
          <w:highlight w:val="none"/>
        </w:rPr>
      </w:pPr>
      <w:bookmarkStart w:id="51" w:name="_Toc26806122"/>
      <w:bookmarkStart w:id="52" w:name="_Toc27758127"/>
      <w:bookmarkStart w:id="53" w:name="_Toc26357135"/>
      <w:r>
        <w:rPr>
          <w:rFonts w:hint="eastAsia" w:hAnsi="宋体"/>
          <w:b/>
          <w:color w:val="auto"/>
          <w:sz w:val="28"/>
          <w:szCs w:val="28"/>
          <w:highlight w:val="none"/>
        </w:rPr>
        <w:t>1、预验收</w:t>
      </w:r>
      <w:bookmarkEnd w:id="51"/>
      <w:bookmarkEnd w:id="52"/>
      <w:bookmarkEnd w:id="53"/>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1.1设备制造完成</w:t>
      </w:r>
      <w:r>
        <w:rPr>
          <w:rFonts w:ascii="宋体" w:hAnsi="宋体"/>
          <w:color w:val="auto"/>
          <w:sz w:val="24"/>
          <w:highlight w:val="none"/>
        </w:rPr>
        <w:t>后，</w:t>
      </w:r>
      <w:r>
        <w:rPr>
          <w:rFonts w:hint="eastAsia" w:ascii="宋体" w:hAnsi="宋体"/>
          <w:color w:val="auto"/>
          <w:sz w:val="24"/>
          <w:highlight w:val="none"/>
        </w:rPr>
        <w:t>投标方在设备制造地点进行自验收，验收通过后，通知招标方到</w:t>
      </w:r>
      <w:r>
        <w:rPr>
          <w:rFonts w:ascii="宋体" w:hAnsi="宋体"/>
          <w:color w:val="auto"/>
          <w:sz w:val="24"/>
          <w:highlight w:val="none"/>
        </w:rPr>
        <w:t>制造地点进行</w:t>
      </w:r>
      <w:r>
        <w:rPr>
          <w:rFonts w:hint="eastAsia" w:ascii="宋体" w:hAnsi="宋体"/>
          <w:color w:val="auto"/>
          <w:sz w:val="24"/>
          <w:highlight w:val="none"/>
        </w:rPr>
        <w:t>项目</w:t>
      </w:r>
      <w:r>
        <w:rPr>
          <w:rFonts w:ascii="宋体" w:hAnsi="宋体"/>
          <w:color w:val="auto"/>
          <w:sz w:val="24"/>
          <w:highlight w:val="none"/>
        </w:rPr>
        <w:t>预验收。</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1.2招标方负责提供相关产品件用于项目的预验收。</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1.3</w:t>
      </w:r>
      <w:r>
        <w:rPr>
          <w:rFonts w:ascii="宋体" w:hAnsi="宋体"/>
          <w:color w:val="auto"/>
          <w:sz w:val="24"/>
          <w:highlight w:val="none"/>
        </w:rPr>
        <w:t>双方参加</w:t>
      </w:r>
      <w:r>
        <w:rPr>
          <w:rFonts w:hint="eastAsia" w:ascii="宋体" w:hAnsi="宋体"/>
          <w:color w:val="auto"/>
          <w:sz w:val="24"/>
          <w:highlight w:val="none"/>
        </w:rPr>
        <w:t>，</w:t>
      </w:r>
      <w:r>
        <w:rPr>
          <w:rFonts w:ascii="宋体" w:hAnsi="宋体"/>
          <w:color w:val="auto"/>
          <w:sz w:val="24"/>
          <w:highlight w:val="none"/>
        </w:rPr>
        <w:t>检查</w:t>
      </w:r>
      <w:r>
        <w:rPr>
          <w:rFonts w:hint="eastAsia" w:ascii="宋体" w:hAnsi="宋体"/>
          <w:color w:val="auto"/>
          <w:sz w:val="24"/>
          <w:highlight w:val="none"/>
        </w:rPr>
        <w:t>设备各部件</w:t>
      </w:r>
      <w:r>
        <w:rPr>
          <w:rFonts w:ascii="宋体" w:hAnsi="宋体"/>
          <w:color w:val="auto"/>
          <w:sz w:val="24"/>
          <w:highlight w:val="none"/>
        </w:rPr>
        <w:t>操作性</w:t>
      </w:r>
      <w:r>
        <w:rPr>
          <w:rFonts w:hint="eastAsia" w:ascii="宋体" w:hAnsi="宋体"/>
          <w:color w:val="auto"/>
          <w:sz w:val="24"/>
          <w:highlight w:val="none"/>
        </w:rPr>
        <w:t>等</w:t>
      </w:r>
      <w:r>
        <w:rPr>
          <w:rFonts w:ascii="宋体" w:hAnsi="宋体"/>
          <w:color w:val="auto"/>
          <w:sz w:val="24"/>
          <w:highlight w:val="none"/>
        </w:rPr>
        <w:t>。经招标方确认合格后方可包装、发运。</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1.4</w:t>
      </w:r>
      <w:r>
        <w:rPr>
          <w:rFonts w:ascii="宋体" w:hAnsi="宋体"/>
          <w:color w:val="auto"/>
          <w:sz w:val="24"/>
          <w:highlight w:val="none"/>
        </w:rPr>
        <w:t>在</w:t>
      </w:r>
      <w:r>
        <w:rPr>
          <w:rFonts w:hint="eastAsia" w:ascii="宋体" w:hAnsi="宋体"/>
          <w:color w:val="auto"/>
          <w:sz w:val="24"/>
          <w:highlight w:val="none"/>
        </w:rPr>
        <w:t>设备</w:t>
      </w:r>
      <w:r>
        <w:rPr>
          <w:rFonts w:ascii="宋体" w:hAnsi="宋体"/>
          <w:color w:val="auto"/>
          <w:sz w:val="24"/>
          <w:highlight w:val="none"/>
        </w:rPr>
        <w:t>的预验收过程中，由于投标方设计或制造等原因而出现的质量问题，招标方有权提出请投标方返修，然后再次检查直至合格。</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1.5</w:t>
      </w:r>
      <w:r>
        <w:rPr>
          <w:rFonts w:ascii="宋体" w:hAnsi="宋体"/>
          <w:color w:val="auto"/>
          <w:sz w:val="24"/>
          <w:highlight w:val="none"/>
        </w:rPr>
        <w:t>预验收合格后，发运前双方需签署预验收记录，但预验收合格的记录不能替代最终验收报告。</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1.6</w:t>
      </w:r>
      <w:r>
        <w:rPr>
          <w:rFonts w:ascii="宋体" w:hAnsi="宋体"/>
          <w:color w:val="auto"/>
          <w:sz w:val="24"/>
          <w:highlight w:val="none"/>
        </w:rPr>
        <w:t>预验收合格后的所有试件应经</w:t>
      </w:r>
      <w:r>
        <w:rPr>
          <w:rFonts w:hint="eastAsia" w:ascii="宋体" w:hAnsi="宋体"/>
          <w:color w:val="auto"/>
          <w:sz w:val="24"/>
          <w:highlight w:val="none"/>
          <w:lang w:val="en-US" w:eastAsia="zh-CN"/>
        </w:rPr>
        <w:t>防护</w:t>
      </w:r>
      <w:r>
        <w:rPr>
          <w:rFonts w:ascii="宋体" w:hAnsi="宋体"/>
          <w:color w:val="auto"/>
          <w:sz w:val="24"/>
          <w:highlight w:val="none"/>
        </w:rPr>
        <w:t>处理后</w:t>
      </w:r>
      <w:r>
        <w:rPr>
          <w:rFonts w:hint="eastAsia" w:ascii="宋体" w:hAnsi="宋体"/>
          <w:color w:val="auto"/>
          <w:sz w:val="24"/>
          <w:highlight w:val="none"/>
        </w:rPr>
        <w:t>设备</w:t>
      </w:r>
      <w:r>
        <w:rPr>
          <w:rFonts w:ascii="宋体" w:hAnsi="宋体"/>
          <w:color w:val="auto"/>
          <w:sz w:val="24"/>
          <w:highlight w:val="none"/>
        </w:rPr>
        <w:t>一起发交至招标方。</w:t>
      </w:r>
    </w:p>
    <w:p>
      <w:pPr>
        <w:snapToGrid w:val="0"/>
        <w:spacing w:line="360" w:lineRule="auto"/>
        <w:rPr>
          <w:rFonts w:hAnsi="宋体"/>
          <w:b/>
          <w:color w:val="auto"/>
          <w:sz w:val="28"/>
          <w:szCs w:val="28"/>
          <w:highlight w:val="none"/>
        </w:rPr>
      </w:pPr>
      <w:bookmarkStart w:id="54" w:name="_Toc27758128"/>
      <w:bookmarkStart w:id="55" w:name="_Toc26357136"/>
      <w:bookmarkStart w:id="56" w:name="_Toc26806123"/>
      <w:r>
        <w:rPr>
          <w:rFonts w:hint="eastAsia" w:hAnsi="宋体"/>
          <w:b/>
          <w:color w:val="auto"/>
          <w:sz w:val="28"/>
          <w:szCs w:val="28"/>
          <w:highlight w:val="none"/>
        </w:rPr>
        <w:t>2、终验收</w:t>
      </w:r>
      <w:bookmarkEnd w:id="54"/>
      <w:bookmarkEnd w:id="55"/>
      <w:bookmarkEnd w:id="56"/>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2.1</w:t>
      </w:r>
      <w:r>
        <w:rPr>
          <w:rFonts w:ascii="宋体" w:hAnsi="宋体"/>
          <w:color w:val="auto"/>
          <w:sz w:val="24"/>
          <w:highlight w:val="none"/>
        </w:rPr>
        <w:t>投标方派专家到招标方</w:t>
      </w:r>
      <w:r>
        <w:rPr>
          <w:rFonts w:hint="eastAsia" w:ascii="宋体" w:hAnsi="宋体"/>
          <w:color w:val="auto"/>
          <w:sz w:val="24"/>
          <w:highlight w:val="none"/>
        </w:rPr>
        <w:t>现场</w:t>
      </w:r>
      <w:r>
        <w:rPr>
          <w:rFonts w:ascii="宋体" w:hAnsi="宋体"/>
          <w:color w:val="auto"/>
          <w:sz w:val="24"/>
          <w:highlight w:val="none"/>
        </w:rPr>
        <w:t>对</w:t>
      </w:r>
      <w:r>
        <w:rPr>
          <w:rFonts w:hint="eastAsia" w:ascii="宋体" w:hAnsi="宋体"/>
          <w:color w:val="auto"/>
          <w:sz w:val="24"/>
          <w:highlight w:val="none"/>
        </w:rPr>
        <w:t>设备</w:t>
      </w:r>
      <w:r>
        <w:rPr>
          <w:rFonts w:ascii="宋体" w:hAnsi="宋体"/>
          <w:color w:val="auto"/>
          <w:sz w:val="24"/>
          <w:highlight w:val="none"/>
        </w:rPr>
        <w:t>进行安装调试和技术指导。</w:t>
      </w:r>
      <w:r>
        <w:rPr>
          <w:rFonts w:hint="eastAsia" w:ascii="宋体" w:hAnsi="宋体"/>
          <w:color w:val="auto"/>
          <w:sz w:val="24"/>
          <w:highlight w:val="none"/>
        </w:rPr>
        <w:t>所有设备由投标方负责</w:t>
      </w:r>
      <w:r>
        <w:rPr>
          <w:rFonts w:ascii="宋体" w:hAnsi="宋体"/>
          <w:color w:val="auto"/>
          <w:sz w:val="24"/>
          <w:highlight w:val="none"/>
        </w:rPr>
        <w:t>安装、调试完成后，双方在生产地点进行最终验收。</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2.2</w:t>
      </w:r>
      <w:r>
        <w:rPr>
          <w:rFonts w:ascii="宋体" w:hAnsi="宋体"/>
          <w:color w:val="auto"/>
          <w:sz w:val="24"/>
          <w:highlight w:val="none"/>
        </w:rPr>
        <w:t>最终验收期间若发现合同供货内容有质量问题或发现破损、缺陷和缺少零件，投标方应根据招标方要求免费更换零部件并解决问题，并且记录在终验收的报告中。</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szCs w:val="24"/>
          <w:highlight w:val="none"/>
        </w:rPr>
      </w:pPr>
      <w:r>
        <w:rPr>
          <w:rFonts w:hint="eastAsia" w:ascii="宋体" w:hAnsi="宋体"/>
          <w:color w:val="auto"/>
          <w:sz w:val="24"/>
          <w:szCs w:val="24"/>
          <w:highlight w:val="none"/>
        </w:rPr>
        <w:t>2.3</w:t>
      </w:r>
      <w:r>
        <w:rPr>
          <w:rFonts w:ascii="宋体" w:hAnsi="宋体"/>
          <w:color w:val="auto"/>
          <w:sz w:val="24"/>
          <w:szCs w:val="24"/>
          <w:highlight w:val="none"/>
        </w:rPr>
        <w:t>按合同要求验收，若投标方提供的标的内容、技术资料与合同中规定的内容有不符或缺少时，招标方有权要求更换及补偿。</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szCs w:val="24"/>
          <w:highlight w:val="none"/>
        </w:rPr>
      </w:pPr>
      <w:r>
        <w:rPr>
          <w:rFonts w:hint="eastAsia" w:ascii="宋体" w:hAnsi="宋体"/>
          <w:color w:val="auto"/>
          <w:sz w:val="24"/>
          <w:szCs w:val="24"/>
          <w:highlight w:val="none"/>
        </w:rPr>
        <w:t>2.4</w:t>
      </w:r>
      <w:r>
        <w:rPr>
          <w:rFonts w:ascii="宋体" w:hAnsi="宋体"/>
          <w:color w:val="auto"/>
          <w:sz w:val="24"/>
          <w:szCs w:val="24"/>
          <w:highlight w:val="none"/>
        </w:rPr>
        <w:t>检验</w:t>
      </w:r>
      <w:r>
        <w:rPr>
          <w:rFonts w:hint="eastAsia" w:ascii="宋体" w:hAnsi="宋体"/>
          <w:color w:val="auto"/>
          <w:sz w:val="24"/>
          <w:szCs w:val="24"/>
          <w:highlight w:val="none"/>
        </w:rPr>
        <w:t>设备</w:t>
      </w:r>
      <w:r>
        <w:rPr>
          <w:rFonts w:ascii="宋体" w:hAnsi="宋体"/>
          <w:color w:val="auto"/>
          <w:sz w:val="24"/>
          <w:szCs w:val="24"/>
          <w:highlight w:val="none"/>
        </w:rPr>
        <w:t>的精度</w:t>
      </w:r>
      <w:r>
        <w:rPr>
          <w:rFonts w:hint="eastAsia" w:ascii="宋体" w:hAnsi="宋体"/>
          <w:color w:val="auto"/>
          <w:sz w:val="24"/>
          <w:szCs w:val="24"/>
          <w:highlight w:val="none"/>
        </w:rPr>
        <w:t>、设备运行的稳定程度</w:t>
      </w:r>
      <w:r>
        <w:rPr>
          <w:rFonts w:ascii="宋体" w:hAnsi="宋体"/>
          <w:color w:val="auto"/>
          <w:sz w:val="24"/>
          <w:szCs w:val="24"/>
          <w:highlight w:val="none"/>
        </w:rPr>
        <w:t>，如发现与合同要求不符，投标方应负责解决。</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szCs w:val="24"/>
          <w:highlight w:val="none"/>
        </w:rPr>
      </w:pPr>
      <w:r>
        <w:rPr>
          <w:rFonts w:hint="eastAsia" w:ascii="宋体" w:hAnsi="宋体"/>
          <w:color w:val="auto"/>
          <w:sz w:val="24"/>
          <w:szCs w:val="24"/>
          <w:highlight w:val="none"/>
        </w:rPr>
        <w:t>2.5</w:t>
      </w:r>
      <w:r>
        <w:rPr>
          <w:rFonts w:ascii="宋体" w:hAnsi="宋体"/>
          <w:color w:val="auto"/>
          <w:sz w:val="24"/>
          <w:szCs w:val="24"/>
          <w:highlight w:val="none"/>
        </w:rPr>
        <w:t>终验收合格后，双方签署终验收合格报告。</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2.6</w:t>
      </w:r>
      <w:r>
        <w:rPr>
          <w:rFonts w:ascii="宋体" w:hAnsi="宋体"/>
          <w:color w:val="auto"/>
          <w:sz w:val="24"/>
          <w:highlight w:val="none"/>
        </w:rPr>
        <w:t>投标方</w:t>
      </w:r>
      <w:r>
        <w:rPr>
          <w:rFonts w:hint="eastAsia" w:ascii="宋体" w:hAnsi="宋体"/>
          <w:color w:val="auto"/>
          <w:sz w:val="24"/>
          <w:highlight w:val="none"/>
        </w:rPr>
        <w:t>一旦中标，</w:t>
      </w:r>
      <w:r>
        <w:rPr>
          <w:rFonts w:ascii="宋体" w:hAnsi="宋体"/>
          <w:color w:val="auto"/>
          <w:sz w:val="24"/>
          <w:highlight w:val="none"/>
        </w:rPr>
        <w:t>需向招标方提供的技术文件资料</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所有技术文件资料均为纸质文件2套和电子版文件</w:t>
      </w:r>
      <w:r>
        <w:rPr>
          <w:rFonts w:hint="eastAsia" w:ascii="宋体" w:hAnsi="宋体"/>
          <w:color w:val="auto"/>
          <w:sz w:val="24"/>
          <w:highlight w:val="none"/>
        </w:rPr>
        <w:t>（含3D和2D）</w:t>
      </w:r>
      <w:r>
        <w:rPr>
          <w:rFonts w:ascii="宋体" w:hAnsi="宋体"/>
          <w:color w:val="auto"/>
          <w:sz w:val="24"/>
          <w:highlight w:val="none"/>
        </w:rPr>
        <w:t>1套，其中所有电子版文件必须使用国际通用软件以确保能在招标方的计算机中打开并进行编辑和修改。</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b/>
          <w:color w:val="auto"/>
          <w:sz w:val="24"/>
          <w:highlight w:val="none"/>
        </w:rPr>
      </w:pPr>
      <w:r>
        <w:rPr>
          <w:rFonts w:hint="eastAsia" w:ascii="宋体" w:hAnsi="宋体"/>
          <w:color w:val="auto"/>
          <w:sz w:val="24"/>
          <w:highlight w:val="none"/>
        </w:rPr>
        <w:t>2.6.1</w:t>
      </w:r>
      <w:r>
        <w:rPr>
          <w:rFonts w:ascii="宋体" w:hAnsi="宋体"/>
          <w:color w:val="auto"/>
          <w:sz w:val="24"/>
          <w:highlight w:val="none"/>
        </w:rPr>
        <w:t>工艺部分</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A.工艺方案及相应的作业指导书</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B.质量检验方案及相应的作业指导书</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C.</w:t>
      </w:r>
      <w:r>
        <w:rPr>
          <w:rFonts w:ascii="宋体" w:hAnsi="宋体"/>
          <w:color w:val="auto"/>
          <w:sz w:val="24"/>
          <w:highlight w:val="none"/>
        </w:rPr>
        <w:t>各</w:t>
      </w:r>
      <w:r>
        <w:rPr>
          <w:rFonts w:hint="eastAsia" w:ascii="宋体" w:hAnsi="宋体"/>
          <w:color w:val="auto"/>
          <w:sz w:val="24"/>
          <w:highlight w:val="none"/>
        </w:rPr>
        <w:t>设备附件</w:t>
      </w:r>
      <w:r>
        <w:rPr>
          <w:rFonts w:ascii="宋体" w:hAnsi="宋体"/>
          <w:color w:val="auto"/>
          <w:sz w:val="24"/>
          <w:highlight w:val="none"/>
        </w:rPr>
        <w:t>的数量、规格明细及可供制造或采购的图纸、标准</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D.标的物的操作、使用和维修手册，以及液压、电气、润滑（气动）原理图；</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E.</w:t>
      </w:r>
      <w:r>
        <w:rPr>
          <w:rFonts w:ascii="宋体" w:hAnsi="宋体"/>
          <w:color w:val="auto"/>
          <w:sz w:val="24"/>
          <w:highlight w:val="none"/>
        </w:rPr>
        <w:t>提供设施消耗水、电、气的详细资料。保证设施正常运行、维护和保养所必需的其它参数和资料</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F.水、电、气的位置图及接点、接口指示图。</w:t>
      </w:r>
    </w:p>
    <w:p>
      <w:pPr>
        <w:pStyle w:val="13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ascii="宋体" w:hAnsi="宋体"/>
          <w:color w:val="auto"/>
          <w:sz w:val="24"/>
          <w:highlight w:val="none"/>
        </w:rPr>
      </w:pPr>
      <w:r>
        <w:rPr>
          <w:rFonts w:hint="eastAsia" w:ascii="宋体" w:hAnsi="宋体"/>
          <w:color w:val="auto"/>
          <w:sz w:val="24"/>
          <w:highlight w:val="none"/>
        </w:rPr>
        <w:t>2.6.2工装部分</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A.工装图纸（包括总成图、分总成图、部件图、零件图、夹具基础图以及适用的标准等技术文件）</w:t>
      </w:r>
      <w:r>
        <w:rPr>
          <w:rFonts w:hint="eastAsia" w:ascii="宋体" w:hAnsi="宋体"/>
          <w:color w:val="auto"/>
          <w:sz w:val="24"/>
          <w:highlight w:val="none"/>
        </w:rPr>
        <w:t>，投标方专利部分图纸，可提供简图；</w:t>
      </w:r>
      <w:r>
        <w:rPr>
          <w:rFonts w:ascii="宋体" w:hAnsi="宋体"/>
          <w:color w:val="auto"/>
          <w:sz w:val="24"/>
          <w:highlight w:val="none"/>
        </w:rPr>
        <w:t>工装图中的各定位孔应有三坐标数据表</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B.</w:t>
      </w:r>
      <w:r>
        <w:rPr>
          <w:rFonts w:hint="eastAsia" w:ascii="宋体" w:hAnsi="宋体"/>
          <w:color w:val="auto"/>
          <w:sz w:val="24"/>
          <w:highlight w:val="none"/>
        </w:rPr>
        <w:t>设备附件等</w:t>
      </w:r>
      <w:r>
        <w:rPr>
          <w:rFonts w:ascii="宋体" w:hAnsi="宋体"/>
          <w:color w:val="auto"/>
          <w:sz w:val="24"/>
          <w:highlight w:val="none"/>
        </w:rPr>
        <w:t>明细表、外购件明细表及相应的供应商联系地址和使用、维修说明书</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C.电器、压缩空气、循环水、润滑系统原理图，润滑点及相应的维护使用说明书（图）</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D.工装使用说明书</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E.</w:t>
      </w:r>
      <w:r>
        <w:rPr>
          <w:rFonts w:hint="eastAsia" w:ascii="宋体" w:hAnsi="宋体"/>
          <w:color w:val="auto"/>
          <w:sz w:val="24"/>
          <w:highlight w:val="none"/>
        </w:rPr>
        <w:t>设备附件</w:t>
      </w:r>
      <w:r>
        <w:rPr>
          <w:rFonts w:ascii="宋体" w:hAnsi="宋体"/>
          <w:color w:val="auto"/>
          <w:sz w:val="24"/>
          <w:highlight w:val="none"/>
        </w:rPr>
        <w:t>检测数据记录</w:t>
      </w:r>
      <w:r>
        <w:rPr>
          <w:rFonts w:hint="eastAsia" w:ascii="宋体" w:hAnsi="宋体"/>
          <w:color w:val="auto"/>
          <w:sz w:val="24"/>
          <w:highlight w:val="none"/>
        </w:rPr>
        <w:t>，终验收前需再次进行全线工装检测，并提供相关记录；</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F.</w:t>
      </w:r>
      <w:r>
        <w:rPr>
          <w:rFonts w:hint="eastAsia" w:ascii="宋体" w:hAnsi="宋体"/>
          <w:color w:val="auto"/>
          <w:sz w:val="24"/>
          <w:highlight w:val="none"/>
        </w:rPr>
        <w:t>设备</w:t>
      </w:r>
      <w:r>
        <w:rPr>
          <w:rFonts w:ascii="宋体" w:hAnsi="宋体"/>
          <w:color w:val="auto"/>
          <w:sz w:val="24"/>
          <w:highlight w:val="none"/>
        </w:rPr>
        <w:t>所</w:t>
      </w:r>
      <w:r>
        <w:rPr>
          <w:rFonts w:hint="eastAsia" w:ascii="宋体" w:hAnsi="宋体"/>
          <w:color w:val="auto"/>
          <w:sz w:val="24"/>
          <w:highlight w:val="none"/>
        </w:rPr>
        <w:t>生产产</w:t>
      </w:r>
      <w:r>
        <w:rPr>
          <w:rFonts w:ascii="宋体" w:hAnsi="宋体"/>
          <w:color w:val="auto"/>
          <w:sz w:val="24"/>
          <w:highlight w:val="none"/>
        </w:rPr>
        <w:t>品的检测记录（包括检测数据记录并进行说明）。</w:t>
      </w:r>
    </w:p>
    <w:p>
      <w:pPr>
        <w:pStyle w:val="2"/>
        <w:keepNext/>
        <w:keepLines/>
        <w:spacing w:line="360" w:lineRule="auto"/>
        <w:ind w:left="0"/>
        <w:jc w:val="both"/>
        <w:rPr>
          <w:rFonts w:hint="eastAsia" w:ascii="宋体" w:hAnsi="宋体"/>
          <w:color w:val="auto"/>
          <w:highlight w:val="none"/>
          <w:lang w:val="en-US" w:eastAsia="zh-CN"/>
        </w:rPr>
      </w:pPr>
      <w:bookmarkStart w:id="57" w:name="_Toc26357137"/>
      <w:bookmarkStart w:id="58" w:name="_Toc25336"/>
      <w:bookmarkStart w:id="59" w:name="_Toc27758129"/>
      <w:r>
        <w:rPr>
          <w:rFonts w:hint="eastAsia" w:ascii="宋体" w:hAnsi="宋体"/>
          <w:color w:val="auto"/>
          <w:highlight w:val="none"/>
          <w:lang w:val="en-US" w:eastAsia="zh-CN"/>
        </w:rPr>
        <w:t>八、服务</w:t>
      </w:r>
      <w:bookmarkEnd w:id="57"/>
      <w:bookmarkEnd w:id="58"/>
      <w:bookmarkEnd w:id="59"/>
    </w:p>
    <w:p>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1.</w:t>
      </w:r>
      <w:r>
        <w:rPr>
          <w:rFonts w:ascii="宋体" w:hAnsi="宋体"/>
          <w:color w:val="auto"/>
          <w:sz w:val="24"/>
          <w:highlight w:val="none"/>
        </w:rPr>
        <w:t>技术培训</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lang w:val="en-US" w:eastAsia="zh-CN"/>
        </w:rPr>
        <w:t>1.1</w:t>
      </w:r>
      <w:r>
        <w:rPr>
          <w:rFonts w:ascii="宋体" w:hAnsi="宋体"/>
          <w:color w:val="auto"/>
          <w:sz w:val="24"/>
          <w:highlight w:val="none"/>
        </w:rPr>
        <w:t>在预验收和终验收期间，投标方应派有经验的专家对招标方相关人员进行理论和实际操作的培训，并提供成套培训资料</w:t>
      </w:r>
      <w:r>
        <w:rPr>
          <w:rFonts w:hint="eastAsia" w:ascii="宋体" w:hAnsi="宋体"/>
          <w:color w:val="auto"/>
          <w:sz w:val="24"/>
          <w:highlight w:val="none"/>
        </w:rPr>
        <w:t>，</w:t>
      </w:r>
      <w:r>
        <w:rPr>
          <w:rFonts w:ascii="宋体" w:hAnsi="宋体"/>
          <w:color w:val="auto"/>
          <w:sz w:val="24"/>
          <w:highlight w:val="none"/>
        </w:rPr>
        <w:t>所有培训应是免费的。</w:t>
      </w:r>
    </w:p>
    <w:p>
      <w:pPr>
        <w:pStyle w:val="133"/>
        <w:keepNext w:val="0"/>
        <w:keepLines w:val="0"/>
        <w:pageBreakBefore w:val="0"/>
        <w:widowControl w:val="0"/>
        <w:numPr>
          <w:ilvl w:val="0"/>
          <w:numId w:val="0"/>
        </w:numPr>
        <w:tabs>
          <w:tab w:val="left" w:pos="1005"/>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1.2</w:t>
      </w:r>
      <w:r>
        <w:rPr>
          <w:rFonts w:ascii="宋体" w:hAnsi="宋体"/>
          <w:color w:val="auto"/>
          <w:sz w:val="24"/>
          <w:highlight w:val="none"/>
        </w:rPr>
        <w:t>培训结束后，投标方应保证招标方相关人员能正确、熟练地掌握标的物的操作和维护，并在</w:t>
      </w:r>
      <w:r>
        <w:rPr>
          <w:rFonts w:hint="eastAsia" w:ascii="宋体" w:hAnsi="宋体"/>
          <w:color w:val="auto"/>
          <w:sz w:val="24"/>
          <w:highlight w:val="none"/>
        </w:rPr>
        <w:t>各条线体</w:t>
      </w:r>
      <w:r>
        <w:rPr>
          <w:rFonts w:ascii="宋体" w:hAnsi="宋体"/>
          <w:color w:val="auto"/>
          <w:sz w:val="24"/>
          <w:highlight w:val="none"/>
        </w:rPr>
        <w:t>正常运行时，能排除一般性故障。</w:t>
      </w:r>
    </w:p>
    <w:p>
      <w:pPr>
        <w:pStyle w:val="133"/>
        <w:keepNext w:val="0"/>
        <w:keepLines w:val="0"/>
        <w:pageBreakBefore w:val="0"/>
        <w:widowControl w:val="0"/>
        <w:numPr>
          <w:ilvl w:val="0"/>
          <w:numId w:val="0"/>
        </w:numPr>
        <w:tabs>
          <w:tab w:val="left" w:pos="1005"/>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1.3</w:t>
      </w:r>
      <w:r>
        <w:rPr>
          <w:rFonts w:ascii="宋体" w:hAnsi="宋体"/>
          <w:color w:val="auto"/>
          <w:sz w:val="24"/>
          <w:highlight w:val="none"/>
        </w:rPr>
        <w:t>培训期间的交流语言为中文，当采用其他语言时投标方应提供翻译。</w:t>
      </w:r>
    </w:p>
    <w:p>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w:t>
      </w:r>
      <w:r>
        <w:rPr>
          <w:rFonts w:ascii="宋体" w:hAnsi="宋体"/>
          <w:color w:val="auto"/>
          <w:sz w:val="24"/>
          <w:highlight w:val="none"/>
        </w:rPr>
        <w:t>质量保证期及售后服务</w:t>
      </w:r>
    </w:p>
    <w:p>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2.1</w:t>
      </w:r>
      <w:r>
        <w:rPr>
          <w:rFonts w:ascii="宋体" w:hAnsi="宋体"/>
          <w:color w:val="auto"/>
          <w:sz w:val="24"/>
          <w:highlight w:val="none"/>
        </w:rPr>
        <w:t>质量保证期为标的最终验收合格后1</w:t>
      </w:r>
      <w:r>
        <w:rPr>
          <w:rFonts w:hint="eastAsia" w:ascii="宋体" w:hAnsi="宋体"/>
          <w:color w:val="auto"/>
          <w:sz w:val="24"/>
          <w:highlight w:val="none"/>
        </w:rPr>
        <w:t>2</w:t>
      </w:r>
      <w:r>
        <w:rPr>
          <w:rFonts w:ascii="宋体" w:hAnsi="宋体"/>
          <w:color w:val="auto"/>
          <w:sz w:val="24"/>
          <w:highlight w:val="none"/>
        </w:rPr>
        <w:t>个月。</w:t>
      </w:r>
    </w:p>
    <w:p>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2.2</w:t>
      </w:r>
      <w:r>
        <w:rPr>
          <w:rFonts w:hint="eastAsia" w:ascii="宋体" w:hAnsi="宋体"/>
          <w:color w:val="auto"/>
          <w:sz w:val="24"/>
          <w:highlight w:val="none"/>
        </w:rPr>
        <w:t>在设备终验收后</w:t>
      </w:r>
      <w:r>
        <w:rPr>
          <w:rFonts w:ascii="宋体" w:hAnsi="宋体"/>
          <w:color w:val="auto"/>
          <w:sz w:val="24"/>
          <w:highlight w:val="none"/>
        </w:rPr>
        <w:t>，投标方应派专业人员</w:t>
      </w:r>
      <w:r>
        <w:rPr>
          <w:rFonts w:hint="eastAsia" w:ascii="宋体" w:hAnsi="宋体"/>
          <w:color w:val="auto"/>
          <w:sz w:val="24"/>
          <w:highlight w:val="none"/>
        </w:rPr>
        <w:t>到招标方现场</w:t>
      </w:r>
      <w:r>
        <w:rPr>
          <w:rFonts w:ascii="宋体" w:hAnsi="宋体"/>
          <w:color w:val="auto"/>
          <w:sz w:val="24"/>
          <w:highlight w:val="none"/>
        </w:rPr>
        <w:t>陪产</w:t>
      </w:r>
      <w:r>
        <w:rPr>
          <w:rFonts w:hint="eastAsia" w:ascii="宋体" w:hAnsi="宋体"/>
          <w:color w:val="auto"/>
          <w:sz w:val="24"/>
          <w:highlight w:val="none"/>
        </w:rPr>
        <w:t>12</w:t>
      </w:r>
      <w:r>
        <w:rPr>
          <w:rFonts w:ascii="宋体" w:hAnsi="宋体"/>
          <w:color w:val="auto"/>
          <w:sz w:val="24"/>
          <w:highlight w:val="none"/>
        </w:rPr>
        <w:t>个月，</w:t>
      </w:r>
      <w:r>
        <w:rPr>
          <w:rFonts w:hint="eastAsia" w:ascii="宋体" w:hAnsi="宋体"/>
          <w:color w:val="auto"/>
          <w:sz w:val="24"/>
          <w:highlight w:val="none"/>
        </w:rPr>
        <w:t>提供技术服务，</w:t>
      </w:r>
      <w:r>
        <w:rPr>
          <w:rFonts w:ascii="宋体" w:hAnsi="宋体"/>
          <w:color w:val="auto"/>
          <w:sz w:val="24"/>
          <w:highlight w:val="none"/>
        </w:rPr>
        <w:t>以确保</w:t>
      </w:r>
      <w:r>
        <w:rPr>
          <w:rFonts w:hint="eastAsia" w:ascii="宋体" w:hAnsi="宋体"/>
          <w:color w:val="auto"/>
          <w:sz w:val="24"/>
          <w:highlight w:val="none"/>
        </w:rPr>
        <w:t>各设备稳定运行以及</w:t>
      </w:r>
      <w:r>
        <w:rPr>
          <w:rFonts w:ascii="宋体" w:hAnsi="宋体"/>
          <w:color w:val="auto"/>
          <w:sz w:val="24"/>
          <w:highlight w:val="none"/>
        </w:rPr>
        <w:t>生产节拍、产品质量和精度</w:t>
      </w:r>
      <w:r>
        <w:rPr>
          <w:rFonts w:hint="eastAsia" w:ascii="宋体" w:hAnsi="宋体"/>
          <w:color w:val="auto"/>
          <w:sz w:val="24"/>
          <w:highlight w:val="none"/>
        </w:rPr>
        <w:t>，如生产线在陪产期间有重大故障发生，陪产看护期顺延，以故障排除之日起重新计算12个月陪产期。</w:t>
      </w:r>
    </w:p>
    <w:p>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2.3</w:t>
      </w:r>
      <w:r>
        <w:rPr>
          <w:rFonts w:hint="eastAsia" w:ascii="宋体" w:hAnsi="宋体"/>
          <w:color w:val="auto"/>
          <w:sz w:val="24"/>
          <w:highlight w:val="none"/>
        </w:rPr>
        <w:t>质保期内维修使用的备品备件由投标方提供。</w:t>
      </w:r>
    </w:p>
    <w:p>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2.4</w:t>
      </w:r>
      <w:r>
        <w:rPr>
          <w:rFonts w:hint="eastAsia" w:ascii="宋体" w:hAnsi="宋体"/>
          <w:color w:val="auto"/>
          <w:sz w:val="24"/>
          <w:highlight w:val="none"/>
        </w:rPr>
        <w:t>质保期过后，投标方提供备品备件的明细、品牌和参数，招标方根据实际需求采购。</w:t>
      </w:r>
    </w:p>
    <w:p>
      <w:pPr>
        <w:pStyle w:val="2"/>
        <w:keepNext/>
        <w:keepLines/>
        <w:spacing w:line="360" w:lineRule="auto"/>
        <w:ind w:left="0"/>
        <w:jc w:val="both"/>
        <w:rPr>
          <w:rFonts w:hint="eastAsia" w:ascii="宋体" w:hAnsi="宋体"/>
          <w:color w:val="auto"/>
          <w:highlight w:val="none"/>
          <w:lang w:val="en-US" w:eastAsia="zh-CN"/>
        </w:rPr>
      </w:pPr>
      <w:bookmarkStart w:id="60" w:name="_Toc27758130"/>
      <w:bookmarkStart w:id="61" w:name="_Toc17670"/>
      <w:bookmarkStart w:id="62" w:name="_Toc26357138"/>
      <w:r>
        <w:rPr>
          <w:rFonts w:hint="eastAsia" w:ascii="宋体" w:hAnsi="宋体"/>
          <w:color w:val="auto"/>
          <w:highlight w:val="none"/>
          <w:lang w:val="en-US" w:eastAsia="zh-CN"/>
        </w:rPr>
        <w:t>九、交货期</w:t>
      </w:r>
      <w:bookmarkEnd w:id="60"/>
      <w:bookmarkEnd w:id="61"/>
      <w:bookmarkEnd w:id="62"/>
    </w:p>
    <w:p>
      <w:pPr>
        <w:pStyle w:val="2"/>
        <w:tabs>
          <w:tab w:val="right" w:leader="dot" w:pos="9061"/>
        </w:tabs>
        <w:ind w:left="0" w:firstLine="480" w:firstLineChars="200"/>
        <w:jc w:val="both"/>
        <w:rPr>
          <w:rFonts w:ascii="宋体" w:hAnsi="宋体"/>
          <w:b w:val="0"/>
          <w:sz w:val="24"/>
          <w:szCs w:val="24"/>
          <w:highlight w:val="none"/>
        </w:rPr>
      </w:pPr>
      <w:r>
        <w:rPr>
          <w:rFonts w:hint="eastAsia" w:ascii="宋体" w:hAnsi="宋体"/>
          <w:b w:val="0"/>
          <w:color w:val="auto"/>
          <w:sz w:val="24"/>
          <w:szCs w:val="24"/>
          <w:highlight w:val="none"/>
        </w:rPr>
        <w:t>投标方收到中标通知书后45个日历日内所有设备完成预验收并发运至招标方指定地点。</w:t>
      </w:r>
    </w:p>
    <w:p>
      <w:pPr>
        <w:pStyle w:val="2"/>
        <w:tabs>
          <w:tab w:val="right" w:leader="dot" w:pos="9061"/>
        </w:tabs>
        <w:ind w:left="0" w:firstLine="480" w:firstLineChars="200"/>
        <w:jc w:val="both"/>
        <w:rPr>
          <w:rFonts w:hint="eastAsia" w:ascii="宋体" w:hAnsi="宋体" w:eastAsia="宋体" w:cs="宋体"/>
          <w:b w:val="0"/>
          <w:bCs w:val="0"/>
          <w:color w:val="000000"/>
          <w:kern w:val="2"/>
          <w:sz w:val="24"/>
          <w:szCs w:val="24"/>
          <w:lang w:val="en-US" w:eastAsia="zh-CN" w:bidi="ar-SA"/>
        </w:rPr>
      </w:pPr>
    </w:p>
    <w:p>
      <w:pPr>
        <w:pStyle w:val="12"/>
        <w:rPr>
          <w:rFonts w:hint="eastAsia"/>
        </w:rPr>
      </w:pPr>
    </w:p>
    <w:p>
      <w:pPr>
        <w:pStyle w:val="17"/>
        <w:spacing w:line="360" w:lineRule="auto"/>
        <w:rPr>
          <w:rFonts w:hint="eastAsia" w:hAnsi="宋体" w:eastAsia="宋体" w:cs="宋体"/>
          <w:sz w:val="24"/>
          <w:szCs w:val="24"/>
        </w:rPr>
        <w:sectPr>
          <w:headerReference r:id="rId10" w:type="default"/>
          <w:footerReference r:id="rId11"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pStyle w:val="17"/>
      </w:pPr>
    </w:p>
    <w:p>
      <w:pPr>
        <w:spacing w:line="360" w:lineRule="auto"/>
        <w:jc w:val="center"/>
        <w:outlineLvl w:val="0"/>
        <w:rPr>
          <w:rFonts w:ascii="宋体" w:hAnsi="Calibri" w:eastAsia="宋体" w:cs="Times New Roman"/>
          <w:b/>
          <w:sz w:val="36"/>
          <w:szCs w:val="36"/>
        </w:rPr>
      </w:pPr>
      <w:bookmarkStart w:id="63"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63"/>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7"/>
        <w:jc w:val="center"/>
      </w:pPr>
      <w:r>
        <w:rPr>
          <w:rFonts w:hint="eastAsia" w:hAnsi="宋体" w:eastAsia="宋体" w:cs="宋体"/>
          <w:b/>
          <w:sz w:val="24"/>
          <w:szCs w:val="24"/>
          <w:highlight w:val="yellow"/>
          <w:lang w:val="en-US" w:eastAsia="zh-CN"/>
        </w:rPr>
        <w:t>（</w:t>
      </w:r>
      <w:r>
        <w:rPr>
          <w:rFonts w:hint="eastAsia" w:ascii="宋体" w:hAnsi="宋体" w:eastAsia="宋体" w:cs="宋体"/>
          <w:b/>
          <w:sz w:val="24"/>
          <w:szCs w:val="24"/>
          <w:highlight w:val="yellow"/>
          <w:lang w:val="en-US" w:eastAsia="zh-CN"/>
        </w:rPr>
        <w:t>合同以双方最终签署的版本为准</w:t>
      </w:r>
      <w:r>
        <w:rPr>
          <w:rFonts w:hint="eastAsia" w:hAnsi="宋体" w:eastAsia="宋体" w:cs="宋体"/>
          <w:b/>
          <w:sz w:val="24"/>
          <w:szCs w:val="24"/>
          <w:highlight w:val="yellow"/>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2"/>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64" w:name="_Toc11823"/>
      <w:bookmarkStart w:id="65" w:name="_Toc11930"/>
      <w:bookmarkStart w:id="66" w:name="_Toc16330018"/>
      <w:bookmarkStart w:id="67" w:name="_Toc17619"/>
      <w:bookmarkStart w:id="68" w:name="_Toc9465"/>
      <w:r>
        <w:rPr>
          <w:rFonts w:hint="eastAsia" w:ascii="黑体" w:hAnsi="黑体" w:eastAsia="黑体" w:cstheme="minorEastAsia"/>
          <w:b w:val="0"/>
          <w:sz w:val="28"/>
          <w:szCs w:val="28"/>
        </w:rPr>
        <w:t>1 合同设备</w:t>
      </w:r>
      <w:bookmarkEnd w:id="64"/>
      <w:bookmarkEnd w:id="65"/>
      <w:bookmarkEnd w:id="66"/>
      <w:bookmarkEnd w:id="67"/>
      <w:bookmarkEnd w:id="6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69" w:name="_Toc32510"/>
      <w:bookmarkStart w:id="70" w:name="_Toc22800"/>
      <w:bookmarkStart w:id="71"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72" w:name="_Toc7716"/>
      <w:bookmarkStart w:id="73" w:name="_Toc16330019"/>
      <w:r>
        <w:rPr>
          <w:rFonts w:hint="eastAsia" w:ascii="黑体" w:hAnsi="黑体" w:eastAsia="黑体" w:cstheme="minorEastAsia"/>
          <w:b w:val="0"/>
          <w:sz w:val="28"/>
          <w:szCs w:val="28"/>
        </w:rPr>
        <w:t>2 包装</w:t>
      </w:r>
      <w:bookmarkEnd w:id="69"/>
      <w:bookmarkEnd w:id="70"/>
      <w:bookmarkEnd w:id="71"/>
      <w:bookmarkEnd w:id="72"/>
      <w:bookmarkEnd w:id="7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74" w:name="_Toc2833"/>
      <w:bookmarkStart w:id="75" w:name="_Toc30507"/>
      <w:bookmarkStart w:id="76" w:name="_Toc27453"/>
      <w:bookmarkStart w:id="77" w:name="_Toc16330020"/>
      <w:bookmarkStart w:id="78" w:name="_Toc27144"/>
      <w:r>
        <w:rPr>
          <w:rFonts w:hint="eastAsia" w:ascii="黑体" w:hAnsi="黑体" w:eastAsia="黑体" w:cstheme="minorEastAsia"/>
          <w:b w:val="0"/>
          <w:sz w:val="28"/>
          <w:szCs w:val="28"/>
        </w:rPr>
        <w:t>3 运输标记</w:t>
      </w:r>
      <w:bookmarkEnd w:id="74"/>
      <w:bookmarkEnd w:id="75"/>
      <w:bookmarkEnd w:id="76"/>
      <w:bookmarkEnd w:id="77"/>
      <w:bookmarkEnd w:id="7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79" w:name="_Toc8624"/>
      <w:bookmarkStart w:id="80" w:name="_Toc10630"/>
      <w:bookmarkStart w:id="81" w:name="_Toc16133"/>
      <w:bookmarkStart w:id="82" w:name="_Toc7431"/>
      <w:bookmarkStart w:id="83" w:name="_Toc16330021"/>
      <w:r>
        <w:rPr>
          <w:rFonts w:hint="eastAsia" w:ascii="黑体" w:hAnsi="黑体" w:eastAsia="黑体" w:cstheme="minorEastAsia"/>
          <w:b w:val="0"/>
          <w:sz w:val="28"/>
          <w:szCs w:val="28"/>
        </w:rPr>
        <w:t>4 检验</w:t>
      </w:r>
      <w:bookmarkEnd w:id="79"/>
      <w:bookmarkEnd w:id="80"/>
      <w:bookmarkEnd w:id="81"/>
      <w:bookmarkEnd w:id="82"/>
      <w:bookmarkEnd w:id="8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84" w:name="_Toc14275"/>
      <w:bookmarkStart w:id="85" w:name="_Toc24467"/>
      <w:bookmarkStart w:id="86" w:name="_Toc11217"/>
      <w:bookmarkStart w:id="87" w:name="_Toc16330022"/>
      <w:bookmarkStart w:id="88" w:name="_Toc19850"/>
      <w:r>
        <w:rPr>
          <w:rFonts w:hint="eastAsia" w:ascii="黑体" w:hAnsi="黑体" w:eastAsia="黑体" w:cstheme="minorEastAsia"/>
          <w:b w:val="0"/>
          <w:sz w:val="28"/>
          <w:szCs w:val="28"/>
        </w:rPr>
        <w:t>5 权利担保</w:t>
      </w:r>
      <w:bookmarkEnd w:id="84"/>
      <w:bookmarkEnd w:id="85"/>
      <w:bookmarkEnd w:id="86"/>
      <w:bookmarkEnd w:id="87"/>
      <w:bookmarkEnd w:id="8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89" w:name="_Toc27500"/>
      <w:bookmarkStart w:id="90" w:name="_Toc20827"/>
      <w:bookmarkStart w:id="91" w:name="_Toc16330023"/>
      <w:bookmarkStart w:id="92" w:name="_Toc14809"/>
      <w:bookmarkStart w:id="93" w:name="_Toc11759"/>
      <w:r>
        <w:rPr>
          <w:rFonts w:hint="eastAsia" w:ascii="黑体" w:hAnsi="黑体" w:eastAsia="黑体" w:cstheme="minorEastAsia"/>
          <w:b w:val="0"/>
          <w:sz w:val="28"/>
          <w:szCs w:val="28"/>
        </w:rPr>
        <w:t>6 交货</w:t>
      </w:r>
      <w:bookmarkEnd w:id="89"/>
      <w:bookmarkEnd w:id="90"/>
      <w:bookmarkEnd w:id="91"/>
      <w:bookmarkEnd w:id="92"/>
      <w:bookmarkEnd w:id="9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94" w:name="_Toc25510"/>
      <w:bookmarkStart w:id="95" w:name="_Toc23308"/>
      <w:bookmarkStart w:id="96" w:name="_Toc8024"/>
      <w:bookmarkStart w:id="97" w:name="_Toc2984"/>
      <w:bookmarkStart w:id="98" w:name="_Toc16330024"/>
      <w:r>
        <w:rPr>
          <w:rFonts w:hint="eastAsia" w:ascii="黑体" w:hAnsi="黑体" w:eastAsia="黑体" w:cstheme="minorEastAsia"/>
          <w:b w:val="0"/>
          <w:sz w:val="28"/>
          <w:szCs w:val="28"/>
        </w:rPr>
        <w:t>7 安装、调试</w:t>
      </w:r>
      <w:bookmarkEnd w:id="94"/>
      <w:bookmarkEnd w:id="95"/>
      <w:bookmarkEnd w:id="96"/>
      <w:bookmarkEnd w:id="97"/>
      <w:bookmarkEnd w:id="98"/>
    </w:p>
    <w:p>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7.5若设备安装、调试过程中需使用买方产品的，买方提供调试所用产品数量【  】件，超出此数量部分由卖方提供，由此产生的相关费用由卖方承担。</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99" w:name="_Toc14098"/>
      <w:bookmarkStart w:id="100" w:name="_Toc6350"/>
      <w:bookmarkStart w:id="101" w:name="_Toc16330025"/>
      <w:bookmarkStart w:id="102" w:name="_Toc14260"/>
      <w:bookmarkStart w:id="103" w:name="_Toc15547"/>
      <w:r>
        <w:rPr>
          <w:rFonts w:hint="eastAsia" w:ascii="黑体" w:hAnsi="黑体" w:eastAsia="黑体" w:cstheme="minorEastAsia"/>
          <w:b w:val="0"/>
          <w:sz w:val="28"/>
          <w:szCs w:val="28"/>
        </w:rPr>
        <w:t>8 价款与支付</w:t>
      </w:r>
      <w:bookmarkEnd w:id="99"/>
      <w:bookmarkEnd w:id="100"/>
      <w:bookmarkEnd w:id="101"/>
      <w:bookmarkEnd w:id="102"/>
      <w:bookmarkEnd w:id="103"/>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w:t>
      </w:r>
      <w:r>
        <w:rPr>
          <w:rFonts w:hint="eastAsia" w:ascii="仿宋_GB2312" w:hAnsi="黑体" w:eastAsia="仿宋_GB2312" w:cstheme="minorEastAsia"/>
          <w:sz w:val="24"/>
          <w:szCs w:val="24"/>
          <w:lang w:val="en-US" w:eastAsia="zh-CN"/>
        </w:rPr>
        <w:t>设备全部到期无质量问题</w:t>
      </w:r>
      <w:r>
        <w:rPr>
          <w:rFonts w:hint="eastAsia" w:ascii="仿宋_GB2312" w:hAnsi="黑体" w:eastAsia="仿宋_GB2312" w:cstheme="minorEastAsia"/>
          <w:sz w:val="24"/>
          <w:szCs w:val="24"/>
        </w:rPr>
        <w:t xml:space="preserve">, </w:t>
      </w:r>
      <w:r>
        <w:rPr>
          <w:rFonts w:hint="eastAsia" w:ascii="仿宋_GB2312" w:hAnsi="黑体" w:eastAsia="仿宋_GB2312" w:cstheme="minorEastAsia"/>
          <w:sz w:val="24"/>
          <w:szCs w:val="24"/>
          <w:lang w:val="en-US" w:eastAsia="zh-CN"/>
        </w:rPr>
        <w:t>经安装调试并预验收合格后，</w:t>
      </w:r>
      <w:r>
        <w:rPr>
          <w:rFonts w:hint="eastAsia" w:ascii="仿宋_GB2312" w:hAnsi="黑体" w:eastAsia="仿宋_GB2312" w:cstheme="minorEastAsia"/>
          <w:sz w:val="24"/>
          <w:szCs w:val="24"/>
        </w:rPr>
        <w:t>卖方提交金额为合同含税价款</w:t>
      </w:r>
      <w:r>
        <w:rPr>
          <w:rFonts w:hint="eastAsia" w:ascii="仿宋_GB2312" w:hAnsi="黑体" w:eastAsia="仿宋_GB2312" w:cstheme="minorEastAsia"/>
          <w:sz w:val="24"/>
          <w:szCs w:val="24"/>
          <w:lang w:val="en-US" w:eastAsia="zh-CN"/>
        </w:rPr>
        <w:t>30</w:t>
      </w:r>
      <w:r>
        <w:rPr>
          <w:rFonts w:hint="eastAsia" w:ascii="仿宋_GB2312" w:hAnsi="黑体" w:eastAsia="仿宋_GB2312" w:cstheme="minorEastAsia"/>
          <w:sz w:val="24"/>
          <w:szCs w:val="24"/>
        </w:rPr>
        <w:t>%的收据（正本一份，复印件二份）及增值税专用发票（税率为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8.3.2终验收合格后，卖方提交金额为合同含税价款</w:t>
      </w:r>
      <w:r>
        <w:rPr>
          <w:rFonts w:hint="eastAsia" w:ascii="仿宋_GB2312" w:hAnsi="黑体" w:eastAsia="仿宋_GB2312" w:cstheme="minorEastAsia"/>
          <w:sz w:val="24"/>
          <w:szCs w:val="24"/>
          <w:lang w:val="en-US" w:eastAsia="zh-CN"/>
        </w:rPr>
        <w:t>60</w:t>
      </w:r>
      <w:r>
        <w:rPr>
          <w:rFonts w:hint="eastAsia" w:ascii="仿宋_GB2312" w:hAnsi="黑体" w:eastAsia="仿宋_GB2312" w:cstheme="minorEastAsia"/>
          <w:sz w:val="24"/>
          <w:szCs w:val="24"/>
        </w:rPr>
        <w:t>%的收据及合同价</w:t>
      </w:r>
      <w:r>
        <w:rPr>
          <w:rFonts w:hint="eastAsia" w:ascii="仿宋_GB2312" w:hAnsi="黑体" w:eastAsia="仿宋_GB2312" w:cstheme="minorEastAsia"/>
          <w:sz w:val="24"/>
          <w:szCs w:val="24"/>
          <w:lang w:val="en-US" w:eastAsia="zh-CN"/>
        </w:rPr>
        <w:t>70</w:t>
      </w:r>
      <w:r>
        <w:rPr>
          <w:rFonts w:hint="eastAsia" w:ascii="仿宋_GB2312" w:hAnsi="黑体" w:eastAsia="仿宋_GB2312" w:cstheme="minorEastAsia"/>
          <w:sz w:val="24"/>
          <w:szCs w:val="24"/>
        </w:rPr>
        <w:t>%增值税专用发票（税率为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%，正本一份，复印件二份）并附带该套合同设备最终验收报告的原件及其复印件两份，经买方依照财务制度审核通过后支付：</w:t>
      </w:r>
    </w:p>
    <w:p>
      <w:pPr>
        <w:spacing w:line="360" w:lineRule="auto"/>
        <w:ind w:firstLine="453" w:firstLineChars="189"/>
        <w:rPr>
          <w:rFonts w:asciiTheme="minorEastAsia" w:hAnsiTheme="minorEastAsia" w:cstheme="minorEastAsia"/>
          <w:sz w:val="20"/>
          <w:szCs w:val="20"/>
        </w:rPr>
      </w:pPr>
      <w:bookmarkStart w:id="104" w:name="_Toc14676804"/>
      <w:bookmarkStart w:id="105" w:name="_Toc14531628"/>
      <w:r>
        <w:rPr>
          <w:rFonts w:hint="eastAsia" w:ascii="仿宋_GB2312" w:hAnsi="黑体" w:eastAsia="仿宋_GB2312" w:cstheme="minorEastAsia"/>
          <w:sz w:val="24"/>
          <w:szCs w:val="24"/>
        </w:rPr>
        <w:t>8.3.4合同含税总价款的 1</w:t>
      </w:r>
      <w:r>
        <w:rPr>
          <w:rFonts w:hint="eastAsia" w:ascii="仿宋_GB2312" w:hAnsi="黑体" w:eastAsia="仿宋_GB2312" w:cstheme="minorEastAsia"/>
          <w:sz w:val="24"/>
          <w:szCs w:val="24"/>
          <w:lang w:val="en-US" w:eastAsia="zh-CN"/>
        </w:rPr>
        <w:t>0</w:t>
      </w:r>
      <w:r>
        <w:rPr>
          <w:rFonts w:hint="eastAsia" w:ascii="仿宋_GB2312" w:hAnsi="黑体" w:eastAsia="仿宋_GB2312" w:cstheme="minorEastAsia"/>
          <w:sz w:val="24"/>
          <w:szCs w:val="24"/>
        </w:rPr>
        <w:t>%作为本合同约定设备的质量保证金，质量保证金在质量保证期内不计利息。待每套合同设备质量保证期满后，卖方向买方提交金额为合同价款1</w:t>
      </w:r>
      <w:r>
        <w:rPr>
          <w:rFonts w:hint="eastAsia" w:ascii="仿宋_GB2312" w:hAnsi="黑体" w:eastAsia="仿宋_GB2312" w:cstheme="minorEastAsia"/>
          <w:sz w:val="24"/>
          <w:szCs w:val="24"/>
          <w:lang w:val="en-US" w:eastAsia="zh-CN"/>
        </w:rPr>
        <w:t>0</w:t>
      </w:r>
      <w:r>
        <w:rPr>
          <w:rFonts w:hint="eastAsia" w:ascii="仿宋_GB2312" w:hAnsi="黑体" w:eastAsia="仿宋_GB2312" w:cstheme="minorEastAsia"/>
          <w:sz w:val="24"/>
          <w:szCs w:val="24"/>
        </w:rPr>
        <w:t>%的收据（正本一份，复印件二份）及设备使用单位的使用情况说明，经买方依照财务制度审核通过后30日支付。如有质量问题，质量保证金予以相应扣除。</w:t>
      </w:r>
      <w:bookmarkEnd w:id="104"/>
      <w:bookmarkEnd w:id="105"/>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06" w:name="_Toc24085"/>
      <w:bookmarkStart w:id="107" w:name="_Toc16330026"/>
      <w:bookmarkStart w:id="108" w:name="_Toc25708"/>
      <w:bookmarkStart w:id="109" w:name="_Toc6726"/>
      <w:bookmarkStart w:id="110" w:name="_Toc21726"/>
      <w:r>
        <w:rPr>
          <w:rFonts w:hint="eastAsia" w:ascii="黑体" w:hAnsi="黑体" w:eastAsia="黑体" w:cstheme="minorEastAsia"/>
          <w:b w:val="0"/>
          <w:sz w:val="28"/>
          <w:szCs w:val="28"/>
        </w:rPr>
        <w:t>9 质量保证及售后服务</w:t>
      </w:r>
      <w:bookmarkEnd w:id="106"/>
      <w:bookmarkEnd w:id="107"/>
      <w:bookmarkEnd w:id="108"/>
      <w:bookmarkEnd w:id="109"/>
      <w:bookmarkEnd w:id="11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11" w:name="_Toc15570"/>
      <w:bookmarkStart w:id="112" w:name="_Toc26769"/>
      <w:bookmarkStart w:id="113" w:name="_Toc12927"/>
      <w:bookmarkStart w:id="114" w:name="_Toc16330027"/>
      <w:bookmarkStart w:id="115" w:name="_Toc10359"/>
      <w:r>
        <w:rPr>
          <w:rFonts w:hint="eastAsia" w:ascii="黑体" w:hAnsi="黑体" w:eastAsia="黑体" w:cstheme="minorEastAsia"/>
          <w:b w:val="0"/>
          <w:sz w:val="28"/>
          <w:szCs w:val="28"/>
        </w:rPr>
        <w:t>10法定责任</w:t>
      </w:r>
      <w:bookmarkEnd w:id="111"/>
      <w:bookmarkEnd w:id="112"/>
      <w:bookmarkEnd w:id="113"/>
      <w:bookmarkEnd w:id="114"/>
      <w:bookmarkEnd w:id="11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16" w:name="_Toc27314"/>
      <w:bookmarkStart w:id="117" w:name="_Toc7698"/>
      <w:bookmarkStart w:id="118" w:name="_Toc30381"/>
      <w:bookmarkStart w:id="119" w:name="_Toc16330028"/>
      <w:bookmarkStart w:id="120" w:name="_Toc9708"/>
      <w:r>
        <w:rPr>
          <w:rFonts w:hint="eastAsia" w:ascii="黑体" w:hAnsi="黑体" w:eastAsia="黑体" w:cstheme="minorEastAsia"/>
          <w:b w:val="0"/>
          <w:sz w:val="28"/>
          <w:szCs w:val="28"/>
        </w:rPr>
        <w:t>11 违约责任</w:t>
      </w:r>
      <w:bookmarkEnd w:id="116"/>
      <w:bookmarkEnd w:id="117"/>
      <w:bookmarkEnd w:id="118"/>
      <w:bookmarkEnd w:id="119"/>
      <w:bookmarkEnd w:id="12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21" w:name="_Toc1827"/>
      <w:bookmarkStart w:id="122" w:name="_Toc31554"/>
      <w:bookmarkStart w:id="123" w:name="_Toc9172"/>
      <w:bookmarkStart w:id="124" w:name="_Toc16330029"/>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21"/>
    <w:bookmarkEnd w:id="122"/>
    <w:bookmarkEnd w:id="123"/>
    <w:bookmarkEnd w:id="124"/>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5" w:name="_Toc23793"/>
      <w:r>
        <w:rPr>
          <w:rFonts w:hint="eastAsia" w:ascii="黑体" w:hAnsi="黑体" w:eastAsia="黑体" w:cstheme="minorEastAsia"/>
          <w:b w:val="0"/>
          <w:sz w:val="28"/>
          <w:szCs w:val="28"/>
        </w:rPr>
        <w:t>12 合同的终止与解除</w:t>
      </w:r>
      <w:bookmarkEnd w:id="12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26" w:name="_Toc8620"/>
      <w:bookmarkStart w:id="127" w:name="_Toc13671"/>
      <w:bookmarkStart w:id="128" w:name="_Toc16330030"/>
      <w:bookmarkStart w:id="129" w:name="_Toc11937"/>
      <w:bookmarkStart w:id="130" w:name="_Toc31945"/>
      <w:r>
        <w:rPr>
          <w:rFonts w:hint="eastAsia" w:ascii="黑体" w:hAnsi="黑体" w:eastAsia="黑体" w:cstheme="minorEastAsia"/>
          <w:b w:val="0"/>
          <w:sz w:val="28"/>
          <w:szCs w:val="28"/>
        </w:rPr>
        <w:t>13 不可抗力</w:t>
      </w:r>
      <w:bookmarkEnd w:id="126"/>
      <w:bookmarkEnd w:id="127"/>
      <w:bookmarkEnd w:id="128"/>
      <w:bookmarkEnd w:id="129"/>
      <w:bookmarkEnd w:id="13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31" w:name="_Toc18772"/>
      <w:bookmarkStart w:id="132" w:name="_Toc31243"/>
      <w:bookmarkStart w:id="133" w:name="_Toc637"/>
      <w:bookmarkStart w:id="134" w:name="_Toc30389"/>
      <w:bookmarkStart w:id="135" w:name="_Toc16330031"/>
      <w:r>
        <w:rPr>
          <w:rFonts w:hint="eastAsia" w:ascii="黑体" w:hAnsi="黑体" w:eastAsia="黑体" w:cstheme="minorEastAsia"/>
          <w:b w:val="0"/>
          <w:sz w:val="28"/>
          <w:szCs w:val="28"/>
        </w:rPr>
        <w:t>14 通讯</w:t>
      </w:r>
      <w:bookmarkEnd w:id="131"/>
      <w:bookmarkEnd w:id="132"/>
      <w:bookmarkEnd w:id="133"/>
      <w:bookmarkEnd w:id="134"/>
      <w:bookmarkEnd w:id="13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3"/>
        <w:tabs>
          <w:tab w:val="right" w:leader="dot" w:pos="9061"/>
        </w:tabs>
        <w:spacing w:before="312" w:beforeLines="100"/>
        <w:rPr>
          <w:rFonts w:ascii="黑体" w:hAnsi="黑体" w:eastAsia="黑体" w:cstheme="minorEastAsia"/>
          <w:b w:val="0"/>
          <w:sz w:val="28"/>
          <w:szCs w:val="28"/>
        </w:rPr>
      </w:pPr>
      <w:bookmarkStart w:id="136" w:name="_Toc12984"/>
      <w:bookmarkStart w:id="137" w:name="_Toc9915"/>
      <w:bookmarkStart w:id="138" w:name="_Toc23011"/>
      <w:bookmarkStart w:id="139" w:name="_Toc16330032"/>
      <w:bookmarkStart w:id="140" w:name="_Toc11290"/>
      <w:r>
        <w:rPr>
          <w:rFonts w:hint="eastAsia" w:ascii="黑体" w:hAnsi="黑体" w:eastAsia="黑体" w:cstheme="minorEastAsia"/>
          <w:b w:val="0"/>
          <w:sz w:val="28"/>
          <w:szCs w:val="28"/>
        </w:rPr>
        <w:t>15 适用法律及争议解决</w:t>
      </w:r>
      <w:bookmarkEnd w:id="136"/>
      <w:bookmarkEnd w:id="137"/>
      <w:bookmarkEnd w:id="138"/>
      <w:bookmarkEnd w:id="139"/>
      <w:bookmarkEnd w:id="14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41" w:name="_Toc5747"/>
      <w:bookmarkStart w:id="142" w:name="_Toc16330033"/>
      <w:bookmarkStart w:id="143" w:name="_Toc23765"/>
      <w:bookmarkStart w:id="144" w:name="_Toc23906"/>
      <w:bookmarkStart w:id="145" w:name="_Toc18207"/>
      <w:r>
        <w:rPr>
          <w:rFonts w:hint="eastAsia" w:ascii="黑体" w:hAnsi="黑体" w:eastAsia="黑体" w:cstheme="minorEastAsia"/>
          <w:b w:val="0"/>
          <w:sz w:val="28"/>
          <w:szCs w:val="28"/>
        </w:rPr>
        <w:t>16 附件</w:t>
      </w:r>
      <w:bookmarkEnd w:id="141"/>
      <w:bookmarkEnd w:id="142"/>
      <w:bookmarkEnd w:id="143"/>
      <w:bookmarkEnd w:id="144"/>
      <w:bookmarkEnd w:id="14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46" w:name="_Toc27202"/>
      <w:bookmarkStart w:id="147" w:name="_Toc16330034"/>
      <w:bookmarkStart w:id="148" w:name="_Toc17656"/>
      <w:bookmarkStart w:id="149" w:name="_Toc31331"/>
      <w:bookmarkStart w:id="150" w:name="_Toc9594"/>
      <w:r>
        <w:rPr>
          <w:rFonts w:hint="eastAsia" w:ascii="黑体" w:hAnsi="黑体" w:eastAsia="黑体" w:cstheme="minorEastAsia"/>
          <w:b w:val="0"/>
          <w:sz w:val="28"/>
          <w:szCs w:val="28"/>
        </w:rPr>
        <w:t>17 其他规定</w:t>
      </w:r>
      <w:bookmarkEnd w:id="146"/>
      <w:bookmarkEnd w:id="147"/>
      <w:bookmarkEnd w:id="148"/>
      <w:bookmarkEnd w:id="149"/>
      <w:bookmarkEnd w:id="15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51" w:name="_Toc17952"/>
      <w:bookmarkStart w:id="152" w:name="_Toc19077"/>
      <w:bookmarkStart w:id="153" w:name="_Toc16330035"/>
      <w:bookmarkStart w:id="154"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312" w:beforeLines="100"/>
        <w:ind w:firstLine="529" w:firstLineChars="189"/>
        <w:rPr>
          <w:rFonts w:ascii="黑体" w:hAnsi="黑体" w:eastAsia="黑体" w:cstheme="minorEastAsia"/>
          <w:b w:val="0"/>
          <w:sz w:val="28"/>
          <w:szCs w:val="28"/>
        </w:rPr>
      </w:pPr>
      <w:bookmarkStart w:id="155" w:name="_Toc15340"/>
      <w:r>
        <w:rPr>
          <w:rFonts w:hint="eastAsia" w:ascii="黑体" w:hAnsi="黑体" w:eastAsia="黑体" w:cstheme="minorEastAsia"/>
          <w:b w:val="0"/>
          <w:sz w:val="28"/>
          <w:szCs w:val="28"/>
        </w:rPr>
        <w:t>18 签署事项</w:t>
      </w:r>
      <w:bookmarkEnd w:id="151"/>
      <w:bookmarkEnd w:id="152"/>
      <w:bookmarkEnd w:id="153"/>
      <w:bookmarkEnd w:id="154"/>
      <w:bookmarkEnd w:id="15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keepNext w:val="0"/>
        <w:keepLines w:val="0"/>
        <w:pageBreakBefore w:val="0"/>
        <w:widowControl w:val="0"/>
        <w:kinsoku/>
        <w:wordWrap/>
        <w:overflowPunct/>
        <w:topLinePunct w:val="0"/>
        <w:autoSpaceDE/>
        <w:autoSpaceDN/>
        <w:bidi w:val="0"/>
        <w:adjustRightInd/>
        <w:snapToGrid/>
        <w:spacing w:line="360" w:lineRule="auto"/>
        <w:ind w:firstLine="398" w:firstLineChars="189"/>
        <w:textAlignment w:val="auto"/>
        <w:rPr>
          <w:rFonts w:hint="eastAsia" w:ascii="仿宋_GB2312" w:eastAsia="仿宋_GB2312" w:hAnsiTheme="minorEastAsia" w:cstheme="minorEastAsia"/>
          <w:b/>
          <w:bCs/>
          <w:sz w:val="21"/>
          <w:szCs w:val="21"/>
        </w:rPr>
      </w:pPr>
      <w:r>
        <w:rPr>
          <w:rFonts w:hint="eastAsia" w:ascii="仿宋_GB2312" w:eastAsia="仿宋_GB2312" w:hAnsiTheme="minorEastAsia" w:cstheme="minorEastAsia"/>
          <w:b/>
          <w:bCs/>
          <w:sz w:val="21"/>
          <w:szCs w:val="21"/>
        </w:rPr>
        <w:t>本合同的各签约方选择使用电子签约的，已由法定代表人本人或授权其代理人在契约锁电子签约平台进行了实名注册，并通过CA证书进行签约。电子签约的任一方均已知晓且同意通过代理人密码登录账户后的所有操作视为该方的行为，并自愿承担由此产生的一切法律后果。电子签约方的代理人包括在契约锁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398"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b/>
          <w:bCs/>
          <w:sz w:val="21"/>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widowControl/>
        <w:adjustRightInd w:val="0"/>
        <w:snapToGrid w:val="0"/>
        <w:spacing w:line="360" w:lineRule="auto"/>
        <w:jc w:val="left"/>
        <w:rPr>
          <w:rFonts w:hint="eastAsia" w:ascii="仿宋_GB2312" w:hAnsi="宋体" w:eastAsia="仿宋_GB2312"/>
          <w:snapToGrid w:val="0"/>
          <w:kern w:val="0"/>
          <w:sz w:val="24"/>
          <w:szCs w:val="24"/>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pStyle w:val="3"/>
        <w:tabs>
          <w:tab w:val="right" w:leader="dot" w:pos="9061"/>
        </w:tabs>
        <w:rPr>
          <w:rFonts w:hint="eastAsia" w:ascii="黑体" w:hAnsi="黑体" w:eastAsia="黑体" w:cstheme="minorEastAsia"/>
          <w:b w:val="0"/>
          <w:sz w:val="28"/>
          <w:szCs w:val="28"/>
        </w:rPr>
      </w:pPr>
      <w:bookmarkStart w:id="156" w:name="_Toc14581"/>
    </w:p>
    <w:p>
      <w:pPr>
        <w:pStyle w:val="3"/>
        <w:tabs>
          <w:tab w:val="right" w:leader="dot" w:pos="9061"/>
        </w:tabs>
        <w:jc w:val="both"/>
        <w:rPr>
          <w:rFonts w:hint="eastAsia" w:ascii="黑体" w:hAnsi="黑体" w:eastAsia="黑体" w:cstheme="minorEastAsia"/>
          <w:b w:val="0"/>
          <w:sz w:val="28"/>
          <w:szCs w:val="28"/>
        </w:rPr>
      </w:pPr>
    </w:p>
    <w:p>
      <w:pPr>
        <w:pStyle w:val="3"/>
        <w:tabs>
          <w:tab w:val="right" w:leader="dot" w:pos="9061"/>
        </w:tabs>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bookmarkEnd w:id="156"/>
    </w:p>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7"/>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57" w:name="_Toc16330037"/>
      <w:bookmarkStart w:id="158" w:name="_Toc25120"/>
      <w:bookmarkStart w:id="159" w:name="_Toc3778"/>
      <w:bookmarkStart w:id="160" w:name="_Toc5379"/>
      <w:bookmarkStart w:id="161" w:name="_Toc24623"/>
    </w:p>
    <w:p>
      <w:pPr>
        <w:rPr>
          <w:rFonts w:asciiTheme="minorEastAsia" w:hAnsiTheme="minorEastAsia" w:cstheme="minorEastAsia"/>
          <w:sz w:val="20"/>
          <w:szCs w:val="20"/>
        </w:rPr>
      </w:pPr>
    </w:p>
    <w:p>
      <w:pPr>
        <w:pStyle w:val="3"/>
        <w:tabs>
          <w:tab w:val="right" w:leader="dot" w:pos="9061"/>
        </w:tabs>
        <w:jc w:val="both"/>
        <w:rPr>
          <w:rFonts w:ascii="黑体" w:hAnsi="黑体" w:eastAsia="黑体" w:cstheme="minorEastAsia"/>
          <w:b w:val="0"/>
          <w:sz w:val="28"/>
          <w:szCs w:val="28"/>
        </w:rPr>
      </w:pPr>
      <w:bookmarkStart w:id="162" w:name="_Toc8175"/>
      <w:r>
        <w:rPr>
          <w:rFonts w:hint="eastAsia" w:ascii="黑体" w:hAnsi="黑体" w:eastAsia="黑体" w:cstheme="minorEastAsia"/>
          <w:b w:val="0"/>
          <w:sz w:val="28"/>
          <w:szCs w:val="28"/>
        </w:rPr>
        <w:t xml:space="preserve">附件二 </w:t>
      </w:r>
      <w:bookmarkEnd w:id="157"/>
      <w:bookmarkEnd w:id="158"/>
      <w:bookmarkEnd w:id="159"/>
      <w:bookmarkEnd w:id="160"/>
      <w:bookmarkEnd w:id="161"/>
      <w:r>
        <w:rPr>
          <w:rFonts w:hint="eastAsia" w:ascii="黑体" w:hAnsi="黑体" w:eastAsia="黑体" w:cstheme="minorEastAsia"/>
          <w:b w:val="0"/>
          <w:sz w:val="28"/>
          <w:szCs w:val="28"/>
        </w:rPr>
        <w:t>技术协议书</w:t>
      </w:r>
      <w:bookmarkEnd w:id="162"/>
    </w:p>
    <w:p>
      <w:pPr>
        <w:ind w:right="360"/>
        <w:rPr>
          <w:rFonts w:asciiTheme="minorEastAsia" w:hAnsiTheme="minorEastAsia" w:cstheme="minorEastAsia"/>
          <w:sz w:val="20"/>
          <w:szCs w:val="20"/>
        </w:rPr>
        <w:sectPr>
          <w:headerReference r:id="rId12" w:type="defaul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63"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63"/>
    </w:p>
    <w:p>
      <w:pPr>
        <w:keepNext/>
        <w:keepLines/>
        <w:outlineLvl w:val="9"/>
        <w:rPr>
          <w:rFonts w:hint="eastAsia" w:ascii="Times New Roman" w:hAnsi="Times New Roman" w:eastAsia="宋体" w:cs="Times New Roman"/>
          <w:b/>
          <w:bCs/>
          <w:color w:val="000000"/>
          <w:sz w:val="24"/>
          <w:szCs w:val="24"/>
        </w:rPr>
      </w:pPr>
    </w:p>
    <w:p>
      <w:pPr>
        <w:pStyle w:val="17"/>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7"/>
        <w:rPr>
          <w:rFonts w:hint="eastAsia"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4" w:name="_Toc212369550"/>
      <w:bookmarkStart w:id="165" w:name="_Toc25811"/>
      <w:bookmarkStart w:id="166" w:name="_Toc639004"/>
      <w:bookmarkStart w:id="167"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4"/>
      <w:bookmarkEnd w:id="165"/>
      <w:bookmarkEnd w:id="166"/>
      <w:bookmarkEnd w:id="167"/>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中国重汽集团济南商用车有限公司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Times New Roman" w:hAnsi="Times New Roman" w:eastAsia="宋体" w:cs="Times New Roman"/>
          <w:color w:val="000000"/>
          <w:kern w:val="2"/>
          <w:sz w:val="24"/>
          <w:szCs w:val="24"/>
          <w:highlight w:val="none"/>
          <w:u w:val="none"/>
          <w:shd w:val="clear" w:color="auto" w:fill="auto"/>
          <w:lang w:val="en-US" w:eastAsia="zh-CN" w:bidi="ar-SA"/>
        </w:rPr>
        <w:t>皮卡装配优化项目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none"/>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lang w:val="en-US" w:eastAsia="zh-CN"/>
        </w:rPr>
        <w:t>二</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val="en-US" w:eastAsia="zh-CN"/>
        </w:rPr>
        <w:t>皮卡装配优化项目</w:t>
      </w:r>
      <w:r>
        <w:rPr>
          <w:rFonts w:hint="eastAsia" w:ascii="宋体" w:hAnsi="宋体" w:eastAsia="宋体" w:cs="宋体"/>
          <w:b w:val="0"/>
          <w:bCs w:val="0"/>
          <w:color w:val="000000"/>
          <w:sz w:val="24"/>
          <w:szCs w:val="24"/>
          <w:highlight w:val="none"/>
          <w:u w:val="single"/>
          <w:shd w:val="clear" w:color="auto" w:fill="auto"/>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highlight w:val="none"/>
        </w:rPr>
        <w:t>CGZX202310027</w:t>
      </w:r>
      <w:r>
        <w:rPr>
          <w:rFonts w:hint="eastAsia" w:ascii="宋体" w:hAnsi="宋体" w:eastAsia="宋体" w:cs="Times New Roman"/>
          <w:color w:val="000000"/>
          <w:sz w:val="24"/>
          <w:szCs w:val="24"/>
          <w:highlight w:val="none"/>
          <w:lang w:val="en-US" w:eastAsia="zh-CN"/>
        </w:rPr>
        <w:t>8</w:t>
      </w:r>
      <w:r>
        <w:rPr>
          <w:rFonts w:hint="eastAsia" w:ascii="宋体" w:hAnsi="宋体" w:eastAsia="宋体" w:cs="Times New Roman"/>
          <w:color w:val="000000"/>
          <w:sz w:val="24"/>
          <w:szCs w:val="24"/>
          <w:highlight w:val="none"/>
        </w:rPr>
        <w:t>）现授</w:t>
      </w:r>
      <w:r>
        <w:rPr>
          <w:rFonts w:hint="eastAsia" w:ascii="宋体" w:hAnsi="宋体" w:eastAsia="宋体" w:cs="Times New Roman"/>
          <w:color w:val="000000"/>
          <w:sz w:val="24"/>
          <w:szCs w:val="24"/>
        </w:rPr>
        <w:t>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eastAsia="zh-CN"/>
        </w:rPr>
        <w:t>（</w:t>
      </w:r>
      <w:r>
        <w:rPr>
          <w:rFonts w:hint="eastAsia" w:ascii="宋体" w:hAnsi="宋体" w:eastAsia="宋体" w:cs="Times New Roman"/>
          <w:color w:val="000000"/>
          <w:sz w:val="24"/>
          <w:szCs w:val="24"/>
          <w:u w:val="single"/>
          <w:lang w:val="en-US" w:eastAsia="zh-CN"/>
        </w:rPr>
        <w:t>须为移动电话</w:t>
      </w:r>
      <w:r>
        <w:rPr>
          <w:rFonts w:hint="eastAsia" w:ascii="宋体" w:hAnsi="宋体" w:eastAsia="宋体" w:cs="Times New Roman"/>
          <w:color w:val="000000"/>
          <w:sz w:val="24"/>
          <w:szCs w:val="24"/>
          <w:u w:val="single"/>
          <w:lang w:eastAsia="zh-CN"/>
        </w:rPr>
        <w:t>）</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5"/>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7"/>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7"/>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7"/>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7"/>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7"/>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7"/>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7"/>
              <w:spacing w:before="114"/>
              <w:ind w:left="720"/>
            </w:pPr>
            <w:r>
              <w:t xml:space="preserve">品牌区分 </w:t>
            </w:r>
          </w:p>
        </w:tc>
        <w:tc>
          <w:tcPr>
            <w:tcW w:w="7500" w:type="dxa"/>
            <w:gridSpan w:val="6"/>
          </w:tcPr>
          <w:p>
            <w:pPr>
              <w:pStyle w:val="137"/>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7"/>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7"/>
              <w:spacing w:before="15"/>
              <w:ind w:left="279"/>
            </w:pPr>
            <w:r>
              <w:rPr>
                <w:spacing w:val="-2"/>
              </w:rPr>
              <w:t>质量</w:t>
            </w:r>
            <w:r>
              <w:t xml:space="preserve"> </w:t>
            </w:r>
          </w:p>
          <w:p>
            <w:pPr>
              <w:pStyle w:val="137"/>
              <w:spacing w:before="30" w:line="277" w:lineRule="exact"/>
              <w:ind w:left="279"/>
            </w:pPr>
            <w:r>
              <w:rPr>
                <w:rFonts w:hint="eastAsia"/>
              </w:rPr>
              <w:t>体系</w:t>
            </w:r>
          </w:p>
        </w:tc>
        <w:tc>
          <w:tcPr>
            <w:tcW w:w="2820" w:type="dxa"/>
            <w:gridSpan w:val="2"/>
          </w:tcPr>
          <w:p>
            <w:pPr>
              <w:pStyle w:val="137"/>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7"/>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br w:type="page"/>
      </w: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20</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shd w:val="clear" w:color="auto" w:fill="auto"/>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lang w:val="en-US" w:eastAsia="zh-CN"/>
        </w:rPr>
        <w:t>皮卡装配优化项目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中国重汽集团济南商用车有限公司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无论是否中标、是否签署合同，对获得的招标人商业秘密（包括但不限于产品和/或装备的技术文件、汽车产品数模、数据</w:t>
      </w:r>
      <w:r>
        <w:rPr>
          <w:rFonts w:hint="eastAsia" w:ascii="宋体" w:hAnsi="宋体" w:eastAsia="宋体" w:cs="Times New Roman"/>
          <w:sz w:val="24"/>
          <w:szCs w:val="20"/>
          <w:u w:val="single"/>
          <w:lang w:eastAsia="zh-CN"/>
        </w:rPr>
        <w:t>、</w:t>
      </w:r>
      <w:r>
        <w:rPr>
          <w:rFonts w:hint="eastAsia" w:ascii="宋体" w:hAnsi="宋体" w:eastAsia="宋体" w:cs="Times New Roman"/>
          <w:sz w:val="24"/>
          <w:szCs w:val="20"/>
          <w:u w:val="single"/>
        </w:rPr>
        <w:t>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lang w:val="en-US" w:eastAsia="zh-CN"/>
        </w:rPr>
        <w:t>皮卡装配优化项目</w:t>
      </w:r>
      <w:r>
        <w:rPr>
          <w:rFonts w:ascii="宋体" w:hAnsi="宋体" w:eastAsia="宋体" w:cs="Times New Roman"/>
          <w:color w:val="000000"/>
          <w:sz w:val="24"/>
          <w:szCs w:val="24"/>
          <w:shd w:val="clear" w:color="auto" w:fill="auto"/>
        </w:rPr>
        <w:t xml:space="preserve">  </w:t>
      </w:r>
      <w:r>
        <w:rPr>
          <w:rFonts w:ascii="宋体" w:hAnsi="宋体" w:eastAsia="宋体" w:cs="Times New Roman"/>
          <w:color w:val="000000"/>
          <w:sz w:val="24"/>
          <w:szCs w:val="24"/>
        </w:rPr>
        <w:t xml:space="preserve">                                                         </w:t>
      </w:r>
    </w:p>
    <w:tbl>
      <w:tblPr>
        <w:tblStyle w:val="38"/>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Times New Roman"/>
          <w:sz w:val="24"/>
          <w:szCs w:val="20"/>
          <w:lang w:eastAsia="zh-CN"/>
        </w:rPr>
      </w:pPr>
      <w:r>
        <w:rPr>
          <w:rFonts w:hint="eastAsia" w:ascii="宋体" w:hAnsi="宋体" w:eastAsia="宋体" w:cs="Times New Roman"/>
          <w:sz w:val="24"/>
          <w:szCs w:val="20"/>
        </w:rPr>
        <w:t>法定代表人（委托代理人）：（签字</w:t>
      </w:r>
      <w:r>
        <w:rPr>
          <w:rFonts w:hint="eastAsia" w:ascii="宋体" w:hAnsi="宋体" w:eastAsia="宋体" w:cs="Times New Roman"/>
          <w:sz w:val="24"/>
          <w:szCs w:val="20"/>
          <w:lang w:eastAsia="zh-CN"/>
        </w:rPr>
        <w:t>）</w:t>
      </w:r>
    </w:p>
    <w:p>
      <w:pPr>
        <w:pStyle w:val="24"/>
        <w:rPr>
          <w:rFonts w:hint="eastAsia" w:ascii="宋体" w:hAnsi="宋体" w:eastAsia="宋体" w:cs="Times New Roman"/>
          <w:sz w:val="24"/>
          <w:szCs w:val="20"/>
          <w:lang w:eastAsia="zh-CN"/>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hint="eastAsia"/>
          <w:lang w:val="en-US" w:eastAsia="zh-CN"/>
        </w:rPr>
        <w:sectPr>
          <w:footerReference r:id="rId21" w:type="first"/>
          <w:footerReference r:id="rId20"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eastAsia="zh-CN"/>
        </w:rPr>
        <w:t>2020年1月1日</w:t>
      </w:r>
      <w:r>
        <w:rPr>
          <w:rFonts w:hint="eastAsia" w:ascii="Times New Roman" w:hAnsi="Times New Roman" w:eastAsia="宋体" w:cs="Times New Roman"/>
          <w:b/>
          <w:bCs/>
          <w:color w:val="000000"/>
          <w:sz w:val="24"/>
          <w:szCs w:val="24"/>
        </w:rPr>
        <w:t>以来同类项目业绩一览表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lang w:val="en-US" w:eastAsia="zh-CN"/>
        </w:rPr>
        <w:t>皮卡装配优化项目</w:t>
      </w:r>
      <w:r>
        <w:rPr>
          <w:rFonts w:ascii="宋体" w:hAnsi="宋体" w:eastAsia="宋体" w:cs="Times New Roman"/>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red"/>
                <w:lang w:eastAsia="zh-CN"/>
              </w:rPr>
              <w:t>2020年1月1日</w:t>
            </w:r>
            <w:r>
              <w:rPr>
                <w:rFonts w:ascii="宋体" w:hAnsi="宋体" w:eastAsia="宋体" w:cs="宋体"/>
                <w:sz w:val="24"/>
                <w:szCs w:val="24"/>
                <w:highlight w:val="red"/>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eastAsia="zh-CN"/>
        </w:rPr>
        <w:t>2020年1月1日</w:t>
      </w:r>
      <w:r>
        <w:rPr>
          <w:rFonts w:hint="eastAsia" w:ascii="宋体" w:hAnsi="宋体" w:eastAsia="宋体" w:cs="宋体"/>
          <w:kern w:val="0"/>
          <w:sz w:val="24"/>
          <w:szCs w:val="20"/>
        </w:rPr>
        <w:t>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default" w:ascii="宋体" w:hAnsi="宋体" w:eastAsia="宋体" w:cs="Times New Roman"/>
          <w:sz w:val="24"/>
          <w:szCs w:val="20"/>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sz w:val="24"/>
          <w:szCs w:val="20"/>
          <w:lang w:val="en-US" w:eastAsia="zh-CN"/>
        </w:rPr>
        <w:t>皮卡装配优化项目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中国重汽集团济南商用车有限公司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lang w:val="en-US" w:eastAsia="zh-CN"/>
        </w:rPr>
        <w:t>皮卡装配优化项目</w:t>
      </w:r>
      <w:r>
        <w:rPr>
          <w:rFonts w:ascii="宋体" w:hAnsi="宋体" w:eastAsia="宋体" w:cs="Times New Roman"/>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p>
        </w:tc>
        <w:tc>
          <w:tcPr>
            <w:tcW w:w="848" w:type="dxa"/>
            <w:vAlign w:val="center"/>
          </w:tcPr>
          <w:p>
            <w:pPr>
              <w:jc w:val="center"/>
              <w:rPr>
                <w:rFonts w:hint="default" w:ascii="Times New Roman" w:hAnsi="Times New Roman" w:eastAsia="宋体" w:cs="Times New Roman"/>
                <w:b/>
                <w:szCs w:val="20"/>
                <w:lang w:val="en-US" w:eastAsia="zh-CN"/>
              </w:rPr>
            </w:pPr>
          </w:p>
        </w:tc>
        <w:tc>
          <w:tcPr>
            <w:tcW w:w="2270" w:type="dxa"/>
            <w:vAlign w:val="center"/>
          </w:tcPr>
          <w:p>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p>
          <w:p>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3043" w:type="dxa"/>
            <w:gridSpan w:val="3"/>
            <w:vAlign w:val="center"/>
          </w:tcPr>
          <w:p>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rPr>
              <w:t>投标总价</w:t>
            </w:r>
            <w:r>
              <w:rPr>
                <w:rFonts w:hint="eastAsia" w:ascii="等线" w:hAnsi="等线" w:eastAsia="等线" w:cs="Times New Roman"/>
                <w:b/>
                <w:szCs w:val="20"/>
              </w:rPr>
              <w:t>（元，含税）大写</w:t>
            </w:r>
          </w:p>
        </w:tc>
        <w:tc>
          <w:tcPr>
            <w:tcW w:w="6017" w:type="dxa"/>
            <w:gridSpan w:val="5"/>
            <w:vAlign w:val="center"/>
          </w:tcPr>
          <w:p>
            <w:pPr>
              <w:jc w:val="center"/>
              <w:rPr>
                <w:rFonts w:ascii="Times New Roman" w:hAnsi="Times New Roman" w:eastAsia="宋体" w:cs="Times New Roman"/>
                <w:b/>
                <w:szCs w:val="20"/>
              </w:rPr>
            </w:pPr>
          </w:p>
        </w:tc>
      </w:tr>
    </w:tbl>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520" w:lineRule="exact"/>
        <w:rPr>
          <w:rFonts w:ascii="宋体" w:hAnsi="宋体" w:eastAsia="宋体" w:cs="Times New Roman"/>
          <w:b/>
          <w:bCs/>
          <w:szCs w:val="21"/>
        </w:rPr>
      </w:pPr>
      <w:r>
        <w:rPr>
          <w:rFonts w:hint="eastAsia" w:ascii="宋体" w:hAnsi="宋体" w:eastAsia="宋体" w:cs="Times New Roman"/>
          <w:b/>
          <w:bCs/>
          <w:szCs w:val="21"/>
        </w:rPr>
        <w:t>3.需写明含税价、不含税价格、税率。</w:t>
      </w:r>
    </w:p>
    <w:p>
      <w:pPr>
        <w:spacing w:line="520" w:lineRule="exact"/>
        <w:rPr>
          <w:rFonts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pPr>
        <w:spacing w:line="520" w:lineRule="exact"/>
        <w:rPr>
          <w:rFonts w:ascii="宋体" w:hAnsi="宋体" w:eastAsia="宋体" w:cs="Times New Roman"/>
          <w:b/>
          <w:bCs/>
          <w:szCs w:val="21"/>
          <w:highlight w:val="yellow"/>
          <w:lang w:val="en-US" w:eastAsia="zh-CN"/>
        </w:rPr>
      </w:pPr>
      <w:r>
        <w:rPr>
          <w:rFonts w:hint="eastAsia" w:ascii="宋体" w:hAnsi="宋体" w:eastAsia="宋体" w:cs="Times New Roman"/>
          <w:b/>
          <w:bCs/>
          <w:szCs w:val="21"/>
          <w:highlight w:val="yellow"/>
          <w:lang w:val="en-US" w:eastAsia="zh-CN"/>
        </w:rPr>
        <w:t>5.投标总价包括全部（全新）产品价、表面处理费用、运杂费（包括现场卸车费）、设计、制造、安装、调试（含现场调试）、包装运输费、验收、技术及售后服务费、技术资料费、备品备件费等所有费用的总和。</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5"/>
        <w:tblW w:w="1338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606"/>
        <w:gridCol w:w="2239"/>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710" w:type="dxa"/>
          </w:tcPr>
          <w:p>
            <w:pPr>
              <w:autoSpaceDE w:val="0"/>
              <w:autoSpaceDN w:val="0"/>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606" w:type="dxa"/>
          </w:tcPr>
          <w:p>
            <w:pPr>
              <w:autoSpaceDE w:val="0"/>
              <w:autoSpaceDN w:val="0"/>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autoSpaceDE w:val="0"/>
              <w:autoSpaceDN w:val="0"/>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autoSpaceDE w:val="0"/>
              <w:autoSpaceDN w:val="0"/>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tcPr>
          <w:p>
            <w:pPr>
              <w:autoSpaceDE w:val="0"/>
              <w:autoSpaceDN w:val="0"/>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pPr>
              <w:autoSpaceDE w:val="0"/>
              <w:autoSpaceDN w:val="0"/>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pPr>
              <w:autoSpaceDE w:val="0"/>
              <w:autoSpaceDN w:val="0"/>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autoSpaceDE w:val="0"/>
              <w:autoSpaceDN w:val="0"/>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710"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606"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autoSpaceDE w:val="0"/>
              <w:autoSpaceDN w:val="0"/>
              <w:spacing w:before="0" w:line="221" w:lineRule="auto"/>
              <w:ind w:left="0" w:right="0" w:firstLine="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品牌</w:t>
            </w:r>
          </w:p>
        </w:tc>
        <w:tc>
          <w:tcPr>
            <w:tcW w:w="2519" w:type="dxa"/>
            <w:tcBorders>
              <w:right w:val="single" w:color="000000" w:sz="4" w:space="0"/>
            </w:tcBorders>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autoSpaceDE w:val="0"/>
              <w:autoSpaceDN w:val="0"/>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autoSpaceDE w:val="0"/>
              <w:autoSpaceDN w:val="0"/>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autoSpaceDE w:val="0"/>
              <w:autoSpaceDN w:val="0"/>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710" w:type="dxa"/>
          </w:tcPr>
          <w:p>
            <w:pPr>
              <w:autoSpaceDE w:val="0"/>
              <w:autoSpaceDN w:val="0"/>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1606" w:type="dxa"/>
          </w:tcPr>
          <w:p>
            <w:pPr>
              <w:autoSpaceDE w:val="0"/>
              <w:autoSpaceDN w:val="0"/>
              <w:rPr>
                <w:rFonts w:ascii="Arial"/>
              </w:rPr>
            </w:pPr>
            <w:r>
              <w:rPr>
                <w:rFonts w:hint="eastAsia" w:ascii="宋体" w:hAnsi="宋体" w:eastAsia="宋体" w:cs="宋体"/>
              </w:rPr>
              <w:t>以上投标设备不足之处请往下添加序号自行补充</w:t>
            </w:r>
          </w:p>
        </w:tc>
        <w:tc>
          <w:tcPr>
            <w:tcW w:w="2239" w:type="dxa"/>
          </w:tcPr>
          <w:p>
            <w:pPr>
              <w:autoSpaceDE w:val="0"/>
              <w:autoSpaceDN w:val="0"/>
              <w:rPr>
                <w:rFonts w:ascii="Arial"/>
              </w:rPr>
            </w:pPr>
          </w:p>
        </w:tc>
        <w:tc>
          <w:tcPr>
            <w:tcW w:w="1120" w:type="dxa"/>
          </w:tcPr>
          <w:p>
            <w:pPr>
              <w:autoSpaceDE w:val="0"/>
              <w:autoSpaceDN w:val="0"/>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876" w:type="dxa"/>
            <w:gridSpan w:val="6"/>
            <w:tcBorders>
              <w:right w:val="single" w:color="000000" w:sz="4" w:space="0"/>
            </w:tcBorders>
          </w:tcPr>
          <w:p>
            <w:pPr>
              <w:autoSpaceDE w:val="0"/>
              <w:autoSpaceDN w:val="0"/>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lang w:val="en-US" w:eastAsia="zh-CN"/>
        </w:rPr>
        <w:t>6</w:t>
      </w:r>
      <w:r>
        <w:rPr>
          <w:rFonts w:hint="eastAsia" w:ascii="宋体" w:hAnsi="宋体" w:eastAsia="宋体" w:cs="宋体"/>
          <w:spacing w:val="-6"/>
          <w:szCs w:val="21"/>
        </w:rPr>
        <w:t>.因填写不规范造成废标及终止招标的，责任由投标人自负。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4" w:type="default"/>
          <w:pgSz w:w="16841" w:h="11907" w:orient="landscape"/>
          <w:pgMar w:top="400" w:right="1387" w:bottom="1168" w:left="1473" w:header="0" w:footer="990" w:gutter="0"/>
          <w:pgBorders>
            <w:top w:val="none" w:sz="0" w:space="0"/>
            <w:left w:val="none" w:sz="0" w:space="0"/>
            <w:bottom w:val="none" w:sz="0" w:space="0"/>
            <w:right w:val="none" w:sz="0" w:space="0"/>
          </w:pgBorders>
          <w:pgNumType w:fmt="decimal"/>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Borders>
            <w:top w:val="none" w:sz="0" w:space="0"/>
            <w:left w:val="none" w:sz="0" w:space="0"/>
            <w:bottom w:val="none" w:sz="0" w:space="0"/>
            <w:right w:val="none" w:sz="0" w:space="0"/>
          </w:pgBorders>
          <w:pgNumType w:fmt="decimal"/>
          <w:cols w:equalWidth="0" w:num="2">
            <w:col w:w="4757" w:space="100"/>
            <w:col w:w="9124"/>
          </w:cols>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5"/>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tcBorders>
              <w:tl2br w:val="nil"/>
              <w:tr2bl w:val="nil"/>
            </w:tcBorders>
            <w:vAlign w:val="top"/>
          </w:tcPr>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tcBorders>
              <w:tl2br w:val="nil"/>
              <w:tr2bl w:val="nil"/>
            </w:tcBorders>
            <w:vAlign w:val="top"/>
          </w:tcPr>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Borders>
              <w:tl2br w:val="nil"/>
              <w:tr2bl w:val="nil"/>
            </w:tcBorders>
            <w:vAlign w:val="top"/>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186" w:type="dxa"/>
            <w:tcBorders>
              <w:tl2br w:val="nil"/>
              <w:tr2bl w:val="nil"/>
            </w:tcBorders>
            <w:vAlign w:val="top"/>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596" w:type="dxa"/>
            <w:tcBorders>
              <w:tl2br w:val="nil"/>
              <w:tr2bl w:val="nil"/>
            </w:tcBorders>
            <w:vAlign w:val="top"/>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64" w:type="dxa"/>
            <w:tcBorders>
              <w:tl2br w:val="nil"/>
              <w:tr2bl w:val="nil"/>
            </w:tcBorders>
            <w:vAlign w:val="top"/>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Borders>
              <w:tl2br w:val="nil"/>
              <w:tr2bl w:val="nil"/>
            </w:tcBorders>
            <w:vAlign w:val="top"/>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tcBorders>
              <w:tl2br w:val="nil"/>
              <w:tr2bl w:val="nil"/>
            </w:tcBorders>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Borders>
              <w:tl2br w:val="nil"/>
              <w:tr2bl w:val="nil"/>
            </w:tcBorders>
            <w:vAlign w:val="top"/>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vMerge w:val="restart"/>
            <w:tcBorders>
              <w:tl2br w:val="nil"/>
              <w:tr2bl w:val="nil"/>
            </w:tcBorders>
            <w:vAlign w:val="top"/>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Borders>
              <w:tl2br w:val="nil"/>
              <w:tr2bl w:val="nil"/>
            </w:tcBorders>
            <w:vAlign w:val="top"/>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Borders>
              <w:tl2br w:val="nil"/>
              <w:tr2bl w:val="nil"/>
            </w:tcBorders>
            <w:vAlign w:val="top"/>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vMerge w:val="continue"/>
            <w:tcBorders>
              <w:tl2br w:val="nil"/>
              <w:tr2bl w:val="nil"/>
            </w:tcBorders>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Borders>
              <w:tl2br w:val="nil"/>
              <w:tr2bl w:val="nil"/>
            </w:tcBorders>
            <w:vAlign w:val="top"/>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tcBorders>
              <w:tl2br w:val="nil"/>
              <w:tr2bl w:val="nil"/>
            </w:tcBorders>
            <w:vAlign w:val="top"/>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Borders>
              <w:tl2br w:val="nil"/>
              <w:tr2bl w:val="nil"/>
            </w:tcBorders>
            <w:vAlign w:val="top"/>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tcBorders>
              <w:tl2br w:val="nil"/>
              <w:tr2bl w:val="nil"/>
            </w:tcBorders>
            <w:vAlign w:val="top"/>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Borders>
              <w:tl2br w:val="nil"/>
              <w:tr2bl w:val="nil"/>
            </w:tcBorders>
            <w:vAlign w:val="top"/>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Borders>
              <w:tl2br w:val="nil"/>
              <w:tr2bl w:val="nil"/>
            </w:tcBorders>
            <w:vAlign w:val="top"/>
          </w:tcPr>
          <w:p>
            <w:pPr>
              <w:spacing w:before="211" w:line="219" w:lineRule="auto"/>
              <w:ind w:firstLine="211" w:firstLineChars="100"/>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5"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5"/>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详细说明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3625" w:type="dxa"/>
            <w:vAlign w:val="center"/>
          </w:tcPr>
          <w:p>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现场指导安装费</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3625" w:type="dxa"/>
            <w:vAlign w:val="center"/>
          </w:tcPr>
          <w:p>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现场指导调试、</w:t>
            </w:r>
            <w:r>
              <w:rPr>
                <w:rFonts w:ascii="宋体" w:hAnsi="宋体" w:eastAsia="宋体" w:cs="宋体"/>
                <w:szCs w:val="21"/>
              </w:rPr>
              <w:t>试车</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3625" w:type="dxa"/>
            <w:vAlign w:val="center"/>
          </w:tcPr>
          <w:p>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3625" w:type="dxa"/>
            <w:vAlign w:val="center"/>
          </w:tcPr>
          <w:p>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3625" w:type="dxa"/>
            <w:vAlign w:val="center"/>
          </w:tcPr>
          <w:p>
            <w:pPr>
              <w:spacing w:before="268" w:line="221" w:lineRule="auto"/>
              <w:jc w:val="center"/>
              <w:rPr>
                <w:rFonts w:hint="eastAsia" w:ascii="宋体" w:hAnsi="宋体" w:eastAsia="宋体" w:cs="宋体"/>
                <w:kern w:val="2"/>
                <w:sz w:val="21"/>
                <w:szCs w:val="21"/>
                <w:lang w:val="en-US" w:eastAsia="zh-CN" w:bidi="ar-SA"/>
              </w:rPr>
            </w:pPr>
            <w:r>
              <w:rPr>
                <w:rFonts w:hint="eastAsia" w:ascii="宋体" w:hAnsi="宋体" w:eastAsia="宋体" w:cs="宋体"/>
                <w:spacing w:val="15"/>
                <w:szCs w:val="21"/>
                <w:lang w:val="en-US" w:eastAsia="zh-CN"/>
              </w:rPr>
              <w:t>设计费</w:t>
            </w:r>
          </w:p>
        </w:tc>
        <w:tc>
          <w:tcPr>
            <w:tcW w:w="1126" w:type="dxa"/>
            <w:vAlign w:val="top"/>
          </w:tcPr>
          <w:p>
            <w:pPr>
              <w:spacing w:before="266" w:line="221" w:lineRule="auto"/>
              <w:jc w:val="center"/>
              <w:rPr>
                <w:rFonts w:hint="default" w:ascii="宋体" w:hAnsi="宋体" w:eastAsia="宋体" w:cs="宋体"/>
                <w:spacing w:val="-2"/>
                <w:kern w:val="2"/>
                <w:sz w:val="21"/>
                <w:szCs w:val="21"/>
                <w:lang w:val="en-US" w:eastAsia="zh-CN" w:bidi="ar-SA"/>
              </w:rPr>
            </w:pP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3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1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6"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5"/>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序号</w:t>
            </w:r>
          </w:p>
        </w:tc>
        <w:tc>
          <w:tcPr>
            <w:tcW w:w="15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5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33"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17"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ascii="宋体" w:hAnsi="宋体" w:eastAsia="宋体" w:cs="宋体"/>
                <w:spacing w:val="-6"/>
                <w:szCs w:val="21"/>
              </w:rPr>
            </w:pPr>
          </w:p>
        </w:tc>
        <w:tc>
          <w:tcPr>
            <w:tcW w:w="4867"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7" w:type="default"/>
          <w:pgSz w:w="16841" w:h="11907"/>
          <w:pgMar w:top="400" w:right="1500" w:bottom="1184" w:left="1480" w:header="0" w:footer="1022" w:gutter="0"/>
          <w:pgBorders>
            <w:top w:val="none" w:sz="0" w:space="0"/>
            <w:left w:val="none" w:sz="0" w:space="0"/>
            <w:bottom w:val="none" w:sz="0" w:space="0"/>
            <w:right w:val="none" w:sz="0" w:space="0"/>
          </w:pgBorders>
          <w:pgNumType w:fmt="decimal"/>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5"/>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容</w:t>
            </w:r>
          </w:p>
        </w:tc>
        <w:tc>
          <w:tcPr>
            <w:tcW w:w="3354" w:type="dxa"/>
          </w:tcPr>
          <w:p>
            <w:pPr>
              <w:spacing w:before="276" w:line="219" w:lineRule="auto"/>
              <w:jc w:val="center"/>
              <w:rPr>
                <w:rFonts w:ascii="宋体" w:hAnsi="宋体" w:eastAsia="宋体" w:cs="宋体"/>
                <w:szCs w:val="21"/>
              </w:rPr>
            </w:pPr>
            <w:r>
              <w:rPr>
                <w:rFonts w:hint="eastAsia" w:ascii="宋体" w:hAnsi="宋体" w:eastAsia="宋体" w:cs="宋体"/>
                <w:spacing w:val="18"/>
                <w:szCs w:val="21"/>
                <w:lang w:val="en-US" w:eastAsia="zh-CN"/>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Cs w:val="21"/>
        </w:rPr>
        <w:sectPr>
          <w:footerReference r:id="rId28" w:type="default"/>
          <w:pgSz w:w="16841" w:h="11907"/>
          <w:pgMar w:top="400" w:right="1699" w:bottom="1168" w:left="1481" w:header="0" w:footer="990" w:gutter="0"/>
          <w:pgBorders>
            <w:top w:val="none" w:sz="0" w:space="0"/>
            <w:left w:val="none" w:sz="0" w:space="0"/>
            <w:bottom w:val="none" w:sz="0" w:space="0"/>
            <w:right w:val="none" w:sz="0" w:space="0"/>
          </w:pgBorders>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hint="eastAsia"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sz w:val="24"/>
          <w:szCs w:val="20"/>
          <w:lang w:val="en-US" w:eastAsia="zh-CN"/>
        </w:rPr>
        <w:t>皮卡装配优化项目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5"/>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29" w:type="default"/>
          <w:pgSz w:w="11906" w:h="16839"/>
          <w:pgMar w:top="1431" w:right="1417" w:bottom="1179" w:left="1304" w:header="850" w:footer="992" w:gutter="0"/>
          <w:pgBorders>
            <w:top w:val="none" w:sz="0" w:space="0"/>
            <w:left w:val="none" w:sz="0" w:space="0"/>
            <w:bottom w:val="none" w:sz="0" w:space="0"/>
            <w:right w:val="none" w:sz="0" w:space="0"/>
          </w:pgBorders>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lang w:val="en-US" w:eastAsia="zh-CN"/>
        </w:rPr>
        <w:t>皮卡装配优化项目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中国重汽集团济南商用车有限公司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szCs w:val="20"/>
                <w:lang w:val="en-US" w:eastAsia="zh-CN"/>
              </w:rPr>
              <w:t>皮卡装配优化项目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rPr>
          <w:rFonts w:asciiTheme="minorEastAsia" w:hAnsiTheme="minorEastAsia" w:cstheme="minorEastAsia"/>
          <w:sz w:val="20"/>
          <w:szCs w:val="20"/>
        </w:rPr>
      </w:pPr>
      <w:r>
        <w:rPr>
          <w:rFonts w:asciiTheme="minorEastAsia" w:hAnsiTheme="minorEastAsia" w:cstheme="minorEastAsia"/>
          <w:sz w:val="20"/>
          <w:szCs w:val="20"/>
        </w:rPr>
        <w:br w:type="page"/>
      </w:r>
    </w:p>
    <w:p>
      <w:pPr>
        <w:pStyle w:val="12"/>
        <w:sectPr>
          <w:headerReference r:id="rId31" w:type="first"/>
          <w:footerReference r:id="rId33" w:type="first"/>
          <w:headerReference r:id="rId30" w:type="default"/>
          <w:footerReference r:id="rId32"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pPr>
        <w:jc w:val="center"/>
        <w:outlineLvl w:val="2"/>
        <w:rPr>
          <w:rFonts w:ascii="宋体" w:hAnsi="宋体" w:eastAsia="宋体"/>
          <w:b/>
          <w:bCs/>
          <w:sz w:val="28"/>
          <w:szCs w:val="28"/>
        </w:rPr>
      </w:pPr>
      <w:r>
        <w:rPr>
          <w:rFonts w:hint="eastAsia" w:ascii="宋体" w:hAnsi="宋体" w:eastAsia="宋体"/>
          <w:b/>
          <w:bCs/>
          <w:sz w:val="28"/>
          <w:szCs w:val="28"/>
        </w:rPr>
        <w:t>技术标评审表（100分）</w:t>
      </w:r>
    </w:p>
    <w:tbl>
      <w:tblPr>
        <w:tblStyle w:val="38"/>
        <w:tblW w:w="14129" w:type="dxa"/>
        <w:tblInd w:w="93" w:type="dxa"/>
        <w:tblLayout w:type="autofit"/>
        <w:tblCellMar>
          <w:top w:w="0" w:type="dxa"/>
          <w:left w:w="108" w:type="dxa"/>
          <w:bottom w:w="0" w:type="dxa"/>
          <w:right w:w="108" w:type="dxa"/>
        </w:tblCellMar>
      </w:tblPr>
      <w:tblGrid>
        <w:gridCol w:w="812"/>
        <w:gridCol w:w="650"/>
        <w:gridCol w:w="1961"/>
        <w:gridCol w:w="885"/>
        <w:gridCol w:w="9821"/>
      </w:tblGrid>
      <w:tr>
        <w:tblPrEx>
          <w:tblCellMar>
            <w:top w:w="0" w:type="dxa"/>
            <w:left w:w="108" w:type="dxa"/>
            <w:bottom w:w="0" w:type="dxa"/>
            <w:right w:w="108" w:type="dxa"/>
          </w:tblCellMar>
        </w:tblPrEx>
        <w:trPr>
          <w:trHeight w:val="329" w:hRule="atLeast"/>
        </w:trPr>
        <w:tc>
          <w:tcPr>
            <w:tcW w:w="812" w:type="dxa"/>
            <w:tcBorders>
              <w:top w:val="single" w:color="000000" w:sz="8"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lang w:bidi="ar"/>
              </w:rPr>
              <w:t>评价类型</w:t>
            </w:r>
          </w:p>
        </w:tc>
        <w:tc>
          <w:tcPr>
            <w:tcW w:w="650"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lang w:bidi="ar"/>
              </w:rPr>
              <w:t>序号</w:t>
            </w:r>
          </w:p>
        </w:tc>
        <w:tc>
          <w:tcPr>
            <w:tcW w:w="1961"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spacing w:val="315"/>
                <w:kern w:val="0"/>
                <w:fitText w:val="1050" w:id="2058751306"/>
                <w:lang w:bidi="ar"/>
              </w:rPr>
              <w:t>内</w:t>
            </w:r>
            <w:r>
              <w:rPr>
                <w:rStyle w:val="140"/>
                <w:rFonts w:hint="default"/>
                <w:spacing w:val="0"/>
                <w:kern w:val="0"/>
                <w:fitText w:val="1050" w:id="2058751306"/>
                <w:lang w:bidi="ar"/>
              </w:rPr>
              <w:t>容</w:t>
            </w:r>
          </w:p>
        </w:tc>
        <w:tc>
          <w:tcPr>
            <w:tcW w:w="885"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lang w:bidi="ar"/>
              </w:rPr>
              <w:t>标准分</w:t>
            </w:r>
          </w:p>
        </w:tc>
        <w:tc>
          <w:tcPr>
            <w:tcW w:w="9821" w:type="dxa"/>
            <w:tcBorders>
              <w:top w:val="single" w:color="000000" w:sz="8"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lang w:bidi="ar"/>
              </w:rPr>
              <w:t>评分标准</w:t>
            </w:r>
          </w:p>
        </w:tc>
      </w:tr>
      <w:tr>
        <w:tblPrEx>
          <w:tblCellMar>
            <w:top w:w="0" w:type="dxa"/>
            <w:left w:w="108" w:type="dxa"/>
            <w:bottom w:w="0" w:type="dxa"/>
            <w:right w:w="108" w:type="dxa"/>
          </w:tblCellMar>
        </w:tblPrEx>
        <w:trPr>
          <w:trHeight w:val="723" w:hRule="atLeast"/>
        </w:trPr>
        <w:tc>
          <w:tcPr>
            <w:tcW w:w="812" w:type="dxa"/>
            <w:vMerge w:val="restart"/>
            <w:tcBorders>
              <w:top w:val="single" w:color="000000" w:sz="4" w:space="0"/>
              <w:left w:val="single" w:color="000000" w:sz="8"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技术100分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技术方案</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val="en-US" w:eastAsia="zh-CN" w:bidi="ar"/>
              </w:rPr>
              <w:t>4</w:t>
            </w:r>
            <w:r>
              <w:rPr>
                <w:rFonts w:hint="eastAsia" w:ascii="宋体" w:hAnsi="宋体" w:eastAsia="宋体" w:cs="宋体"/>
                <w:color w:val="000000"/>
                <w:kern w:val="0"/>
                <w:szCs w:val="21"/>
                <w:lang w:bidi="ar"/>
              </w:rPr>
              <w:t>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1"/>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所报产品的技术方案先进，装备制造能力、生产设备、加工工艺先进，各系统完善、性能可靠，设备主要核心部件具备自身技术优势，技术参数优于招标文件要求，视情况优得31-40分，良得21-30分，一般得1-20分。</w:t>
            </w:r>
          </w:p>
        </w:tc>
      </w:tr>
      <w:tr>
        <w:tblPrEx>
          <w:tblCellMar>
            <w:top w:w="0" w:type="dxa"/>
            <w:left w:w="108" w:type="dxa"/>
            <w:bottom w:w="0" w:type="dxa"/>
            <w:right w:w="108" w:type="dxa"/>
          </w:tblCellMar>
        </w:tblPrEx>
        <w:trPr>
          <w:trHeight w:val="90" w:hRule="atLeast"/>
        </w:trPr>
        <w:tc>
          <w:tcPr>
            <w:tcW w:w="812" w:type="dxa"/>
            <w:vMerge w:val="continue"/>
            <w:tcBorders>
              <w:left w:val="single" w:color="000000" w:sz="8"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项目组织及人员</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val="en-US" w:eastAsia="zh-CN" w:bidi="ar"/>
              </w:rPr>
              <w:t>1</w:t>
            </w:r>
            <w:r>
              <w:rPr>
                <w:rFonts w:hint="eastAsia" w:ascii="宋体" w:hAnsi="宋体" w:eastAsia="宋体" w:cs="宋体"/>
                <w:color w:val="000000"/>
                <w:kern w:val="0"/>
                <w:szCs w:val="21"/>
                <w:lang w:bidi="ar"/>
              </w:rPr>
              <w:t>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1"/>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成立专项小组且职责明确，全流程项目人员经验丰富。根据方案进行综合评审，优得8-10分；良得5-7分；一般得1-4分。</w:t>
            </w:r>
          </w:p>
        </w:tc>
      </w:tr>
      <w:tr>
        <w:tblPrEx>
          <w:tblCellMar>
            <w:top w:w="0" w:type="dxa"/>
            <w:left w:w="108" w:type="dxa"/>
            <w:bottom w:w="0" w:type="dxa"/>
            <w:right w:w="108" w:type="dxa"/>
          </w:tblCellMar>
        </w:tblPrEx>
        <w:trPr>
          <w:trHeight w:val="456" w:hRule="atLeast"/>
        </w:trPr>
        <w:tc>
          <w:tcPr>
            <w:tcW w:w="812" w:type="dxa"/>
            <w:vMerge w:val="continue"/>
            <w:tcBorders>
              <w:left w:val="single" w:color="000000" w:sz="8"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供货周期</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Cs w:val="21"/>
                <w:lang w:val="en-US" w:eastAsia="zh-CN" w:bidi="ar"/>
              </w:rPr>
              <w:t>20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1"/>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响应供货期和现场停工期基本要求，有详细可行的行动计划能保证项目进度，有风险管理措施；加工、制作方案合理、完善、切实可行能确保安全；能满足交货期者视情况得15-20分；剩余投标方得1-14分。</w:t>
            </w:r>
          </w:p>
        </w:tc>
      </w:tr>
      <w:tr>
        <w:tblPrEx>
          <w:tblCellMar>
            <w:top w:w="0" w:type="dxa"/>
            <w:left w:w="108" w:type="dxa"/>
            <w:bottom w:w="0" w:type="dxa"/>
            <w:right w:w="108" w:type="dxa"/>
          </w:tblCellMar>
        </w:tblPrEx>
        <w:trPr>
          <w:trHeight w:val="304" w:hRule="atLeast"/>
        </w:trPr>
        <w:tc>
          <w:tcPr>
            <w:tcW w:w="812" w:type="dxa"/>
            <w:vMerge w:val="continue"/>
            <w:tcBorders>
              <w:left w:val="single" w:color="000000" w:sz="8"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类似业绩</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bidi="ar"/>
              </w:rPr>
              <w:t>1</w:t>
            </w:r>
            <w:r>
              <w:rPr>
                <w:rFonts w:hint="eastAsia" w:ascii="宋体" w:hAnsi="宋体" w:eastAsia="宋体" w:cs="宋体"/>
                <w:color w:val="000000"/>
                <w:kern w:val="0"/>
                <w:szCs w:val="21"/>
                <w:lang w:val="en-US" w:eastAsia="zh-CN" w:bidi="ar"/>
              </w:rPr>
              <w:t>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1"/>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近三年国内或国外知名品牌商用车或乘用车供货经历和经验或其他大型供货经历，提供1份投标同类产品开发合同证明材料，得2分，最高得10分。</w:t>
            </w:r>
          </w:p>
        </w:tc>
      </w:tr>
      <w:tr>
        <w:tblPrEx>
          <w:tblCellMar>
            <w:top w:w="0" w:type="dxa"/>
            <w:left w:w="108" w:type="dxa"/>
            <w:bottom w:w="0" w:type="dxa"/>
            <w:right w:w="108" w:type="dxa"/>
          </w:tblCellMar>
        </w:tblPrEx>
        <w:trPr>
          <w:trHeight w:val="90" w:hRule="atLeast"/>
        </w:trPr>
        <w:tc>
          <w:tcPr>
            <w:tcW w:w="812" w:type="dxa"/>
            <w:vMerge w:val="continue"/>
            <w:tcBorders>
              <w:left w:val="single" w:color="000000" w:sz="8"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widowControl/>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质量保障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Cs w:val="21"/>
                <w:lang w:val="en-US" w:eastAsia="zh-CN" w:bidi="ar"/>
              </w:rPr>
              <w:t>10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1"/>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具有良好的质量管理体系和完备的检测体系，保证提供的产品质量、性能稳定可靠。根据提供的证明资料进行综合评审，优得10分，良得5-9分，一般得1-4分。</w:t>
            </w:r>
          </w:p>
        </w:tc>
      </w:tr>
      <w:tr>
        <w:tblPrEx>
          <w:tblCellMar>
            <w:top w:w="0" w:type="dxa"/>
            <w:left w:w="108" w:type="dxa"/>
            <w:bottom w:w="0" w:type="dxa"/>
            <w:right w:w="108" w:type="dxa"/>
          </w:tblCellMar>
        </w:tblPrEx>
        <w:trPr>
          <w:trHeight w:val="244" w:hRule="atLeast"/>
        </w:trPr>
        <w:tc>
          <w:tcPr>
            <w:tcW w:w="812" w:type="dxa"/>
            <w:vMerge w:val="continue"/>
            <w:tcBorders>
              <w:left w:val="single" w:color="000000" w:sz="8"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6</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widowControl/>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质保期和售后服务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10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1"/>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根据投标文件中提供的质量保证措施、售后服务方案等的响应情况进行综合评审，优得10分，良5-9分，一般1-4分。</w:t>
            </w:r>
          </w:p>
        </w:tc>
      </w:tr>
    </w:tbl>
    <w:p>
      <w:pPr>
        <w:spacing w:line="240" w:lineRule="auto"/>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rPr>
        <w:t>技术标80分及以上推荐入围商务标阶段</w:t>
      </w:r>
      <w:r>
        <w:rPr>
          <w:rFonts w:hint="eastAsia" w:ascii="宋体" w:hAnsi="宋体" w:eastAsia="宋体" w:cs="宋体"/>
          <w:color w:val="000000"/>
          <w:sz w:val="24"/>
          <w:szCs w:val="24"/>
        </w:rPr>
        <w:t>，评标过程中必须确保推荐的入围候选中标人，在功能、质量、先进性、业绩等方面均符合招标标准要求。</w:t>
      </w:r>
    </w:p>
    <w:p>
      <w:pPr>
        <w:spacing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pStyle w:val="3"/>
        <w:spacing w:line="240" w:lineRule="auto"/>
        <w:ind w:firstLine="480" w:firstLineChars="200"/>
      </w:pPr>
      <w:r>
        <w:rPr>
          <w:rFonts w:hint="eastAsia" w:ascii="宋体" w:hAnsi="宋体" w:cs="宋体"/>
          <w:b w:val="0"/>
          <w:bCs w:val="0"/>
          <w:color w:val="000000"/>
          <w:szCs w:val="24"/>
        </w:rPr>
        <w:t>c、评标过程中，若出现本办法以外的特殊情况时，将暂停评标，有关情况处理意见待招标工作小组确认后，再行评定。</w:t>
      </w:r>
    </w:p>
    <w:p/>
    <w:p>
      <w:pPr>
        <w:sectPr>
          <w:pgSz w:w="16838" w:h="11906" w:orient="landscape"/>
          <w:pgMar w:top="1417" w:right="1588" w:bottom="1417" w:left="1134" w:header="851" w:footer="992"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附件15</w:t>
      </w:r>
      <w:r>
        <w:rPr>
          <w:rFonts w:hint="eastAsia" w:ascii="宋体" w:hAnsi="宋体" w:eastAsia="宋体" w:cs="宋体"/>
          <w:b/>
          <w:bCs/>
          <w:color w:val="000000"/>
          <w:sz w:val="24"/>
          <w:szCs w:val="24"/>
          <w:lang w:val="en-US" w:eastAsia="zh-CN"/>
        </w:rPr>
        <w:t xml:space="preserve"> SRM非生产供应商注册操作手册</w:t>
      </w:r>
    </w:p>
    <w:p>
      <w:pPr>
        <w:pStyle w:val="17"/>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5"/>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6"/>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7"/>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8"/>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pPr>
        <w:pStyle w:val="17"/>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9"/>
                    <a:stretch>
                      <a:fillRect/>
                    </a:stretch>
                  </pic:blipFill>
                  <pic:spPr>
                    <a:xfrm>
                      <a:off x="0" y="0"/>
                      <a:ext cx="5760085" cy="2810122"/>
                    </a:xfrm>
                    <a:prstGeom prst="rect">
                      <a:avLst/>
                    </a:prstGeom>
                  </pic:spPr>
                </pic:pic>
              </a:graphicData>
            </a:graphic>
          </wp:inline>
        </w:drawing>
      </w:r>
    </w:p>
    <w:p>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0"/>
                    <a:stretch>
                      <a:fillRect/>
                    </a:stretch>
                  </pic:blipFill>
                  <pic:spPr>
                    <a:xfrm>
                      <a:off x="0" y="0"/>
                      <a:ext cx="5760085" cy="2820042"/>
                    </a:xfrm>
                    <a:prstGeom prst="rect">
                      <a:avLst/>
                    </a:prstGeom>
                  </pic:spPr>
                </pic:pic>
              </a:graphicData>
            </a:graphic>
          </wp:inline>
        </w:drawing>
      </w:r>
    </w:p>
    <w:p>
      <w:pPr>
        <w:pStyle w:val="17"/>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pStyle w:val="17"/>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pPr>
        <w:pStyle w:val="17"/>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Style w:val="46"/>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46"/>
          <w:rFonts w:hint="eastAsia" w:ascii="宋体" w:hAnsi="宋体" w:eastAsia="宋体" w:cs="宋体"/>
          <w:sz w:val="24"/>
          <w:szCs w:val="24"/>
        </w:rPr>
        <w:fldChar w:fldCharType="begin"/>
      </w:r>
      <w:r>
        <w:rPr>
          <w:rStyle w:val="46"/>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6"/>
          <w:rFonts w:hint="eastAsia" w:ascii="宋体" w:hAnsi="宋体" w:eastAsia="宋体" w:cs="宋体"/>
          <w:sz w:val="24"/>
          <w:szCs w:val="24"/>
        </w:rPr>
        <w:fldChar w:fldCharType="separate"/>
      </w:r>
      <w:r>
        <w:rPr>
          <w:rStyle w:val="46"/>
          <w:rFonts w:hint="eastAsia" w:ascii="宋体" w:hAnsi="宋体" w:eastAsia="宋体" w:cs="宋体"/>
          <w:sz w:val="24"/>
          <w:szCs w:val="24"/>
        </w:rPr>
        <w:t>http://ecaitong.sinotruk.com:8012/</w:t>
      </w:r>
      <w:r>
        <w:rPr>
          <w:rStyle w:val="46"/>
          <w:rFonts w:hint="eastAsia" w:ascii="宋体" w:hAnsi="宋体" w:eastAsia="宋体" w:cs="宋体"/>
          <w:sz w:val="24"/>
          <w:szCs w:val="24"/>
        </w:rPr>
        <w:fldChar w:fldCharType="end"/>
      </w:r>
      <w:r>
        <w:rPr>
          <w:rStyle w:val="46"/>
          <w:rFonts w:hint="eastAsia" w:ascii="宋体" w:hAnsi="宋体" w:eastAsia="宋体" w:cs="宋体"/>
          <w:sz w:val="24"/>
          <w:szCs w:val="24"/>
          <w:lang w:eastAsia="zh-CN"/>
        </w:rPr>
        <w:t>（</w:t>
      </w:r>
      <w:r>
        <w:rPr>
          <w:rStyle w:val="46"/>
          <w:rFonts w:hint="eastAsia" w:ascii="宋体" w:hAnsi="宋体" w:eastAsia="宋体" w:cs="宋体"/>
          <w:sz w:val="24"/>
          <w:szCs w:val="24"/>
          <w:lang w:val="en-US" w:eastAsia="zh-CN"/>
        </w:rPr>
        <w:t>以下内容可能非最新版本，仅供参考，请登录系统网址后，点检查看最新版供应商手册</w:t>
      </w:r>
      <w:r>
        <w:rPr>
          <w:rStyle w:val="46"/>
          <w:rFonts w:hint="eastAsia" w:ascii="宋体" w:hAnsi="宋体" w:eastAsia="宋体" w:cs="宋体"/>
          <w:sz w:val="24"/>
          <w:szCs w:val="24"/>
          <w:lang w:eastAsia="zh-CN"/>
        </w:rPr>
        <w:t>）</w:t>
      </w:r>
    </w:p>
    <w:p>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1"/>
                    <a:stretch>
                      <a:fillRect/>
                    </a:stretch>
                  </pic:blipFill>
                  <pic:spPr>
                    <a:xfrm>
                      <a:off x="0" y="0"/>
                      <a:ext cx="4067175" cy="4876800"/>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2"/>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3"/>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pPr>
        <w:pStyle w:val="17"/>
      </w:pP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4"/>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5"/>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6"/>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7"/>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57</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58</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59</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60</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3</w:t>
                    </w:r>
                    <w:r>
                      <w:fldChar w:fldCharType="end"/>
                    </w:r>
                  </w:p>
                </w:txbxContent>
              </v:textbox>
            </v:shape>
          </w:pict>
        </mc:Fallback>
      </mc:AlternateContent>
    </w: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105"/>
      <w:suff w:val="nothing"/>
      <w:lvlText w:val="%1%2　"/>
      <w:lvlJc w:val="left"/>
      <w:pPr>
        <w:ind w:left="0" w:firstLine="0"/>
      </w:pPr>
      <w:rPr>
        <w:rFonts w:hint="eastAsia" w:ascii="黑体" w:hAnsi="Times New Roman" w:eastAsia="黑体"/>
        <w:b w:val="0"/>
        <w:i w:val="0"/>
        <w:sz w:val="21"/>
      </w:rPr>
    </w:lvl>
    <w:lvl w:ilvl="2" w:tentative="0">
      <w:start w:val="1"/>
      <w:numFmt w:val="decimal"/>
      <w:pStyle w:val="110"/>
      <w:suff w:val="nothing"/>
      <w:lvlText w:val="%1%2.%3　"/>
      <w:lvlJc w:val="left"/>
      <w:pPr>
        <w:ind w:left="2552" w:firstLine="0"/>
      </w:pPr>
      <w:rPr>
        <w:rFonts w:hint="eastAsia" w:ascii="黑体" w:hAnsi="Times New Roman" w:eastAsia="黑体"/>
        <w:b w:val="0"/>
        <w:i w:val="0"/>
        <w:sz w:val="21"/>
      </w:rPr>
    </w:lvl>
    <w:lvl w:ilvl="3" w:tentative="0">
      <w:start w:val="1"/>
      <w:numFmt w:val="decimal"/>
      <w:pStyle w:val="150"/>
      <w:suff w:val="nothing"/>
      <w:lvlText w:val="%1%2.%3.%4　"/>
      <w:lvlJc w:val="left"/>
      <w:pPr>
        <w:ind w:left="3827" w:firstLine="0"/>
      </w:pPr>
      <w:rPr>
        <w:rFonts w:hint="eastAsia" w:ascii="黑体" w:hAnsi="Times New Roman" w:eastAsia="黑体"/>
        <w:b w:val="0"/>
        <w:i w:val="0"/>
        <w:sz w:val="21"/>
      </w:rPr>
    </w:lvl>
    <w:lvl w:ilvl="4" w:tentative="0">
      <w:start w:val="1"/>
      <w:numFmt w:val="decimal"/>
      <w:pStyle w:val="151"/>
      <w:suff w:val="nothing"/>
      <w:lvlText w:val="%1%2.%3.%4.%5　"/>
      <w:lvlJc w:val="left"/>
      <w:pPr>
        <w:ind w:left="708"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0"/>
  </w:num>
  <w:num w:numId="4">
    <w:abstractNumId w:val="9"/>
  </w:num>
  <w:num w:numId="5">
    <w:abstractNumId w:val="4"/>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3MjRkZTcwNjVhMmUwMDJjMWUwZGM1M2I0MzhjMzgifQ=="/>
  </w:docVars>
  <w:rsids>
    <w:rsidRoot w:val="00172A27"/>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A51B4"/>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27A"/>
    <w:rsid w:val="00E34C35"/>
    <w:rsid w:val="00E650A8"/>
    <w:rsid w:val="00E878B4"/>
    <w:rsid w:val="00EB3D00"/>
    <w:rsid w:val="00F71720"/>
    <w:rsid w:val="00FE040F"/>
    <w:rsid w:val="00FE42B3"/>
    <w:rsid w:val="01042CD0"/>
    <w:rsid w:val="0147778C"/>
    <w:rsid w:val="014832F2"/>
    <w:rsid w:val="014D51C1"/>
    <w:rsid w:val="01714809"/>
    <w:rsid w:val="01C52478"/>
    <w:rsid w:val="027408EE"/>
    <w:rsid w:val="02963F39"/>
    <w:rsid w:val="02B3095A"/>
    <w:rsid w:val="02BA7274"/>
    <w:rsid w:val="03251978"/>
    <w:rsid w:val="0325718A"/>
    <w:rsid w:val="042921B6"/>
    <w:rsid w:val="043B72BB"/>
    <w:rsid w:val="04461EC1"/>
    <w:rsid w:val="04504B3F"/>
    <w:rsid w:val="04AD02B8"/>
    <w:rsid w:val="04B944C7"/>
    <w:rsid w:val="04DE51C8"/>
    <w:rsid w:val="04DF17D4"/>
    <w:rsid w:val="05412745"/>
    <w:rsid w:val="05491761"/>
    <w:rsid w:val="05A351AD"/>
    <w:rsid w:val="05F9748A"/>
    <w:rsid w:val="06266F78"/>
    <w:rsid w:val="063E7B7A"/>
    <w:rsid w:val="06582413"/>
    <w:rsid w:val="067E33B8"/>
    <w:rsid w:val="06E82FCB"/>
    <w:rsid w:val="06F34B95"/>
    <w:rsid w:val="06F7755F"/>
    <w:rsid w:val="07571DAC"/>
    <w:rsid w:val="07797C0B"/>
    <w:rsid w:val="077E4EA5"/>
    <w:rsid w:val="07AB20F7"/>
    <w:rsid w:val="08186171"/>
    <w:rsid w:val="08590488"/>
    <w:rsid w:val="086D3359"/>
    <w:rsid w:val="08803584"/>
    <w:rsid w:val="08DB07BA"/>
    <w:rsid w:val="08DD171B"/>
    <w:rsid w:val="08E64121"/>
    <w:rsid w:val="0942017F"/>
    <w:rsid w:val="09A36273"/>
    <w:rsid w:val="09BA1FBB"/>
    <w:rsid w:val="09CB139F"/>
    <w:rsid w:val="0A0106F5"/>
    <w:rsid w:val="0A112AB7"/>
    <w:rsid w:val="0A886720"/>
    <w:rsid w:val="0A977BEE"/>
    <w:rsid w:val="0AAA504A"/>
    <w:rsid w:val="0AD71BC7"/>
    <w:rsid w:val="0AF420EB"/>
    <w:rsid w:val="0B2B2BF5"/>
    <w:rsid w:val="0B2F3908"/>
    <w:rsid w:val="0B3F6206"/>
    <w:rsid w:val="0B9C3F94"/>
    <w:rsid w:val="0BE12DB6"/>
    <w:rsid w:val="0BFC6504"/>
    <w:rsid w:val="0C345AD1"/>
    <w:rsid w:val="0C626CE4"/>
    <w:rsid w:val="0D0C2B7B"/>
    <w:rsid w:val="0D103128"/>
    <w:rsid w:val="0D9308F8"/>
    <w:rsid w:val="0DE76C3D"/>
    <w:rsid w:val="0E083E00"/>
    <w:rsid w:val="0E1A1D85"/>
    <w:rsid w:val="0E750568"/>
    <w:rsid w:val="0E9C3C97"/>
    <w:rsid w:val="0F2D7A80"/>
    <w:rsid w:val="0F4277E5"/>
    <w:rsid w:val="0FA75561"/>
    <w:rsid w:val="0FB83603"/>
    <w:rsid w:val="0FCA77F1"/>
    <w:rsid w:val="0FCD5DCC"/>
    <w:rsid w:val="10043197"/>
    <w:rsid w:val="101E1EA5"/>
    <w:rsid w:val="10270545"/>
    <w:rsid w:val="1032785A"/>
    <w:rsid w:val="103409DF"/>
    <w:rsid w:val="108A1D4B"/>
    <w:rsid w:val="10A10111"/>
    <w:rsid w:val="10BE093E"/>
    <w:rsid w:val="10E20BD8"/>
    <w:rsid w:val="111B0FE9"/>
    <w:rsid w:val="111E54BC"/>
    <w:rsid w:val="112C77F4"/>
    <w:rsid w:val="115F67A8"/>
    <w:rsid w:val="116339A6"/>
    <w:rsid w:val="119A7465"/>
    <w:rsid w:val="11C07DA5"/>
    <w:rsid w:val="11C2491E"/>
    <w:rsid w:val="11F36B75"/>
    <w:rsid w:val="12491386"/>
    <w:rsid w:val="12541D09"/>
    <w:rsid w:val="128807D2"/>
    <w:rsid w:val="12E60579"/>
    <w:rsid w:val="12EB0F02"/>
    <w:rsid w:val="13355458"/>
    <w:rsid w:val="134A7828"/>
    <w:rsid w:val="13695B36"/>
    <w:rsid w:val="1372609F"/>
    <w:rsid w:val="13D50C28"/>
    <w:rsid w:val="13D73572"/>
    <w:rsid w:val="144363D4"/>
    <w:rsid w:val="14504752"/>
    <w:rsid w:val="145A6A37"/>
    <w:rsid w:val="1467440F"/>
    <w:rsid w:val="14B60A59"/>
    <w:rsid w:val="15400323"/>
    <w:rsid w:val="15433A9B"/>
    <w:rsid w:val="15FC2F04"/>
    <w:rsid w:val="16181FAC"/>
    <w:rsid w:val="16781D3E"/>
    <w:rsid w:val="168756A0"/>
    <w:rsid w:val="16DE4BFF"/>
    <w:rsid w:val="16E75D5E"/>
    <w:rsid w:val="16F94849"/>
    <w:rsid w:val="16FF13AD"/>
    <w:rsid w:val="17045E51"/>
    <w:rsid w:val="172011D4"/>
    <w:rsid w:val="17252C3B"/>
    <w:rsid w:val="173F0A2E"/>
    <w:rsid w:val="17770BC2"/>
    <w:rsid w:val="17860E2F"/>
    <w:rsid w:val="17A119AA"/>
    <w:rsid w:val="18586F2B"/>
    <w:rsid w:val="18B518DD"/>
    <w:rsid w:val="19A4034B"/>
    <w:rsid w:val="19A766B9"/>
    <w:rsid w:val="19CE76BA"/>
    <w:rsid w:val="19D11E91"/>
    <w:rsid w:val="19F26070"/>
    <w:rsid w:val="19F97C8B"/>
    <w:rsid w:val="1A1523CE"/>
    <w:rsid w:val="1A1E139B"/>
    <w:rsid w:val="1A3366A8"/>
    <w:rsid w:val="1A6119E3"/>
    <w:rsid w:val="1AA730BD"/>
    <w:rsid w:val="1B333D5D"/>
    <w:rsid w:val="1B587618"/>
    <w:rsid w:val="1B5F19C7"/>
    <w:rsid w:val="1B6B0FE4"/>
    <w:rsid w:val="1B774356"/>
    <w:rsid w:val="1C1C709B"/>
    <w:rsid w:val="1C4F6795"/>
    <w:rsid w:val="1C9F6814"/>
    <w:rsid w:val="1CA23671"/>
    <w:rsid w:val="1CF70D48"/>
    <w:rsid w:val="1D5C514E"/>
    <w:rsid w:val="1D865D14"/>
    <w:rsid w:val="1D8705EC"/>
    <w:rsid w:val="1DA90A2F"/>
    <w:rsid w:val="1DBC5610"/>
    <w:rsid w:val="1E43150B"/>
    <w:rsid w:val="1EA93E80"/>
    <w:rsid w:val="1ED33FB6"/>
    <w:rsid w:val="1EE81332"/>
    <w:rsid w:val="1F32415A"/>
    <w:rsid w:val="1F542F9A"/>
    <w:rsid w:val="1F702632"/>
    <w:rsid w:val="1F7D1043"/>
    <w:rsid w:val="1F7E2174"/>
    <w:rsid w:val="1FBC5CBE"/>
    <w:rsid w:val="20107567"/>
    <w:rsid w:val="20AB56C6"/>
    <w:rsid w:val="20CF7C34"/>
    <w:rsid w:val="21547789"/>
    <w:rsid w:val="2176507C"/>
    <w:rsid w:val="21BE35AF"/>
    <w:rsid w:val="21C11174"/>
    <w:rsid w:val="220D732D"/>
    <w:rsid w:val="22244B28"/>
    <w:rsid w:val="22336619"/>
    <w:rsid w:val="22467FD4"/>
    <w:rsid w:val="226A1E07"/>
    <w:rsid w:val="229451FD"/>
    <w:rsid w:val="22A12DB6"/>
    <w:rsid w:val="230C7A96"/>
    <w:rsid w:val="236356D1"/>
    <w:rsid w:val="23A91C83"/>
    <w:rsid w:val="23C962E8"/>
    <w:rsid w:val="246D6790"/>
    <w:rsid w:val="247E4FED"/>
    <w:rsid w:val="24AD78E0"/>
    <w:rsid w:val="24B30BE8"/>
    <w:rsid w:val="24B959FC"/>
    <w:rsid w:val="24E34060"/>
    <w:rsid w:val="253A0491"/>
    <w:rsid w:val="25E036B2"/>
    <w:rsid w:val="25E9082A"/>
    <w:rsid w:val="25F42473"/>
    <w:rsid w:val="26AF2D79"/>
    <w:rsid w:val="26B34B91"/>
    <w:rsid w:val="270D66E8"/>
    <w:rsid w:val="271460F5"/>
    <w:rsid w:val="27180043"/>
    <w:rsid w:val="27514612"/>
    <w:rsid w:val="278B0DAB"/>
    <w:rsid w:val="279C6B0E"/>
    <w:rsid w:val="27A64735"/>
    <w:rsid w:val="27CC4DF2"/>
    <w:rsid w:val="281864F2"/>
    <w:rsid w:val="283F41FE"/>
    <w:rsid w:val="286903EF"/>
    <w:rsid w:val="287F5DD3"/>
    <w:rsid w:val="288047CB"/>
    <w:rsid w:val="289C366A"/>
    <w:rsid w:val="289E62FA"/>
    <w:rsid w:val="28FD6E90"/>
    <w:rsid w:val="291E2CA6"/>
    <w:rsid w:val="29331862"/>
    <w:rsid w:val="293C4426"/>
    <w:rsid w:val="299741EC"/>
    <w:rsid w:val="299E147F"/>
    <w:rsid w:val="29C32A87"/>
    <w:rsid w:val="29CF26DC"/>
    <w:rsid w:val="2A0151A8"/>
    <w:rsid w:val="2A1C5DA0"/>
    <w:rsid w:val="2A200D39"/>
    <w:rsid w:val="2A507EFF"/>
    <w:rsid w:val="2ADC05A4"/>
    <w:rsid w:val="2AEF2177"/>
    <w:rsid w:val="2B6F0D7F"/>
    <w:rsid w:val="2B8716BD"/>
    <w:rsid w:val="2B8B76FF"/>
    <w:rsid w:val="2BD5034F"/>
    <w:rsid w:val="2BFA123F"/>
    <w:rsid w:val="2C4F1B9F"/>
    <w:rsid w:val="2D025012"/>
    <w:rsid w:val="2D355E3C"/>
    <w:rsid w:val="2D3725E1"/>
    <w:rsid w:val="2D4178F0"/>
    <w:rsid w:val="2DAE631A"/>
    <w:rsid w:val="2DD877E0"/>
    <w:rsid w:val="2DE616C9"/>
    <w:rsid w:val="2DFC2451"/>
    <w:rsid w:val="2E3422F8"/>
    <w:rsid w:val="2E6E566D"/>
    <w:rsid w:val="2E7F188E"/>
    <w:rsid w:val="2E8F1410"/>
    <w:rsid w:val="2EA414CB"/>
    <w:rsid w:val="2EBC0905"/>
    <w:rsid w:val="2EC73739"/>
    <w:rsid w:val="2EFB1B0E"/>
    <w:rsid w:val="2F5C684F"/>
    <w:rsid w:val="2FA21EAE"/>
    <w:rsid w:val="307776D1"/>
    <w:rsid w:val="30862574"/>
    <w:rsid w:val="30A30315"/>
    <w:rsid w:val="30B631E1"/>
    <w:rsid w:val="311933AA"/>
    <w:rsid w:val="3135465C"/>
    <w:rsid w:val="317D15BB"/>
    <w:rsid w:val="31D07E6C"/>
    <w:rsid w:val="322C6574"/>
    <w:rsid w:val="323F65DA"/>
    <w:rsid w:val="32412074"/>
    <w:rsid w:val="32515B4E"/>
    <w:rsid w:val="32BB6DE3"/>
    <w:rsid w:val="32DE0199"/>
    <w:rsid w:val="333C2963"/>
    <w:rsid w:val="335B2774"/>
    <w:rsid w:val="33613647"/>
    <w:rsid w:val="33A4642E"/>
    <w:rsid w:val="33C63C91"/>
    <w:rsid w:val="33D10FB5"/>
    <w:rsid w:val="33D4039C"/>
    <w:rsid w:val="33D47E05"/>
    <w:rsid w:val="3413677D"/>
    <w:rsid w:val="342B544B"/>
    <w:rsid w:val="345E036E"/>
    <w:rsid w:val="346911EC"/>
    <w:rsid w:val="34C47852"/>
    <w:rsid w:val="34D81ECE"/>
    <w:rsid w:val="34DE1E4F"/>
    <w:rsid w:val="34F07DB1"/>
    <w:rsid w:val="35640551"/>
    <w:rsid w:val="359009FB"/>
    <w:rsid w:val="35D354B8"/>
    <w:rsid w:val="35D4025C"/>
    <w:rsid w:val="362666BC"/>
    <w:rsid w:val="368A6B11"/>
    <w:rsid w:val="37085B1F"/>
    <w:rsid w:val="372E04CB"/>
    <w:rsid w:val="38E070F2"/>
    <w:rsid w:val="390D33AB"/>
    <w:rsid w:val="391E6D06"/>
    <w:rsid w:val="3A074847"/>
    <w:rsid w:val="3A830B2E"/>
    <w:rsid w:val="3AA90FE6"/>
    <w:rsid w:val="3AA9318F"/>
    <w:rsid w:val="3AB62DA0"/>
    <w:rsid w:val="3B0A330F"/>
    <w:rsid w:val="3B196D9D"/>
    <w:rsid w:val="3B351E28"/>
    <w:rsid w:val="3B427E5C"/>
    <w:rsid w:val="3B585B17"/>
    <w:rsid w:val="3B7D3FD5"/>
    <w:rsid w:val="3B823DDF"/>
    <w:rsid w:val="3B914B85"/>
    <w:rsid w:val="3B9B59E2"/>
    <w:rsid w:val="3BD827B4"/>
    <w:rsid w:val="3C237ED3"/>
    <w:rsid w:val="3CAA596A"/>
    <w:rsid w:val="3CAF1D22"/>
    <w:rsid w:val="3CB1587B"/>
    <w:rsid w:val="3CB735F2"/>
    <w:rsid w:val="3D186684"/>
    <w:rsid w:val="3D363C36"/>
    <w:rsid w:val="3D6C08E2"/>
    <w:rsid w:val="3D8B2178"/>
    <w:rsid w:val="3DB34909"/>
    <w:rsid w:val="3DD115F5"/>
    <w:rsid w:val="3DE435F0"/>
    <w:rsid w:val="3DE5122C"/>
    <w:rsid w:val="3DF37E53"/>
    <w:rsid w:val="3E740EBA"/>
    <w:rsid w:val="3EC86B10"/>
    <w:rsid w:val="3ED26DE9"/>
    <w:rsid w:val="3EED17D0"/>
    <w:rsid w:val="3F0C0304"/>
    <w:rsid w:val="3F774839"/>
    <w:rsid w:val="3FEC147E"/>
    <w:rsid w:val="40376375"/>
    <w:rsid w:val="40D70587"/>
    <w:rsid w:val="412732B7"/>
    <w:rsid w:val="4127791F"/>
    <w:rsid w:val="41281794"/>
    <w:rsid w:val="413C1FDF"/>
    <w:rsid w:val="416D399E"/>
    <w:rsid w:val="417A65A3"/>
    <w:rsid w:val="41806A69"/>
    <w:rsid w:val="41B0259C"/>
    <w:rsid w:val="41BC6F1C"/>
    <w:rsid w:val="41EF2363"/>
    <w:rsid w:val="41F77860"/>
    <w:rsid w:val="424A4B98"/>
    <w:rsid w:val="42581D3A"/>
    <w:rsid w:val="42ED2EA4"/>
    <w:rsid w:val="42F6649D"/>
    <w:rsid w:val="42FE0080"/>
    <w:rsid w:val="43315D2E"/>
    <w:rsid w:val="43670C99"/>
    <w:rsid w:val="43824A1C"/>
    <w:rsid w:val="43D110E1"/>
    <w:rsid w:val="43E873C9"/>
    <w:rsid w:val="44905B1F"/>
    <w:rsid w:val="44A85002"/>
    <w:rsid w:val="45316885"/>
    <w:rsid w:val="45A95EE9"/>
    <w:rsid w:val="45EF1E33"/>
    <w:rsid w:val="45FB0F21"/>
    <w:rsid w:val="46167166"/>
    <w:rsid w:val="4636719A"/>
    <w:rsid w:val="46DC2BD2"/>
    <w:rsid w:val="47200EE3"/>
    <w:rsid w:val="47435AC2"/>
    <w:rsid w:val="47457828"/>
    <w:rsid w:val="47544B78"/>
    <w:rsid w:val="47587AF7"/>
    <w:rsid w:val="47745A86"/>
    <w:rsid w:val="477B2160"/>
    <w:rsid w:val="47E239AC"/>
    <w:rsid w:val="47F72214"/>
    <w:rsid w:val="480F4B73"/>
    <w:rsid w:val="48DB38E3"/>
    <w:rsid w:val="49001B5E"/>
    <w:rsid w:val="49376DB0"/>
    <w:rsid w:val="496271AF"/>
    <w:rsid w:val="49804BB7"/>
    <w:rsid w:val="49826DCB"/>
    <w:rsid w:val="499013E7"/>
    <w:rsid w:val="49C13AB5"/>
    <w:rsid w:val="49C8088A"/>
    <w:rsid w:val="4A301C93"/>
    <w:rsid w:val="4A3302AB"/>
    <w:rsid w:val="4A7B537E"/>
    <w:rsid w:val="4AC85D49"/>
    <w:rsid w:val="4AE308A9"/>
    <w:rsid w:val="4B260F2D"/>
    <w:rsid w:val="4B2E418D"/>
    <w:rsid w:val="4B4F20F9"/>
    <w:rsid w:val="4B9A1456"/>
    <w:rsid w:val="4BA32C82"/>
    <w:rsid w:val="4BD022FD"/>
    <w:rsid w:val="4BE70627"/>
    <w:rsid w:val="4C0A5AE1"/>
    <w:rsid w:val="4C130AB8"/>
    <w:rsid w:val="4C5A284D"/>
    <w:rsid w:val="4C5C0673"/>
    <w:rsid w:val="4CB96B43"/>
    <w:rsid w:val="4CC410A6"/>
    <w:rsid w:val="4CC75FCC"/>
    <w:rsid w:val="4CC87A5E"/>
    <w:rsid w:val="4CD63947"/>
    <w:rsid w:val="4CFC49F4"/>
    <w:rsid w:val="4D073D73"/>
    <w:rsid w:val="4D1E27BA"/>
    <w:rsid w:val="4D23574A"/>
    <w:rsid w:val="4D4C4DB0"/>
    <w:rsid w:val="4D7322D5"/>
    <w:rsid w:val="4DD7034C"/>
    <w:rsid w:val="4DE312CB"/>
    <w:rsid w:val="4DF5318E"/>
    <w:rsid w:val="4E1F4862"/>
    <w:rsid w:val="4E2E4393"/>
    <w:rsid w:val="4E35690B"/>
    <w:rsid w:val="4E535EF2"/>
    <w:rsid w:val="4F08773C"/>
    <w:rsid w:val="4F1638C7"/>
    <w:rsid w:val="4F31409F"/>
    <w:rsid w:val="4F5E670E"/>
    <w:rsid w:val="4F846A83"/>
    <w:rsid w:val="4FC0482A"/>
    <w:rsid w:val="50070E2C"/>
    <w:rsid w:val="501112F3"/>
    <w:rsid w:val="504B57F2"/>
    <w:rsid w:val="505162C9"/>
    <w:rsid w:val="507619E1"/>
    <w:rsid w:val="50C62BC7"/>
    <w:rsid w:val="50F72A66"/>
    <w:rsid w:val="5123368C"/>
    <w:rsid w:val="5130747C"/>
    <w:rsid w:val="515C765A"/>
    <w:rsid w:val="51905BB3"/>
    <w:rsid w:val="51946FCB"/>
    <w:rsid w:val="51DD796B"/>
    <w:rsid w:val="51DF373B"/>
    <w:rsid w:val="51E95740"/>
    <w:rsid w:val="51EB2DE9"/>
    <w:rsid w:val="52D970E6"/>
    <w:rsid w:val="52EF4CB5"/>
    <w:rsid w:val="52F959F0"/>
    <w:rsid w:val="5302488E"/>
    <w:rsid w:val="53136173"/>
    <w:rsid w:val="534B12B7"/>
    <w:rsid w:val="539A4AC7"/>
    <w:rsid w:val="542631B6"/>
    <w:rsid w:val="5447483C"/>
    <w:rsid w:val="544E58B1"/>
    <w:rsid w:val="54785EAD"/>
    <w:rsid w:val="54942CAE"/>
    <w:rsid w:val="549C03CB"/>
    <w:rsid w:val="54A61722"/>
    <w:rsid w:val="54B31FAF"/>
    <w:rsid w:val="55326D63"/>
    <w:rsid w:val="555D1A10"/>
    <w:rsid w:val="56356D29"/>
    <w:rsid w:val="56A20EA8"/>
    <w:rsid w:val="56AC4A78"/>
    <w:rsid w:val="56DB16B9"/>
    <w:rsid w:val="570A3D11"/>
    <w:rsid w:val="577A3463"/>
    <w:rsid w:val="57C77E54"/>
    <w:rsid w:val="57E36310"/>
    <w:rsid w:val="57F967AD"/>
    <w:rsid w:val="58052975"/>
    <w:rsid w:val="584D1A65"/>
    <w:rsid w:val="584F5C44"/>
    <w:rsid w:val="588C0756"/>
    <w:rsid w:val="58E525CA"/>
    <w:rsid w:val="593D045A"/>
    <w:rsid w:val="5960739E"/>
    <w:rsid w:val="59896D0A"/>
    <w:rsid w:val="59B72684"/>
    <w:rsid w:val="59E0527F"/>
    <w:rsid w:val="5A421A14"/>
    <w:rsid w:val="5A9579AE"/>
    <w:rsid w:val="5AC468CD"/>
    <w:rsid w:val="5B342B9A"/>
    <w:rsid w:val="5B5953B0"/>
    <w:rsid w:val="5B5F03A4"/>
    <w:rsid w:val="5B630802"/>
    <w:rsid w:val="5B644229"/>
    <w:rsid w:val="5B807F68"/>
    <w:rsid w:val="5BA72CE5"/>
    <w:rsid w:val="5C034D53"/>
    <w:rsid w:val="5C1765AF"/>
    <w:rsid w:val="5E1D6F56"/>
    <w:rsid w:val="5E52187F"/>
    <w:rsid w:val="5E6A13CD"/>
    <w:rsid w:val="5E705D15"/>
    <w:rsid w:val="5E93326C"/>
    <w:rsid w:val="5E9F1A7A"/>
    <w:rsid w:val="5EFB4BA4"/>
    <w:rsid w:val="5F025452"/>
    <w:rsid w:val="5F490D33"/>
    <w:rsid w:val="5F5426EE"/>
    <w:rsid w:val="5F5F46B5"/>
    <w:rsid w:val="5FB25360"/>
    <w:rsid w:val="5FBA3CC0"/>
    <w:rsid w:val="5FD90D61"/>
    <w:rsid w:val="60177697"/>
    <w:rsid w:val="602329DB"/>
    <w:rsid w:val="607777D6"/>
    <w:rsid w:val="60BC76A1"/>
    <w:rsid w:val="610B7637"/>
    <w:rsid w:val="612279BA"/>
    <w:rsid w:val="615F5624"/>
    <w:rsid w:val="61C25AC1"/>
    <w:rsid w:val="61D215CF"/>
    <w:rsid w:val="625C563D"/>
    <w:rsid w:val="626A1704"/>
    <w:rsid w:val="627921C2"/>
    <w:rsid w:val="62B362C8"/>
    <w:rsid w:val="62C1330E"/>
    <w:rsid w:val="6342085E"/>
    <w:rsid w:val="636F415C"/>
    <w:rsid w:val="639037F0"/>
    <w:rsid w:val="644F33DD"/>
    <w:rsid w:val="646126CB"/>
    <w:rsid w:val="648B3FB8"/>
    <w:rsid w:val="64917820"/>
    <w:rsid w:val="64AA1CC5"/>
    <w:rsid w:val="6528341F"/>
    <w:rsid w:val="652A557F"/>
    <w:rsid w:val="656B2909"/>
    <w:rsid w:val="65A3045D"/>
    <w:rsid w:val="65D97752"/>
    <w:rsid w:val="65E25E59"/>
    <w:rsid w:val="66307F76"/>
    <w:rsid w:val="66580EAF"/>
    <w:rsid w:val="66694D0D"/>
    <w:rsid w:val="667B4472"/>
    <w:rsid w:val="66F041A8"/>
    <w:rsid w:val="670C7632"/>
    <w:rsid w:val="6721178A"/>
    <w:rsid w:val="6739399A"/>
    <w:rsid w:val="673F39DE"/>
    <w:rsid w:val="674C5D22"/>
    <w:rsid w:val="67663AF8"/>
    <w:rsid w:val="67762CFD"/>
    <w:rsid w:val="677A678D"/>
    <w:rsid w:val="679847C2"/>
    <w:rsid w:val="67CF7349"/>
    <w:rsid w:val="68011379"/>
    <w:rsid w:val="68252C37"/>
    <w:rsid w:val="68817BAC"/>
    <w:rsid w:val="689A5E59"/>
    <w:rsid w:val="68A11FFC"/>
    <w:rsid w:val="68A13DAA"/>
    <w:rsid w:val="68A94E70"/>
    <w:rsid w:val="68EE72DF"/>
    <w:rsid w:val="69450BD9"/>
    <w:rsid w:val="69485FEA"/>
    <w:rsid w:val="69677DC0"/>
    <w:rsid w:val="69937EC7"/>
    <w:rsid w:val="69D64558"/>
    <w:rsid w:val="6A042548"/>
    <w:rsid w:val="6A471EFD"/>
    <w:rsid w:val="6AB57116"/>
    <w:rsid w:val="6B17424A"/>
    <w:rsid w:val="6B2218FA"/>
    <w:rsid w:val="6B686C59"/>
    <w:rsid w:val="6B691672"/>
    <w:rsid w:val="6BE97F42"/>
    <w:rsid w:val="6BEE7306"/>
    <w:rsid w:val="6BF07522"/>
    <w:rsid w:val="6C3F3CAC"/>
    <w:rsid w:val="6C517895"/>
    <w:rsid w:val="6C5E6A51"/>
    <w:rsid w:val="6C6513C3"/>
    <w:rsid w:val="6C744268"/>
    <w:rsid w:val="6C913746"/>
    <w:rsid w:val="6CD62D03"/>
    <w:rsid w:val="6CD97FB6"/>
    <w:rsid w:val="6D0E5050"/>
    <w:rsid w:val="6D4B22B8"/>
    <w:rsid w:val="6D930013"/>
    <w:rsid w:val="6E1A1656"/>
    <w:rsid w:val="6E231DD6"/>
    <w:rsid w:val="6E2A4841"/>
    <w:rsid w:val="6E3F2AAB"/>
    <w:rsid w:val="6E5A5288"/>
    <w:rsid w:val="6E9F108C"/>
    <w:rsid w:val="6EE013EE"/>
    <w:rsid w:val="6EE079F1"/>
    <w:rsid w:val="6EE42C42"/>
    <w:rsid w:val="6F437969"/>
    <w:rsid w:val="6F7F7CB0"/>
    <w:rsid w:val="6FA052B9"/>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05184D"/>
    <w:rsid w:val="722922C6"/>
    <w:rsid w:val="72477770"/>
    <w:rsid w:val="72B8066E"/>
    <w:rsid w:val="72B9542A"/>
    <w:rsid w:val="72CB03A1"/>
    <w:rsid w:val="732D4B5D"/>
    <w:rsid w:val="73393C88"/>
    <w:rsid w:val="735B02C3"/>
    <w:rsid w:val="7362513F"/>
    <w:rsid w:val="73771D49"/>
    <w:rsid w:val="73A1354E"/>
    <w:rsid w:val="73C8383A"/>
    <w:rsid w:val="74357964"/>
    <w:rsid w:val="746E5488"/>
    <w:rsid w:val="74A11E7D"/>
    <w:rsid w:val="74DD6078"/>
    <w:rsid w:val="75590B0A"/>
    <w:rsid w:val="7582279F"/>
    <w:rsid w:val="75843EB5"/>
    <w:rsid w:val="75BB71AF"/>
    <w:rsid w:val="75EB18CD"/>
    <w:rsid w:val="75F01962"/>
    <w:rsid w:val="760E19DF"/>
    <w:rsid w:val="76557F3E"/>
    <w:rsid w:val="76676A53"/>
    <w:rsid w:val="76A3294D"/>
    <w:rsid w:val="76B620A1"/>
    <w:rsid w:val="76F20814"/>
    <w:rsid w:val="77462524"/>
    <w:rsid w:val="779A6594"/>
    <w:rsid w:val="77A113FB"/>
    <w:rsid w:val="77A21064"/>
    <w:rsid w:val="77E34EB2"/>
    <w:rsid w:val="781564B8"/>
    <w:rsid w:val="78224ACF"/>
    <w:rsid w:val="7825297D"/>
    <w:rsid w:val="78CD6DCC"/>
    <w:rsid w:val="78D07CAF"/>
    <w:rsid w:val="78DE12D7"/>
    <w:rsid w:val="79210683"/>
    <w:rsid w:val="7972370D"/>
    <w:rsid w:val="799C3465"/>
    <w:rsid w:val="79B14EC4"/>
    <w:rsid w:val="7A2A6B4A"/>
    <w:rsid w:val="7A681070"/>
    <w:rsid w:val="7A7A6828"/>
    <w:rsid w:val="7A860C7C"/>
    <w:rsid w:val="7AB879FE"/>
    <w:rsid w:val="7B22521E"/>
    <w:rsid w:val="7B3264DD"/>
    <w:rsid w:val="7B81188A"/>
    <w:rsid w:val="7B9E2902"/>
    <w:rsid w:val="7BC854E2"/>
    <w:rsid w:val="7BE2675B"/>
    <w:rsid w:val="7C0562EC"/>
    <w:rsid w:val="7C067A45"/>
    <w:rsid w:val="7C27683F"/>
    <w:rsid w:val="7C763BEE"/>
    <w:rsid w:val="7CB14B4D"/>
    <w:rsid w:val="7CF26969"/>
    <w:rsid w:val="7CF75832"/>
    <w:rsid w:val="7D25523C"/>
    <w:rsid w:val="7D697134"/>
    <w:rsid w:val="7DB23041"/>
    <w:rsid w:val="7DB54128"/>
    <w:rsid w:val="7E5F7809"/>
    <w:rsid w:val="7ED56C53"/>
    <w:rsid w:val="7EEA1BAF"/>
    <w:rsid w:val="7F5460D4"/>
    <w:rsid w:val="7F552892"/>
    <w:rsid w:val="7F945F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qFormat/>
    <w:uiPriority w:val="9"/>
    <w:pPr>
      <w:keepNext/>
      <w:keepLines/>
      <w:jc w:val="center"/>
      <w:outlineLvl w:val="0"/>
    </w:pPr>
    <w:rPr>
      <w:b/>
      <w:bCs/>
      <w:kern w:val="44"/>
      <w:sz w:val="36"/>
      <w:szCs w:val="44"/>
    </w:rPr>
  </w:style>
  <w:style w:type="paragraph" w:styleId="3">
    <w:name w:val="heading 2"/>
    <w:basedOn w:val="2"/>
    <w:next w:val="4"/>
    <w:link w:val="50"/>
    <w:autoRedefine/>
    <w:qFormat/>
    <w:uiPriority w:val="9"/>
    <w:pPr>
      <w:keepNext/>
      <w:keepLines/>
      <w:spacing w:line="360" w:lineRule="auto"/>
      <w:outlineLvl w:val="1"/>
    </w:pPr>
    <w:rPr>
      <w:rFonts w:ascii="Arial" w:hAnsi="Arial" w:eastAsia="宋体" w:cs="Times New Roman"/>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autoRedefine/>
    <w:semiHidden/>
    <w:unhideWhenUsed/>
    <w:qFormat/>
    <w:uiPriority w:val="1"/>
  </w:style>
  <w:style w:type="table" w:default="1" w:styleId="38">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link w:val="84"/>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7">
    <w:name w:val="toc 7"/>
    <w:basedOn w:val="1"/>
    <w:next w:val="1"/>
    <w:autoRedefine/>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72"/>
    <w:autoRedefine/>
    <w:qFormat/>
    <w:uiPriority w:val="0"/>
    <w:pPr>
      <w:shd w:val="clear" w:color="auto" w:fill="000080"/>
    </w:pPr>
    <w:rPr>
      <w:sz w:val="24"/>
    </w:rPr>
  </w:style>
  <w:style w:type="paragraph" w:styleId="10">
    <w:name w:val="toa heading"/>
    <w:basedOn w:val="1"/>
    <w:next w:val="1"/>
    <w:autoRedefine/>
    <w:qFormat/>
    <w:uiPriority w:val="99"/>
    <w:pPr>
      <w:spacing w:before="120"/>
    </w:pPr>
    <w:rPr>
      <w:rFonts w:ascii="Arial" w:hAnsi="Arial" w:eastAsia="宋体" w:cs="Arial"/>
      <w:sz w:val="24"/>
      <w:szCs w:val="24"/>
    </w:rPr>
  </w:style>
  <w:style w:type="paragraph" w:styleId="11">
    <w:name w:val="annotation text"/>
    <w:basedOn w:val="1"/>
    <w:link w:val="63"/>
    <w:qFormat/>
    <w:uiPriority w:val="0"/>
    <w:pPr>
      <w:jc w:val="left"/>
    </w:pPr>
  </w:style>
  <w:style w:type="paragraph" w:styleId="12">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3">
    <w:name w:val="Body Text Indent"/>
    <w:basedOn w:val="1"/>
    <w:link w:val="81"/>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autoRedefine/>
    <w:qFormat/>
    <w:uiPriority w:val="39"/>
    <w:pPr>
      <w:ind w:left="960"/>
      <w:jc w:val="left"/>
    </w:pPr>
    <w:rPr>
      <w:rFonts w:ascii="Calibri" w:hAnsi="Calibri" w:eastAsia="宋体" w:cs="Times New Roman"/>
      <w:sz w:val="18"/>
      <w:szCs w:val="18"/>
    </w:rPr>
  </w:style>
  <w:style w:type="paragraph" w:styleId="16">
    <w:name w:val="toc 3"/>
    <w:basedOn w:val="1"/>
    <w:next w:val="1"/>
    <w:autoRedefine/>
    <w:qFormat/>
    <w:uiPriority w:val="39"/>
    <w:pPr>
      <w:ind w:left="480"/>
      <w:jc w:val="left"/>
    </w:pPr>
    <w:rPr>
      <w:rFonts w:ascii="Calibri" w:hAnsi="Calibri" w:eastAsia="宋体" w:cs="Times New Roman"/>
      <w:i/>
      <w:iCs/>
      <w:sz w:val="20"/>
      <w:szCs w:val="20"/>
    </w:rPr>
  </w:style>
  <w:style w:type="paragraph" w:styleId="17">
    <w:name w:val="Plain Text"/>
    <w:basedOn w:val="1"/>
    <w:link w:val="74"/>
    <w:autoRedefine/>
    <w:qFormat/>
    <w:uiPriority w:val="0"/>
    <w:rPr>
      <w:rFonts w:ascii="宋体" w:hAnsi="Courier New"/>
    </w:rPr>
  </w:style>
  <w:style w:type="paragraph" w:styleId="18">
    <w:name w:val="toc 8"/>
    <w:basedOn w:val="1"/>
    <w:next w:val="1"/>
    <w:autoRedefine/>
    <w:qFormat/>
    <w:uiPriority w:val="39"/>
    <w:pPr>
      <w:ind w:left="1680"/>
      <w:jc w:val="left"/>
    </w:pPr>
    <w:rPr>
      <w:rFonts w:ascii="Calibri" w:hAnsi="Calibri" w:eastAsia="宋体" w:cs="Times New Roman"/>
      <w:sz w:val="18"/>
      <w:szCs w:val="18"/>
    </w:rPr>
  </w:style>
  <w:style w:type="paragraph" w:styleId="19">
    <w:name w:val="Date"/>
    <w:basedOn w:val="1"/>
    <w:next w:val="1"/>
    <w:link w:val="65"/>
    <w:autoRedefine/>
    <w:qFormat/>
    <w:uiPriority w:val="0"/>
    <w:pPr>
      <w:ind w:left="100" w:leftChars="2500"/>
    </w:pPr>
    <w:rPr>
      <w:sz w:val="24"/>
    </w:rPr>
  </w:style>
  <w:style w:type="paragraph" w:styleId="20">
    <w:name w:val="Body Text Indent 2"/>
    <w:basedOn w:val="1"/>
    <w:link w:val="53"/>
    <w:autoRedefine/>
    <w:qFormat/>
    <w:uiPriority w:val="0"/>
    <w:pPr>
      <w:spacing w:after="120" w:line="480" w:lineRule="auto"/>
      <w:ind w:left="420" w:leftChars="200"/>
    </w:pPr>
  </w:style>
  <w:style w:type="paragraph" w:styleId="21">
    <w:name w:val="Balloon Text"/>
    <w:basedOn w:val="1"/>
    <w:link w:val="69"/>
    <w:autoRedefine/>
    <w:qFormat/>
    <w:uiPriority w:val="0"/>
    <w:rPr>
      <w:sz w:val="18"/>
    </w:rPr>
  </w:style>
  <w:style w:type="paragraph" w:styleId="22">
    <w:name w:val="footer"/>
    <w:basedOn w:val="1"/>
    <w:link w:val="75"/>
    <w:autoRedefine/>
    <w:qFormat/>
    <w:uiPriority w:val="99"/>
    <w:pPr>
      <w:tabs>
        <w:tab w:val="center" w:pos="4153"/>
        <w:tab w:val="right" w:pos="8306"/>
      </w:tabs>
      <w:snapToGrid w:val="0"/>
      <w:jc w:val="left"/>
    </w:pPr>
    <w:rPr>
      <w:sz w:val="18"/>
    </w:rPr>
  </w:style>
  <w:style w:type="paragraph" w:styleId="23">
    <w:name w:val="header"/>
    <w:basedOn w:val="1"/>
    <w:link w:val="61"/>
    <w:autoRedefine/>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autoRedefine/>
    <w:qFormat/>
    <w:uiPriority w:val="39"/>
    <w:pPr>
      <w:ind w:left="720"/>
      <w:jc w:val="left"/>
    </w:pPr>
    <w:rPr>
      <w:rFonts w:ascii="Calibri" w:hAnsi="Calibri" w:eastAsia="宋体" w:cs="Times New Roman"/>
      <w:sz w:val="18"/>
      <w:szCs w:val="18"/>
    </w:rPr>
  </w:style>
  <w:style w:type="paragraph" w:styleId="26">
    <w:name w:val="Subtitle"/>
    <w:basedOn w:val="1"/>
    <w:autoRedefine/>
    <w:qFormat/>
    <w:uiPriority w:val="0"/>
    <w:pPr>
      <w:spacing w:before="240" w:after="60" w:line="312" w:lineRule="auto"/>
      <w:jc w:val="center"/>
      <w:outlineLvl w:val="1"/>
    </w:pPr>
    <w:rPr>
      <w:rFonts w:ascii="Cambria" w:hAnsi="Cambria"/>
      <w:b/>
      <w:bCs/>
      <w:kern w:val="28"/>
      <w:sz w:val="32"/>
      <w:szCs w:val="32"/>
    </w:rPr>
  </w:style>
  <w:style w:type="paragraph" w:styleId="27">
    <w:name w:val="List"/>
    <w:basedOn w:val="1"/>
    <w:autoRedefine/>
    <w:qFormat/>
    <w:uiPriority w:val="99"/>
    <w:pPr>
      <w:ind w:left="420" w:hanging="420"/>
    </w:pPr>
    <w:rPr>
      <w:rFonts w:ascii="Times New Roman" w:hAnsi="Times New Roman" w:eastAsia="宋体" w:cs="Times New Roman"/>
      <w:szCs w:val="20"/>
    </w:rPr>
  </w:style>
  <w:style w:type="paragraph" w:styleId="28">
    <w:name w:val="toc 6"/>
    <w:basedOn w:val="1"/>
    <w:next w:val="1"/>
    <w:autoRedefine/>
    <w:qFormat/>
    <w:uiPriority w:val="39"/>
    <w:pPr>
      <w:ind w:left="1200"/>
      <w:jc w:val="left"/>
    </w:pPr>
    <w:rPr>
      <w:rFonts w:ascii="Calibri" w:hAnsi="Calibri" w:eastAsia="宋体" w:cs="Times New Roman"/>
      <w:sz w:val="18"/>
      <w:szCs w:val="18"/>
    </w:rPr>
  </w:style>
  <w:style w:type="paragraph" w:styleId="29">
    <w:name w:val="Body Text Indent 3"/>
    <w:basedOn w:val="1"/>
    <w:link w:val="55"/>
    <w:autoRedefine/>
    <w:qFormat/>
    <w:uiPriority w:val="0"/>
    <w:pPr>
      <w:spacing w:after="120"/>
      <w:ind w:left="420" w:leftChars="200"/>
    </w:pPr>
    <w:rPr>
      <w:sz w:val="16"/>
    </w:rPr>
  </w:style>
  <w:style w:type="paragraph" w:styleId="30">
    <w:name w:val="index 9"/>
    <w:basedOn w:val="1"/>
    <w:next w:val="1"/>
    <w:autoRedefine/>
    <w:unhideWhenUsed/>
    <w:qFormat/>
    <w:uiPriority w:val="0"/>
    <w:pPr>
      <w:ind w:left="2520" w:hanging="280"/>
    </w:pPr>
    <w:rPr>
      <w:rFonts w:eastAsia="仿宋"/>
      <w:sz w:val="28"/>
    </w:rPr>
  </w:style>
  <w:style w:type="paragraph" w:styleId="31">
    <w:name w:val="toc 2"/>
    <w:basedOn w:val="1"/>
    <w:next w:val="1"/>
    <w:autoRedefine/>
    <w:unhideWhenUsed/>
    <w:qFormat/>
    <w:uiPriority w:val="39"/>
    <w:pPr>
      <w:ind w:left="420" w:leftChars="200"/>
    </w:pPr>
    <w:rPr>
      <w:rFonts w:ascii="Calibri" w:hAnsi="Calibri" w:eastAsia="宋体" w:cs="Times New Roman"/>
      <w:szCs w:val="20"/>
    </w:rPr>
  </w:style>
  <w:style w:type="paragraph" w:styleId="32">
    <w:name w:val="toc 9"/>
    <w:basedOn w:val="1"/>
    <w:next w:val="1"/>
    <w:autoRedefine/>
    <w:qFormat/>
    <w:uiPriority w:val="39"/>
    <w:pPr>
      <w:ind w:left="1920"/>
      <w:jc w:val="left"/>
    </w:pPr>
    <w:rPr>
      <w:rFonts w:ascii="Calibri" w:hAnsi="Calibri" w:eastAsia="宋体" w:cs="Times New Roman"/>
      <w:sz w:val="18"/>
      <w:szCs w:val="18"/>
    </w:rPr>
  </w:style>
  <w:style w:type="paragraph" w:styleId="33">
    <w:name w:val="Normal (Web)"/>
    <w:basedOn w:val="1"/>
    <w:autoRedefine/>
    <w:qFormat/>
    <w:uiPriority w:val="99"/>
    <w:rPr>
      <w:rFonts w:ascii="Calibri" w:hAnsi="Calibri" w:eastAsia="宋体" w:cs="Times New Roman"/>
      <w:sz w:val="24"/>
      <w:szCs w:val="20"/>
    </w:rPr>
  </w:style>
  <w:style w:type="paragraph" w:styleId="34">
    <w:name w:val="index 1"/>
    <w:basedOn w:val="1"/>
    <w:next w:val="1"/>
    <w:autoRedefine/>
    <w:qFormat/>
    <w:uiPriority w:val="99"/>
    <w:rPr>
      <w:rFonts w:ascii="Calibri" w:hAnsi="Calibri" w:eastAsia="宋体" w:cs="Times New Roman"/>
      <w:sz w:val="24"/>
      <w:szCs w:val="24"/>
    </w:rPr>
  </w:style>
  <w:style w:type="paragraph" w:styleId="35">
    <w:name w:val="Title"/>
    <w:basedOn w:val="1"/>
    <w:next w:val="1"/>
    <w:link w:val="64"/>
    <w:autoRedefine/>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1"/>
    <w:next w:val="11"/>
    <w:link w:val="54"/>
    <w:autoRedefine/>
    <w:qFormat/>
    <w:uiPriority w:val="0"/>
    <w:rPr>
      <w:b/>
    </w:rPr>
  </w:style>
  <w:style w:type="paragraph" w:styleId="37">
    <w:name w:val="Body Text First Indent 2"/>
    <w:basedOn w:val="13"/>
    <w:autoRedefine/>
    <w:semiHidden/>
    <w:qFormat/>
    <w:uiPriority w:val="99"/>
    <w:pPr>
      <w:spacing w:line="276" w:lineRule="auto"/>
      <w:ind w:firstLine="420" w:firstLineChars="200"/>
      <w:jc w:val="left"/>
    </w:pPr>
  </w:style>
  <w:style w:type="table" w:styleId="39">
    <w:name w:val="Table Grid"/>
    <w:basedOn w:val="38"/>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autoRedefine/>
    <w:qFormat/>
    <w:uiPriority w:val="22"/>
    <w:rPr>
      <w:b/>
    </w:rPr>
  </w:style>
  <w:style w:type="character" w:styleId="42">
    <w:name w:val="page number"/>
    <w:basedOn w:val="40"/>
    <w:autoRedefine/>
    <w:qFormat/>
    <w:uiPriority w:val="99"/>
    <w:rPr>
      <w:rFonts w:cs="Times New Roman"/>
    </w:rPr>
  </w:style>
  <w:style w:type="character" w:styleId="43">
    <w:name w:val="FollowedHyperlink"/>
    <w:basedOn w:val="40"/>
    <w:autoRedefine/>
    <w:qFormat/>
    <w:uiPriority w:val="99"/>
    <w:rPr>
      <w:color w:val="800080"/>
      <w:u w:val="single"/>
    </w:rPr>
  </w:style>
  <w:style w:type="character" w:styleId="44">
    <w:name w:val="Emphasis"/>
    <w:autoRedefine/>
    <w:qFormat/>
    <w:uiPriority w:val="99"/>
    <w:rPr>
      <w:rFonts w:cs="Times New Roman"/>
      <w:color w:val="auto"/>
    </w:rPr>
  </w:style>
  <w:style w:type="character" w:styleId="45">
    <w:name w:val="HTML Acronym"/>
    <w:basedOn w:val="40"/>
    <w:autoRedefine/>
    <w:qFormat/>
    <w:uiPriority w:val="99"/>
  </w:style>
  <w:style w:type="character" w:styleId="46">
    <w:name w:val="Hyperlink"/>
    <w:basedOn w:val="40"/>
    <w:autoRedefine/>
    <w:qFormat/>
    <w:uiPriority w:val="99"/>
    <w:rPr>
      <w:color w:val="1F4F88"/>
      <w:u w:val="none"/>
    </w:rPr>
  </w:style>
  <w:style w:type="character" w:styleId="47">
    <w:name w:val="annotation reference"/>
    <w:basedOn w:val="40"/>
    <w:autoRedefine/>
    <w:qFormat/>
    <w:uiPriority w:val="99"/>
    <w:rPr>
      <w:sz w:val="21"/>
    </w:rPr>
  </w:style>
  <w:style w:type="paragraph" w:customStyle="1" w:styleId="48">
    <w:name w:val="首行缩进"/>
    <w:basedOn w:val="1"/>
    <w:autoRedefine/>
    <w:qFormat/>
    <w:uiPriority w:val="0"/>
    <w:pPr>
      <w:ind w:firstLine="480" w:firstLineChars="200"/>
    </w:pPr>
    <w:rPr>
      <w:lang w:val="zh-CN"/>
    </w:rPr>
  </w:style>
  <w:style w:type="character" w:customStyle="1" w:styleId="49">
    <w:name w:val="标题 1 字符"/>
    <w:basedOn w:val="40"/>
    <w:link w:val="2"/>
    <w:autoRedefine/>
    <w:qFormat/>
    <w:uiPriority w:val="9"/>
    <w:rPr>
      <w:rFonts w:ascii="Calibri" w:hAnsi="Calibri" w:eastAsia="宋体" w:cs="Times New Roman"/>
      <w:b/>
      <w:bCs/>
      <w:kern w:val="44"/>
      <w:sz w:val="36"/>
      <w:szCs w:val="44"/>
    </w:rPr>
  </w:style>
  <w:style w:type="character" w:customStyle="1" w:styleId="50">
    <w:name w:val="标题 2 字符"/>
    <w:basedOn w:val="40"/>
    <w:link w:val="3"/>
    <w:autoRedefine/>
    <w:qFormat/>
    <w:uiPriority w:val="9"/>
    <w:rPr>
      <w:rFonts w:ascii="Arial" w:hAnsi="Arial" w:eastAsia="宋体" w:cs="Times New Roman"/>
      <w:b/>
      <w:bCs/>
      <w:sz w:val="24"/>
      <w:szCs w:val="32"/>
    </w:rPr>
  </w:style>
  <w:style w:type="character" w:customStyle="1" w:styleId="51">
    <w:name w:val="标题 3 字符"/>
    <w:basedOn w:val="40"/>
    <w:link w:val="5"/>
    <w:autoRedefine/>
    <w:semiHidden/>
    <w:qFormat/>
    <w:uiPriority w:val="9"/>
    <w:rPr>
      <w:rFonts w:ascii="Calibri" w:hAnsi="Calibri" w:eastAsia="宋体" w:cs="Times New Roman"/>
      <w:b/>
      <w:bCs/>
      <w:sz w:val="32"/>
      <w:szCs w:val="32"/>
    </w:rPr>
  </w:style>
  <w:style w:type="character" w:customStyle="1" w:styleId="52">
    <w:name w:val="Char Char3"/>
    <w:autoRedefine/>
    <w:qFormat/>
    <w:uiPriority w:val="0"/>
    <w:rPr>
      <w:rFonts w:ascii="宋体" w:hAnsi="Courier New" w:eastAsia="宋体"/>
      <w:kern w:val="2"/>
      <w:sz w:val="21"/>
      <w:lang w:val="en-US" w:eastAsia="zh-CN"/>
    </w:rPr>
  </w:style>
  <w:style w:type="character" w:customStyle="1" w:styleId="53">
    <w:name w:val="正文文本缩进 2 字符"/>
    <w:link w:val="20"/>
    <w:autoRedefine/>
    <w:qFormat/>
    <w:locked/>
    <w:uiPriority w:val="0"/>
  </w:style>
  <w:style w:type="character" w:customStyle="1" w:styleId="54">
    <w:name w:val="批注主题 字符"/>
    <w:link w:val="36"/>
    <w:autoRedefine/>
    <w:qFormat/>
    <w:locked/>
    <w:uiPriority w:val="0"/>
    <w:rPr>
      <w:b/>
    </w:rPr>
  </w:style>
  <w:style w:type="character" w:customStyle="1" w:styleId="55">
    <w:name w:val="正文文本缩进 3 字符"/>
    <w:link w:val="29"/>
    <w:autoRedefine/>
    <w:qFormat/>
    <w:locked/>
    <w:uiPriority w:val="0"/>
    <w:rPr>
      <w:sz w:val="16"/>
    </w:rPr>
  </w:style>
  <w:style w:type="character" w:customStyle="1" w:styleId="56">
    <w:name w:val="纯文本 Char"/>
    <w:autoRedefine/>
    <w:qFormat/>
    <w:uiPriority w:val="0"/>
    <w:rPr>
      <w:rFonts w:ascii="宋体" w:hAnsi="Courier New" w:eastAsia="宋体"/>
      <w:kern w:val="2"/>
      <w:sz w:val="21"/>
      <w:lang w:val="en-US" w:eastAsia="zh-CN"/>
    </w:rPr>
  </w:style>
  <w:style w:type="character" w:customStyle="1" w:styleId="57">
    <w:name w:val="Char Char2"/>
    <w:autoRedefine/>
    <w:qFormat/>
    <w:uiPriority w:val="0"/>
    <w:rPr>
      <w:rFonts w:ascii="宋体" w:hAnsi="Courier New"/>
      <w:kern w:val="2"/>
      <w:sz w:val="21"/>
    </w:rPr>
  </w:style>
  <w:style w:type="character" w:customStyle="1" w:styleId="58">
    <w:name w:val="列出段落 字符"/>
    <w:link w:val="59"/>
    <w:autoRedefine/>
    <w:qFormat/>
    <w:locked/>
    <w:uiPriority w:val="34"/>
    <w:rPr>
      <w:sz w:val="22"/>
    </w:rPr>
  </w:style>
  <w:style w:type="paragraph" w:customStyle="1" w:styleId="59">
    <w:name w:val="列出段落1"/>
    <w:basedOn w:val="1"/>
    <w:link w:val="58"/>
    <w:autoRedefine/>
    <w:qFormat/>
    <w:uiPriority w:val="34"/>
    <w:pPr>
      <w:ind w:firstLine="420" w:firstLineChars="200"/>
    </w:pPr>
    <w:rPr>
      <w:sz w:val="22"/>
    </w:rPr>
  </w:style>
  <w:style w:type="character" w:customStyle="1" w:styleId="60">
    <w:name w:val="apple-converted-space"/>
    <w:basedOn w:val="40"/>
    <w:autoRedefine/>
    <w:qFormat/>
    <w:uiPriority w:val="0"/>
    <w:rPr>
      <w:rFonts w:cs="Times New Roman"/>
    </w:rPr>
  </w:style>
  <w:style w:type="character" w:customStyle="1" w:styleId="61">
    <w:name w:val="页眉 字符"/>
    <w:link w:val="23"/>
    <w:autoRedefine/>
    <w:qFormat/>
    <w:locked/>
    <w:uiPriority w:val="0"/>
    <w:rPr>
      <w:sz w:val="18"/>
    </w:rPr>
  </w:style>
  <w:style w:type="character" w:customStyle="1" w:styleId="62">
    <w:name w:val="BODY TEXT Char"/>
    <w:autoRedefine/>
    <w:qFormat/>
    <w:locked/>
    <w:uiPriority w:val="0"/>
    <w:rPr>
      <w:rFonts w:eastAsia="新宋体"/>
      <w:kern w:val="2"/>
      <w:sz w:val="21"/>
    </w:rPr>
  </w:style>
  <w:style w:type="character" w:customStyle="1" w:styleId="63">
    <w:name w:val="批注文字 字符"/>
    <w:link w:val="11"/>
    <w:autoRedefine/>
    <w:qFormat/>
    <w:locked/>
    <w:uiPriority w:val="0"/>
  </w:style>
  <w:style w:type="character" w:customStyle="1" w:styleId="64">
    <w:name w:val="标题 字符"/>
    <w:link w:val="35"/>
    <w:autoRedefine/>
    <w:qFormat/>
    <w:locked/>
    <w:uiPriority w:val="0"/>
    <w:rPr>
      <w:rFonts w:ascii="Arial" w:hAnsi="Arial"/>
      <w:b/>
      <w:sz w:val="32"/>
    </w:rPr>
  </w:style>
  <w:style w:type="character" w:customStyle="1" w:styleId="65">
    <w:name w:val="日期 字符"/>
    <w:link w:val="19"/>
    <w:autoRedefine/>
    <w:qFormat/>
    <w:locked/>
    <w:uiPriority w:val="0"/>
    <w:rPr>
      <w:sz w:val="24"/>
    </w:rPr>
  </w:style>
  <w:style w:type="character" w:customStyle="1" w:styleId="66">
    <w:name w:val="ATXT_Bullets Zchn"/>
    <w:link w:val="67"/>
    <w:autoRedefine/>
    <w:qFormat/>
    <w:locked/>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字符"/>
    <w:link w:val="21"/>
    <w:autoRedefine/>
    <w:qFormat/>
    <w:locked/>
    <w:uiPriority w:val="0"/>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字符"/>
    <w:link w:val="9"/>
    <w:autoRedefine/>
    <w:qFormat/>
    <w:locked/>
    <w:uiPriority w:val="0"/>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字符"/>
    <w:link w:val="17"/>
    <w:autoRedefine/>
    <w:qFormat/>
    <w:locked/>
    <w:uiPriority w:val="0"/>
    <w:rPr>
      <w:rFonts w:ascii="宋体" w:hAnsi="Courier New"/>
    </w:rPr>
  </w:style>
  <w:style w:type="character" w:customStyle="1" w:styleId="75">
    <w:name w:val="页脚 字符"/>
    <w:link w:val="22"/>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0"/>
    <w:semiHidden/>
    <w:qFormat/>
    <w:uiPriority w:val="99"/>
  </w:style>
  <w:style w:type="character" w:customStyle="1" w:styleId="80">
    <w:name w:val="批注文字 字符11"/>
    <w:basedOn w:val="40"/>
    <w:qFormat/>
    <w:uiPriority w:val="0"/>
    <w:rPr>
      <w:rFonts w:cs="Times New Roman"/>
      <w:kern w:val="2"/>
      <w:sz w:val="21"/>
    </w:rPr>
  </w:style>
  <w:style w:type="character" w:customStyle="1" w:styleId="81">
    <w:name w:val="正文文本缩进 字符"/>
    <w:basedOn w:val="40"/>
    <w:link w:val="13"/>
    <w:qFormat/>
    <w:uiPriority w:val="99"/>
    <w:rPr>
      <w:rFonts w:ascii="Calibri" w:hAnsi="Calibri" w:eastAsia="宋体" w:cs="Times New Roman"/>
      <w:szCs w:val="20"/>
    </w:rPr>
  </w:style>
  <w:style w:type="character" w:customStyle="1" w:styleId="82">
    <w:name w:val="文档结构图 字符1"/>
    <w:basedOn w:val="40"/>
    <w:semiHidden/>
    <w:qFormat/>
    <w:uiPriority w:val="99"/>
    <w:rPr>
      <w:rFonts w:ascii="Microsoft YaHei UI" w:eastAsia="Microsoft YaHei UI"/>
      <w:sz w:val="18"/>
      <w:szCs w:val="18"/>
    </w:rPr>
  </w:style>
  <w:style w:type="character" w:customStyle="1" w:styleId="83">
    <w:name w:val="文档结构图 字符11"/>
    <w:basedOn w:val="40"/>
    <w:semiHidden/>
    <w:qFormat/>
    <w:uiPriority w:val="99"/>
    <w:rPr>
      <w:rFonts w:ascii="Microsoft YaHei UI" w:eastAsia="Microsoft YaHei UI" w:cs="Times New Roman"/>
      <w:kern w:val="2"/>
      <w:sz w:val="18"/>
      <w:szCs w:val="18"/>
    </w:rPr>
  </w:style>
  <w:style w:type="character" w:customStyle="1" w:styleId="84">
    <w:name w:val="正文文本 字符"/>
    <w:basedOn w:val="40"/>
    <w:link w:val="4"/>
    <w:qFormat/>
    <w:uiPriority w:val="99"/>
    <w:rPr>
      <w:rFonts w:ascii="Calibri" w:hAnsi="Calibri" w:eastAsia="新宋体" w:cs="Times New Roman"/>
      <w:szCs w:val="21"/>
    </w:rPr>
  </w:style>
  <w:style w:type="character" w:customStyle="1" w:styleId="85">
    <w:name w:val="纯文本 字符1"/>
    <w:basedOn w:val="40"/>
    <w:semiHidden/>
    <w:qFormat/>
    <w:uiPriority w:val="99"/>
    <w:rPr>
      <w:rFonts w:hAnsi="Courier New" w:cs="Courier New" w:asciiTheme="minorEastAsia"/>
    </w:rPr>
  </w:style>
  <w:style w:type="character" w:customStyle="1" w:styleId="86">
    <w:name w:val="纯文本 字符11"/>
    <w:basedOn w:val="40"/>
    <w:qFormat/>
    <w:uiPriority w:val="0"/>
    <w:rPr>
      <w:rFonts w:hAnsi="Courier New" w:cs="Courier New" w:asciiTheme="minorEastAsia" w:eastAsiaTheme="minorEastAsia"/>
      <w:kern w:val="2"/>
      <w:sz w:val="21"/>
    </w:rPr>
  </w:style>
  <w:style w:type="character" w:customStyle="1" w:styleId="87">
    <w:name w:val="页眉 字符1"/>
    <w:basedOn w:val="40"/>
    <w:semiHidden/>
    <w:qFormat/>
    <w:uiPriority w:val="99"/>
    <w:rPr>
      <w:sz w:val="18"/>
      <w:szCs w:val="18"/>
    </w:rPr>
  </w:style>
  <w:style w:type="character" w:customStyle="1" w:styleId="88">
    <w:name w:val="页眉 字符11"/>
    <w:basedOn w:val="40"/>
    <w:semiHidden/>
    <w:qFormat/>
    <w:uiPriority w:val="99"/>
    <w:rPr>
      <w:rFonts w:cs="Times New Roman"/>
      <w:kern w:val="2"/>
      <w:sz w:val="18"/>
      <w:szCs w:val="18"/>
    </w:rPr>
  </w:style>
  <w:style w:type="character" w:customStyle="1" w:styleId="89">
    <w:name w:val="批注框文本 字符1"/>
    <w:basedOn w:val="40"/>
    <w:semiHidden/>
    <w:qFormat/>
    <w:uiPriority w:val="99"/>
    <w:rPr>
      <w:sz w:val="18"/>
      <w:szCs w:val="18"/>
    </w:rPr>
  </w:style>
  <w:style w:type="character" w:customStyle="1" w:styleId="90">
    <w:name w:val="批注框文本 字符11"/>
    <w:basedOn w:val="40"/>
    <w:semiHidden/>
    <w:qFormat/>
    <w:uiPriority w:val="99"/>
    <w:rPr>
      <w:rFonts w:cs="Times New Roman"/>
      <w:kern w:val="2"/>
      <w:sz w:val="18"/>
      <w:szCs w:val="18"/>
    </w:rPr>
  </w:style>
  <w:style w:type="character" w:customStyle="1" w:styleId="91">
    <w:name w:val="日期 字符1"/>
    <w:basedOn w:val="40"/>
    <w:semiHidden/>
    <w:qFormat/>
    <w:uiPriority w:val="99"/>
  </w:style>
  <w:style w:type="character" w:customStyle="1" w:styleId="92">
    <w:name w:val="日期 字符11"/>
    <w:basedOn w:val="40"/>
    <w:semiHidden/>
    <w:qFormat/>
    <w:uiPriority w:val="99"/>
    <w:rPr>
      <w:rFonts w:cs="Times New Roman"/>
      <w:kern w:val="2"/>
      <w:sz w:val="21"/>
    </w:rPr>
  </w:style>
  <w:style w:type="character" w:customStyle="1" w:styleId="93">
    <w:name w:val="页脚 字符1"/>
    <w:basedOn w:val="40"/>
    <w:semiHidden/>
    <w:qFormat/>
    <w:uiPriority w:val="99"/>
    <w:rPr>
      <w:sz w:val="18"/>
      <w:szCs w:val="18"/>
    </w:rPr>
  </w:style>
  <w:style w:type="character" w:customStyle="1" w:styleId="94">
    <w:name w:val="页脚 字符11"/>
    <w:basedOn w:val="40"/>
    <w:semiHidden/>
    <w:qFormat/>
    <w:uiPriority w:val="99"/>
    <w:rPr>
      <w:rFonts w:cs="Times New Roman"/>
      <w:kern w:val="2"/>
      <w:sz w:val="18"/>
      <w:szCs w:val="18"/>
    </w:rPr>
  </w:style>
  <w:style w:type="character" w:customStyle="1" w:styleId="95">
    <w:name w:val="正文文本缩进 2 字符1"/>
    <w:basedOn w:val="40"/>
    <w:semiHidden/>
    <w:qFormat/>
    <w:uiPriority w:val="99"/>
  </w:style>
  <w:style w:type="character" w:customStyle="1" w:styleId="96">
    <w:name w:val="正文文本缩进 2 字符11"/>
    <w:basedOn w:val="40"/>
    <w:semiHidden/>
    <w:qFormat/>
    <w:uiPriority w:val="99"/>
    <w:rPr>
      <w:rFonts w:cs="Times New Roman"/>
      <w:kern w:val="2"/>
      <w:sz w:val="21"/>
    </w:rPr>
  </w:style>
  <w:style w:type="character" w:customStyle="1" w:styleId="97">
    <w:name w:val="正文文本缩进 3 字符1"/>
    <w:basedOn w:val="40"/>
    <w:semiHidden/>
    <w:qFormat/>
    <w:uiPriority w:val="99"/>
    <w:rPr>
      <w:sz w:val="16"/>
      <w:szCs w:val="16"/>
    </w:rPr>
  </w:style>
  <w:style w:type="character" w:customStyle="1" w:styleId="98">
    <w:name w:val="正文文本缩进 3 字符11"/>
    <w:basedOn w:val="40"/>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0"/>
    <w:qFormat/>
    <w:uiPriority w:val="10"/>
    <w:rPr>
      <w:rFonts w:asciiTheme="majorHAnsi" w:hAnsiTheme="majorHAnsi" w:eastAsiaTheme="majorEastAsia" w:cstheme="majorBidi"/>
      <w:b/>
      <w:bCs/>
      <w:sz w:val="32"/>
      <w:szCs w:val="32"/>
    </w:rPr>
  </w:style>
  <w:style w:type="character" w:customStyle="1" w:styleId="102">
    <w:name w:val="标题 字符11"/>
    <w:basedOn w:val="40"/>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05"/>
    <w:next w:val="107"/>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章标题"/>
    <w:next w:val="106"/>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10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7">
    <w:name w:val="0"/>
    <w:basedOn w:val="106"/>
    <w:qFormat/>
    <w:uiPriority w:val="0"/>
  </w:style>
  <w:style w:type="paragraph" w:customStyle="1" w:styleId="108">
    <w:name w:val="二级列表 Char"/>
    <w:basedOn w:val="1"/>
    <w:qFormat/>
    <w:uiPriority w:val="0"/>
    <w:rPr>
      <w:rFonts w:ascii="Calibri" w:hAnsi="Calibri" w:eastAsia="宋体" w:cs="Times New Roman"/>
      <w:szCs w:val="20"/>
    </w:rPr>
  </w:style>
  <w:style w:type="paragraph" w:customStyle="1" w:styleId="109">
    <w:name w:val="2"/>
    <w:basedOn w:val="110"/>
    <w:next w:val="107"/>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一级条标题"/>
    <w:basedOn w:val="105"/>
    <w:next w:val="106"/>
    <w:qFormat/>
    <w:uiPriority w:val="0"/>
    <w:pPr>
      <w:numPr>
        <w:ilvl w:val="2"/>
      </w:numPr>
      <w:spacing w:beforeLines="0" w:afterLines="0"/>
      <w:outlineLvl w:val="2"/>
    </w:pPr>
  </w:style>
  <w:style w:type="paragraph" w:customStyle="1" w:styleId="111">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2">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3">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4">
    <w:name w:val="Char Char Char Char Char Char Char"/>
    <w:basedOn w:val="1"/>
    <w:qFormat/>
    <w:uiPriority w:val="0"/>
    <w:rPr>
      <w:rFonts w:ascii="Verdana" w:hAnsi="Verdana" w:eastAsia="宋体" w:cs="Times New Roman"/>
      <w:kern w:val="0"/>
      <w:sz w:val="20"/>
      <w:szCs w:val="20"/>
      <w:lang w:eastAsia="en-US"/>
    </w:rPr>
  </w:style>
  <w:style w:type="paragraph" w:customStyle="1" w:styleId="115">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6">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7">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8">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9">
    <w:name w:val="标书正文格式"/>
    <w:basedOn w:val="17"/>
    <w:link w:val="121"/>
    <w:qFormat/>
    <w:uiPriority w:val="0"/>
    <w:pPr>
      <w:spacing w:line="360" w:lineRule="auto"/>
      <w:ind w:firstLine="200" w:firstLineChars="200"/>
    </w:pPr>
    <w:rPr>
      <w:rFonts w:hAnsi="宋体"/>
      <w:color w:val="000000"/>
      <w:sz w:val="24"/>
      <w:szCs w:val="24"/>
    </w:rPr>
  </w:style>
  <w:style w:type="paragraph" w:customStyle="1" w:styleId="120">
    <w:name w:val="标书二级标题"/>
    <w:basedOn w:val="3"/>
    <w:link w:val="123"/>
    <w:qFormat/>
    <w:uiPriority w:val="0"/>
    <w:pPr>
      <w:spacing w:line="240" w:lineRule="auto"/>
      <w:jc w:val="left"/>
    </w:pPr>
    <w:rPr>
      <w:rFonts w:ascii="宋体" w:hAnsi="宋体" w:eastAsia="黑体"/>
      <w:b w:val="0"/>
      <w:sz w:val="28"/>
      <w:szCs w:val="30"/>
    </w:rPr>
  </w:style>
  <w:style w:type="character" w:customStyle="1" w:styleId="121">
    <w:name w:val="标书正文格式 字符"/>
    <w:link w:val="119"/>
    <w:qFormat/>
    <w:locked/>
    <w:uiPriority w:val="0"/>
    <w:rPr>
      <w:rFonts w:ascii="宋体" w:hAnsi="宋体"/>
      <w:color w:val="000000"/>
      <w:sz w:val="24"/>
      <w:szCs w:val="24"/>
    </w:rPr>
  </w:style>
  <w:style w:type="paragraph" w:customStyle="1" w:styleId="122">
    <w:name w:val="标书表格"/>
    <w:basedOn w:val="1"/>
    <w:link w:val="124"/>
    <w:qFormat/>
    <w:uiPriority w:val="0"/>
    <w:pPr>
      <w:jc w:val="center"/>
    </w:pPr>
    <w:rPr>
      <w:rFonts w:ascii="Times New Roman" w:hAnsi="Times New Roman" w:eastAsia="宋体" w:cs="Times New Roman"/>
      <w:b/>
      <w:szCs w:val="20"/>
    </w:rPr>
  </w:style>
  <w:style w:type="character" w:customStyle="1" w:styleId="123">
    <w:name w:val="标书二级标题 字符"/>
    <w:link w:val="120"/>
    <w:qFormat/>
    <w:locked/>
    <w:uiPriority w:val="0"/>
    <w:rPr>
      <w:rFonts w:ascii="宋体" w:hAnsi="宋体" w:eastAsia="黑体" w:cs="Times New Roman"/>
      <w:bCs/>
      <w:sz w:val="28"/>
      <w:szCs w:val="30"/>
    </w:rPr>
  </w:style>
  <w:style w:type="character" w:customStyle="1" w:styleId="124">
    <w:name w:val="标书表格 字符"/>
    <w:link w:val="122"/>
    <w:qFormat/>
    <w:locked/>
    <w:uiPriority w:val="0"/>
    <w:rPr>
      <w:rFonts w:ascii="Times New Roman" w:hAnsi="Times New Roman" w:eastAsia="宋体" w:cs="Times New Roman"/>
      <w:b/>
      <w:szCs w:val="20"/>
    </w:rPr>
  </w:style>
  <w:style w:type="paragraph" w:customStyle="1" w:styleId="125">
    <w:name w:val="标书三级标题"/>
    <w:basedOn w:val="5"/>
    <w:next w:val="119"/>
    <w:link w:val="126"/>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6">
    <w:name w:val="标书三级标题 字符"/>
    <w:link w:val="125"/>
    <w:qFormat/>
    <w:locked/>
    <w:uiPriority w:val="0"/>
    <w:rPr>
      <w:rFonts w:ascii="Times New Roman" w:hAnsi="Times New Roman" w:eastAsia="宋体" w:cs="Times New Roman"/>
      <w:b/>
      <w:bCs/>
      <w:color w:val="000000"/>
      <w:sz w:val="24"/>
      <w:szCs w:val="24"/>
    </w:rPr>
  </w:style>
  <w:style w:type="character" w:customStyle="1" w:styleId="127">
    <w:name w:val="标三级标题 字符"/>
    <w:link w:val="128"/>
    <w:qFormat/>
    <w:locked/>
    <w:uiPriority w:val="0"/>
    <w:rPr>
      <w:b/>
      <w:color w:val="000000"/>
      <w:sz w:val="24"/>
    </w:rPr>
  </w:style>
  <w:style w:type="paragraph" w:customStyle="1" w:styleId="128">
    <w:name w:val="标三级标题"/>
    <w:basedOn w:val="125"/>
    <w:link w:val="127"/>
    <w:qFormat/>
    <w:uiPriority w:val="0"/>
    <w:rPr>
      <w:rFonts w:asciiTheme="minorHAnsi" w:hAnsiTheme="minorHAnsi" w:eastAsiaTheme="minorEastAsia" w:cstheme="minorBidi"/>
      <w:bCs w:val="0"/>
      <w:szCs w:val="22"/>
    </w:rPr>
  </w:style>
  <w:style w:type="character" w:customStyle="1" w:styleId="129">
    <w:name w:val="标正文 字符"/>
    <w:link w:val="130"/>
    <w:qFormat/>
    <w:locked/>
    <w:uiPriority w:val="0"/>
    <w:rPr>
      <w:rFonts w:ascii="宋体" w:eastAsia="宋体"/>
      <w:color w:val="000000"/>
      <w:sz w:val="24"/>
    </w:rPr>
  </w:style>
  <w:style w:type="paragraph" w:customStyle="1" w:styleId="130">
    <w:name w:val="标正文"/>
    <w:basedOn w:val="119"/>
    <w:link w:val="129"/>
    <w:qFormat/>
    <w:uiPriority w:val="0"/>
    <w:pPr>
      <w:ind w:firstLine="480"/>
    </w:pPr>
    <w:rPr>
      <w:rFonts w:eastAsia="宋体" w:hAnsiTheme="minorHAnsi"/>
      <w:szCs w:val="22"/>
    </w:rPr>
  </w:style>
  <w:style w:type="paragraph" w:customStyle="1" w:styleId="131">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2">
    <w:name w:val="HR正文表格"/>
    <w:basedOn w:val="1"/>
    <w:qFormat/>
    <w:uiPriority w:val="0"/>
    <w:pPr>
      <w:spacing w:beforeLines="25" w:afterLines="25" w:line="300" w:lineRule="auto"/>
    </w:pPr>
    <w:rPr>
      <w:szCs w:val="24"/>
    </w:rPr>
  </w:style>
  <w:style w:type="paragraph" w:styleId="133">
    <w:name w:val="List Paragraph"/>
    <w:basedOn w:val="1"/>
    <w:qFormat/>
    <w:uiPriority w:val="99"/>
    <w:pPr>
      <w:ind w:firstLine="420" w:firstLineChars="200"/>
    </w:pPr>
  </w:style>
  <w:style w:type="paragraph" w:customStyle="1" w:styleId="134">
    <w:name w:val="WPSOffice手动目录 1"/>
    <w:qFormat/>
    <w:uiPriority w:val="0"/>
    <w:rPr>
      <w:rFonts w:ascii="Times New Roman" w:hAnsi="Times New Roman" w:eastAsia="宋体" w:cs="Times New Roman"/>
      <w:lang w:val="en-US" w:eastAsia="zh-CN" w:bidi="ar-SA"/>
    </w:rPr>
  </w:style>
  <w:style w:type="table" w:customStyle="1" w:styleId="135">
    <w:name w:val="Table Normal"/>
    <w:semiHidden/>
    <w:unhideWhenUsed/>
    <w:qFormat/>
    <w:uiPriority w:val="0"/>
    <w:tblPr>
      <w:tblCellMar>
        <w:top w:w="0" w:type="dxa"/>
        <w:left w:w="0" w:type="dxa"/>
        <w:bottom w:w="0" w:type="dxa"/>
        <w:right w:w="0" w:type="dxa"/>
      </w:tblCellMar>
    </w:tblPr>
  </w:style>
  <w:style w:type="character" w:customStyle="1" w:styleId="136">
    <w:name w:val="NormalCharacter"/>
    <w:qFormat/>
    <w:uiPriority w:val="0"/>
  </w:style>
  <w:style w:type="paragraph" w:customStyle="1" w:styleId="137">
    <w:name w:val="Table Paragraph"/>
    <w:basedOn w:val="1"/>
    <w:qFormat/>
    <w:uiPriority w:val="1"/>
    <w:rPr>
      <w:rFonts w:ascii="宋体" w:hAnsi="宋体" w:eastAsia="宋体" w:cs="宋体"/>
    </w:rPr>
  </w:style>
  <w:style w:type="paragraph" w:customStyle="1" w:styleId="138">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9">
    <w:name w:val="FAW正文"/>
    <w:basedOn w:val="1"/>
    <w:qFormat/>
    <w:uiPriority w:val="99"/>
    <w:pPr>
      <w:spacing w:line="300" w:lineRule="auto"/>
      <w:ind w:firstLine="200" w:firstLineChars="200"/>
    </w:pPr>
    <w:rPr>
      <w:rFonts w:ascii="Calibri" w:hAnsi="Calibri"/>
      <w:sz w:val="24"/>
      <w:szCs w:val="24"/>
    </w:rPr>
  </w:style>
  <w:style w:type="character" w:customStyle="1" w:styleId="140">
    <w:name w:val="font11"/>
    <w:basedOn w:val="40"/>
    <w:qFormat/>
    <w:uiPriority w:val="0"/>
    <w:rPr>
      <w:rFonts w:hint="eastAsia" w:ascii="宋体" w:hAnsi="宋体" w:eastAsia="宋体" w:cs="宋体"/>
      <w:b/>
      <w:bCs/>
      <w:color w:val="000000"/>
      <w:sz w:val="21"/>
      <w:szCs w:val="21"/>
      <w:u w:val="none"/>
    </w:rPr>
  </w:style>
  <w:style w:type="character" w:customStyle="1" w:styleId="141">
    <w:name w:val="font21"/>
    <w:basedOn w:val="40"/>
    <w:qFormat/>
    <w:uiPriority w:val="0"/>
    <w:rPr>
      <w:rFonts w:hint="eastAsia" w:ascii="宋体" w:hAnsi="宋体" w:eastAsia="宋体" w:cs="宋体"/>
      <w:color w:val="000000"/>
      <w:sz w:val="21"/>
      <w:szCs w:val="21"/>
      <w:u w:val="none"/>
    </w:rPr>
  </w:style>
  <w:style w:type="character" w:customStyle="1" w:styleId="142">
    <w:name w:val="font31"/>
    <w:basedOn w:val="40"/>
    <w:qFormat/>
    <w:uiPriority w:val="0"/>
    <w:rPr>
      <w:rFonts w:hint="eastAsia" w:ascii="宋体" w:hAnsi="宋体" w:eastAsia="宋体" w:cs="宋体"/>
      <w:color w:val="000000"/>
      <w:sz w:val="21"/>
      <w:szCs w:val="21"/>
      <w:u w:val="none"/>
    </w:rPr>
  </w:style>
  <w:style w:type="paragraph" w:customStyle="1" w:styleId="143">
    <w:name w:val="二级条标题"/>
    <w:basedOn w:val="110"/>
    <w:next w:val="106"/>
    <w:qFormat/>
    <w:uiPriority w:val="0"/>
    <w:pPr>
      <w:numPr>
        <w:ilvl w:val="3"/>
      </w:numPr>
      <w:outlineLvl w:val="3"/>
    </w:pPr>
  </w:style>
  <w:style w:type="paragraph" w:customStyle="1" w:styleId="144">
    <w:name w:val="三级条标题"/>
    <w:basedOn w:val="143"/>
    <w:next w:val="106"/>
    <w:qFormat/>
    <w:uiPriority w:val="0"/>
    <w:pPr>
      <w:numPr>
        <w:ilvl w:val="4"/>
      </w:numPr>
      <w:outlineLvl w:val="4"/>
    </w:pPr>
  </w:style>
  <w:style w:type="paragraph" w:customStyle="1" w:styleId="145">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46">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47">
    <w:name w:val="封面正文"/>
    <w:semiHidden/>
    <w:qFormat/>
    <w:uiPriority w:val="0"/>
    <w:pPr>
      <w:jc w:val="both"/>
    </w:pPr>
    <w:rPr>
      <w:rFonts w:ascii="Times New Roman" w:hAnsi="Times New Roman" w:eastAsia="宋体" w:cs="Times New Roman"/>
      <w:lang w:val="en-US" w:eastAsia="zh-CN" w:bidi="ar-SA"/>
    </w:rPr>
  </w:style>
  <w:style w:type="paragraph" w:customStyle="1" w:styleId="148">
    <w:name w:val="3.1"/>
    <w:basedOn w:val="143"/>
    <w:next w:val="107"/>
    <w:qFormat/>
    <w:uiPriority w:val="0"/>
    <w:pPr>
      <w:spacing w:before="25" w:beforeLines="25" w:after="25" w:afterLines="25"/>
    </w:pPr>
  </w:style>
  <w:style w:type="paragraph" w:customStyle="1" w:styleId="149">
    <w:name w:val="_Style 1"/>
    <w:basedOn w:val="1"/>
    <w:semiHidden/>
    <w:qFormat/>
    <w:uiPriority w:val="34"/>
    <w:pPr>
      <w:ind w:firstLine="420" w:firstLineChars="200"/>
    </w:pPr>
  </w:style>
  <w:style w:type="paragraph" w:customStyle="1" w:styleId="150">
    <w:name w:val="3.2"/>
    <w:basedOn w:val="143"/>
    <w:next w:val="107"/>
    <w:qFormat/>
    <w:uiPriority w:val="0"/>
    <w:pPr>
      <w:numPr>
        <w:ilvl w:val="3"/>
        <w:numId w:val="1"/>
      </w:numPr>
      <w:spacing w:before="25" w:beforeLines="25" w:after="25" w:afterLines="25"/>
    </w:pPr>
    <w:rPr>
      <w:rFonts w:ascii="宋体" w:hAnsi="宋体" w:eastAsia="宋体"/>
    </w:rPr>
  </w:style>
  <w:style w:type="paragraph" w:customStyle="1" w:styleId="151">
    <w:name w:val="4"/>
    <w:basedOn w:val="143"/>
    <w:next w:val="107"/>
    <w:qFormat/>
    <w:uiPriority w:val="0"/>
    <w:pPr>
      <w:numPr>
        <w:ilvl w:val="4"/>
        <w:numId w:val="1"/>
      </w:numPr>
      <w:outlineLvl w:val="4"/>
    </w:pPr>
    <w:rPr>
      <w:rFonts w:ascii="宋体" w:hAnsi="宋体" w:eastAsia="宋体"/>
      <w:color w:val="000000"/>
      <w:szCs w:val="21"/>
    </w:rPr>
  </w:style>
  <w:style w:type="paragraph" w:customStyle="1" w:styleId="152">
    <w:name w:val="其他发布部门"/>
    <w:basedOn w:val="153"/>
    <w:semiHidden/>
    <w:qFormat/>
    <w:uiPriority w:val="0"/>
    <w:pPr>
      <w:spacing w:line="0" w:lineRule="atLeast"/>
    </w:pPr>
    <w:rPr>
      <w:rFonts w:ascii="黑体" w:eastAsia="黑体"/>
      <w:b w:val="0"/>
    </w:rPr>
  </w:style>
  <w:style w:type="paragraph" w:customStyle="1" w:styleId="153">
    <w:name w:val="发布部门"/>
    <w:next w:val="106"/>
    <w:semiHidden/>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footer" Target="foot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header" Target="header6.xml"/><Relationship Id="rId30" Type="http://schemas.openxmlformats.org/officeDocument/2006/relationships/header" Target="header5.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73</Pages>
  <Words>31288</Words>
  <Characters>32863</Characters>
  <Lines>1</Lines>
  <Paragraphs>1</Paragraphs>
  <TotalTime>4</TotalTime>
  <ScaleCrop>false</ScaleCrop>
  <LinksUpToDate>false</LinksUpToDate>
  <CharactersWithSpaces>38903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Yuxin</cp:lastModifiedBy>
  <cp:lastPrinted>2022-07-01T03:19:00Z</cp:lastPrinted>
  <dcterms:modified xsi:type="dcterms:W3CDTF">2024-01-03T01:09:45Z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5035C9CBC4184D29A655D3E07D53D953_13</vt:lpwstr>
  </property>
</Properties>
</file>